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4504E" w14:textId="77777777" w:rsidR="00D24934" w:rsidRPr="00E84DD5" w:rsidRDefault="00D24934" w:rsidP="00E84DD5">
      <w:pPr>
        <w:spacing w:after="0" w:line="360" w:lineRule="auto"/>
        <w:jc w:val="center"/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</w:pPr>
      <w:r w:rsidRPr="00E84DD5">
        <w:rPr>
          <w:rFonts w:ascii="Century Gothic" w:eastAsia="Times New Roman" w:hAnsi="Century Gothic" w:cs="Times New Roman"/>
          <w:b/>
          <w:bCs/>
          <w:spacing w:val="2"/>
          <w:kern w:val="0"/>
          <w:szCs w:val="24"/>
          <w:lang w:eastAsia="es-CO"/>
          <w14:ligatures w14:val="none"/>
        </w:rPr>
        <w:t xml:space="preserve">CONCEPTO 017978 </w:t>
      </w:r>
      <w:proofErr w:type="spellStart"/>
      <w:r w:rsidRPr="00E84DD5">
        <w:rPr>
          <w:rFonts w:ascii="Century Gothic" w:eastAsia="Times New Roman" w:hAnsi="Century Gothic" w:cs="Times New Roman"/>
          <w:b/>
          <w:bCs/>
          <w:spacing w:val="2"/>
          <w:kern w:val="0"/>
          <w:szCs w:val="24"/>
          <w:lang w:eastAsia="es-CO"/>
          <w14:ligatures w14:val="none"/>
        </w:rPr>
        <w:t>int</w:t>
      </w:r>
      <w:proofErr w:type="spellEnd"/>
      <w:r w:rsidRPr="00E84DD5">
        <w:rPr>
          <w:rFonts w:ascii="Century Gothic" w:eastAsia="Times New Roman" w:hAnsi="Century Gothic" w:cs="Times New Roman"/>
          <w:b/>
          <w:bCs/>
          <w:spacing w:val="2"/>
          <w:kern w:val="0"/>
          <w:szCs w:val="24"/>
          <w:lang w:eastAsia="es-CO"/>
          <w14:ligatures w14:val="none"/>
        </w:rPr>
        <w:t xml:space="preserve"> 812 DE 2024</w:t>
      </w:r>
    </w:p>
    <w:p w14:paraId="3A197DD1" w14:textId="77777777" w:rsidR="00D24934" w:rsidRPr="00E84DD5" w:rsidRDefault="00D24934" w:rsidP="00E84DD5">
      <w:pPr>
        <w:spacing w:after="240" w:line="360" w:lineRule="auto"/>
        <w:jc w:val="center"/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</w:pPr>
      <w:r w:rsidRPr="00E84DD5"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  <w:t>(septiembre 24)</w:t>
      </w:r>
    </w:p>
    <w:p w14:paraId="7EFC82F7" w14:textId="77777777" w:rsidR="00D24934" w:rsidRPr="00E84DD5" w:rsidRDefault="00D24934" w:rsidP="00E84DD5">
      <w:pPr>
        <w:spacing w:after="240" w:line="360" w:lineRule="auto"/>
        <w:jc w:val="center"/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</w:pPr>
      <w:r w:rsidRPr="00E84DD5"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  <w:t>&lt;Fuente: Archivo interno entidad emisora&gt;</w:t>
      </w:r>
    </w:p>
    <w:p w14:paraId="3839438E" w14:textId="77777777" w:rsidR="00D24934" w:rsidRPr="00E84DD5" w:rsidRDefault="00D24934" w:rsidP="00E84DD5">
      <w:pPr>
        <w:spacing w:after="240" w:line="360" w:lineRule="auto"/>
        <w:jc w:val="center"/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</w:pPr>
      <w:r w:rsidRPr="00E84DD5"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  <w:t>&lt;Publicado en la página web de la DIAN: 2 de octubre de 2024&gt;</w:t>
      </w:r>
    </w:p>
    <w:p w14:paraId="07E161F3" w14:textId="77777777" w:rsidR="00D24934" w:rsidRPr="00E84DD5" w:rsidRDefault="00D24934" w:rsidP="00E84DD5">
      <w:pPr>
        <w:spacing w:after="0" w:line="360" w:lineRule="auto"/>
        <w:jc w:val="center"/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</w:pPr>
      <w:r w:rsidRPr="00E84DD5">
        <w:rPr>
          <w:rFonts w:ascii="Century Gothic" w:eastAsia="Times New Roman" w:hAnsi="Century Gothic" w:cs="Times New Roman"/>
          <w:b/>
          <w:bCs/>
          <w:spacing w:val="2"/>
          <w:kern w:val="0"/>
          <w:szCs w:val="24"/>
          <w:lang w:eastAsia="es-CO"/>
          <w14:ligatures w14:val="none"/>
        </w:rPr>
        <w:t>DIRECCIÓN DE IMPUESTOS Y ADUANAS NACIONALES</w:t>
      </w:r>
    </w:p>
    <w:p w14:paraId="6C776611" w14:textId="77777777" w:rsidR="00D24934" w:rsidRPr="00E84DD5" w:rsidRDefault="00D24934" w:rsidP="00E84DD5">
      <w:pPr>
        <w:spacing w:after="0" w:line="360" w:lineRule="auto"/>
        <w:jc w:val="center"/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</w:pPr>
      <w:r w:rsidRPr="00E84DD5">
        <w:rPr>
          <w:rFonts w:ascii="Century Gothic" w:eastAsia="Times New Roman" w:hAnsi="Century Gothic" w:cs="Times New Roman"/>
          <w:b/>
          <w:bCs/>
          <w:spacing w:val="2"/>
          <w:kern w:val="0"/>
          <w:szCs w:val="24"/>
          <w:lang w:eastAsia="es-CO"/>
          <w14:ligatures w14:val="none"/>
        </w:rPr>
        <w:t>Unidad Informática de Doctrina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"/>
        <w:gridCol w:w="7180"/>
      </w:tblGrid>
      <w:tr w:rsidR="00D24934" w:rsidRPr="00E84DD5" w14:paraId="7E81F7DB" w14:textId="77777777" w:rsidTr="00D24934">
        <w:trPr>
          <w:tblCellSpacing w:w="15" w:type="dxa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F1F066" w14:textId="77777777" w:rsidR="00D24934" w:rsidRPr="00E84DD5" w:rsidRDefault="00D24934" w:rsidP="00E84DD5">
            <w:pPr>
              <w:spacing w:after="0" w:line="360" w:lineRule="auto"/>
              <w:jc w:val="both"/>
              <w:rPr>
                <w:rFonts w:ascii="Century Gothic" w:eastAsia="Times New Roman" w:hAnsi="Century Gothic" w:cs="Times New Roman"/>
                <w:spacing w:val="2"/>
                <w:kern w:val="0"/>
                <w:szCs w:val="24"/>
                <w:lang w:eastAsia="es-CO"/>
                <w14:ligatures w14:val="none"/>
              </w:rPr>
            </w:pPr>
          </w:p>
          <w:p w14:paraId="3B937C42" w14:textId="76612C6B" w:rsidR="00D24934" w:rsidRPr="00E84DD5" w:rsidRDefault="00D24934" w:rsidP="00E84DD5">
            <w:pPr>
              <w:spacing w:after="0" w:line="360" w:lineRule="auto"/>
              <w:jc w:val="both"/>
              <w:rPr>
                <w:rFonts w:ascii="Century Gothic" w:eastAsia="Times New Roman" w:hAnsi="Century Gothic" w:cs="Times New Roman"/>
                <w:spacing w:val="2"/>
                <w:kern w:val="0"/>
                <w:szCs w:val="24"/>
                <w:lang w:eastAsia="es-CO"/>
                <w14:ligatures w14:val="none"/>
              </w:rPr>
            </w:pPr>
            <w:r w:rsidRPr="00E84DD5">
              <w:rPr>
                <w:rFonts w:ascii="Century Gothic" w:eastAsia="Times New Roman" w:hAnsi="Century Gothic" w:cs="Times New Roman"/>
                <w:spacing w:val="2"/>
                <w:kern w:val="0"/>
                <w:szCs w:val="24"/>
                <w:lang w:eastAsia="es-CO"/>
                <w14:ligatures w14:val="none"/>
              </w:rPr>
              <w:t>Área del Derecho</w:t>
            </w:r>
          </w:p>
        </w:tc>
        <w:tc>
          <w:tcPr>
            <w:tcW w:w="3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DF45D7" w14:textId="77777777" w:rsidR="00D24934" w:rsidRPr="00E84DD5" w:rsidRDefault="00D24934" w:rsidP="00E84DD5">
            <w:pPr>
              <w:spacing w:after="0" w:line="360" w:lineRule="auto"/>
              <w:jc w:val="both"/>
              <w:rPr>
                <w:rFonts w:ascii="Century Gothic" w:eastAsia="Times New Roman" w:hAnsi="Century Gothic" w:cs="Times New Roman"/>
                <w:b/>
                <w:bCs/>
                <w:spacing w:val="2"/>
                <w:kern w:val="0"/>
                <w:szCs w:val="24"/>
                <w:lang w:eastAsia="es-CO"/>
                <w14:ligatures w14:val="none"/>
              </w:rPr>
            </w:pPr>
          </w:p>
          <w:p w14:paraId="2412C0FA" w14:textId="44A01F58" w:rsidR="00D24934" w:rsidRPr="00E84DD5" w:rsidRDefault="00D24934" w:rsidP="00E84DD5">
            <w:pPr>
              <w:spacing w:after="0" w:line="360" w:lineRule="auto"/>
              <w:jc w:val="both"/>
              <w:rPr>
                <w:rFonts w:ascii="Century Gothic" w:eastAsia="Times New Roman" w:hAnsi="Century Gothic" w:cs="Times New Roman"/>
                <w:spacing w:val="2"/>
                <w:kern w:val="0"/>
                <w:szCs w:val="24"/>
                <w:lang w:eastAsia="es-CO"/>
                <w14:ligatures w14:val="none"/>
              </w:rPr>
            </w:pPr>
            <w:r w:rsidRPr="00E84DD5">
              <w:rPr>
                <w:rFonts w:ascii="Century Gothic" w:eastAsia="Times New Roman" w:hAnsi="Century Gothic" w:cs="Times New Roman"/>
                <w:b/>
                <w:bCs/>
                <w:spacing w:val="2"/>
                <w:kern w:val="0"/>
                <w:szCs w:val="24"/>
                <w:lang w:eastAsia="es-CO"/>
                <w14:ligatures w14:val="none"/>
              </w:rPr>
              <w:t>Tributario</w:t>
            </w:r>
            <w:r w:rsidRPr="00E84DD5">
              <w:rPr>
                <w:rFonts w:ascii="Century Gothic" w:eastAsia="Times New Roman" w:hAnsi="Century Gothic" w:cs="Times New Roman"/>
                <w:b/>
                <w:bCs/>
                <w:spacing w:val="2"/>
                <w:kern w:val="0"/>
                <w:szCs w:val="24"/>
                <w:lang w:eastAsia="es-CO"/>
                <w14:ligatures w14:val="none"/>
              </w:rPr>
              <w:br/>
            </w:r>
          </w:p>
        </w:tc>
      </w:tr>
      <w:tr w:rsidR="00D24934" w:rsidRPr="00E84DD5" w14:paraId="4F5DC3A8" w14:textId="77777777" w:rsidTr="00D24934">
        <w:trPr>
          <w:tblCellSpacing w:w="15" w:type="dxa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0E7FDF" w14:textId="77777777" w:rsidR="00D24934" w:rsidRPr="00E84DD5" w:rsidRDefault="00D24934" w:rsidP="00E84DD5">
            <w:pPr>
              <w:spacing w:after="0" w:line="360" w:lineRule="auto"/>
              <w:jc w:val="both"/>
              <w:rPr>
                <w:rFonts w:ascii="Century Gothic" w:eastAsia="Times New Roman" w:hAnsi="Century Gothic" w:cs="Times New Roman"/>
                <w:spacing w:val="2"/>
                <w:kern w:val="0"/>
                <w:szCs w:val="24"/>
                <w:lang w:eastAsia="es-CO"/>
                <w14:ligatures w14:val="none"/>
              </w:rPr>
            </w:pPr>
            <w:r w:rsidRPr="00E84DD5">
              <w:rPr>
                <w:rFonts w:ascii="Century Gothic" w:eastAsia="Times New Roman" w:hAnsi="Century Gothic" w:cs="Times New Roman"/>
                <w:spacing w:val="2"/>
                <w:kern w:val="0"/>
                <w:szCs w:val="24"/>
                <w:lang w:eastAsia="es-CO"/>
                <w14:ligatures w14:val="none"/>
              </w:rPr>
              <w:t>Banco de Datos</w:t>
            </w:r>
          </w:p>
        </w:tc>
        <w:tc>
          <w:tcPr>
            <w:tcW w:w="3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4C7CD4" w14:textId="77777777" w:rsidR="00D24934" w:rsidRPr="00E84DD5" w:rsidRDefault="00D24934" w:rsidP="00E84DD5">
            <w:pPr>
              <w:spacing w:after="0" w:line="360" w:lineRule="auto"/>
              <w:jc w:val="both"/>
              <w:rPr>
                <w:rFonts w:ascii="Century Gothic" w:eastAsia="Times New Roman" w:hAnsi="Century Gothic" w:cs="Times New Roman"/>
                <w:spacing w:val="2"/>
                <w:kern w:val="0"/>
                <w:szCs w:val="24"/>
                <w:lang w:eastAsia="es-CO"/>
                <w14:ligatures w14:val="none"/>
              </w:rPr>
            </w:pPr>
            <w:r w:rsidRPr="00E84DD5">
              <w:rPr>
                <w:rFonts w:ascii="Century Gothic" w:eastAsia="Times New Roman" w:hAnsi="Century Gothic" w:cs="Times New Roman"/>
                <w:b/>
                <w:bCs/>
                <w:spacing w:val="2"/>
                <w:kern w:val="0"/>
                <w:szCs w:val="24"/>
                <w:lang w:eastAsia="es-CO"/>
                <w14:ligatures w14:val="none"/>
              </w:rPr>
              <w:t>Impuesto sobre la Renta y Complementarios</w:t>
            </w:r>
            <w:r w:rsidRPr="00E84DD5">
              <w:rPr>
                <w:rFonts w:ascii="Century Gothic" w:eastAsia="Times New Roman" w:hAnsi="Century Gothic" w:cs="Times New Roman"/>
                <w:b/>
                <w:bCs/>
                <w:spacing w:val="2"/>
                <w:kern w:val="0"/>
                <w:szCs w:val="24"/>
                <w:lang w:eastAsia="es-CO"/>
                <w14:ligatures w14:val="none"/>
              </w:rPr>
              <w:br/>
            </w:r>
          </w:p>
        </w:tc>
      </w:tr>
      <w:tr w:rsidR="00D24934" w:rsidRPr="00E84DD5" w14:paraId="6AA95CFE" w14:textId="77777777" w:rsidTr="00D24934">
        <w:trPr>
          <w:tblCellSpacing w:w="15" w:type="dxa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27DA6C" w14:textId="77777777" w:rsidR="00D24934" w:rsidRPr="00E84DD5" w:rsidRDefault="00D24934" w:rsidP="00E84DD5">
            <w:pPr>
              <w:spacing w:after="0" w:line="360" w:lineRule="auto"/>
              <w:jc w:val="both"/>
              <w:rPr>
                <w:rFonts w:ascii="Century Gothic" w:eastAsia="Times New Roman" w:hAnsi="Century Gothic" w:cs="Times New Roman"/>
                <w:spacing w:val="2"/>
                <w:kern w:val="0"/>
                <w:szCs w:val="24"/>
                <w:highlight w:val="cyan"/>
                <w:lang w:eastAsia="es-CO"/>
                <w14:ligatures w14:val="none"/>
              </w:rPr>
            </w:pPr>
            <w:r w:rsidRPr="00E84DD5">
              <w:rPr>
                <w:rFonts w:ascii="Century Gothic" w:eastAsia="Times New Roman" w:hAnsi="Century Gothic" w:cs="Times New Roman"/>
                <w:spacing w:val="2"/>
                <w:kern w:val="0"/>
                <w:szCs w:val="24"/>
                <w:highlight w:val="cyan"/>
                <w:lang w:eastAsia="es-CO"/>
                <w14:ligatures w14:val="none"/>
              </w:rPr>
              <w:t>Descriptores</w:t>
            </w:r>
          </w:p>
        </w:tc>
        <w:tc>
          <w:tcPr>
            <w:tcW w:w="3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F34BA2" w14:textId="77777777" w:rsidR="00D24934" w:rsidRPr="00E84DD5" w:rsidRDefault="00D24934" w:rsidP="00E84DD5">
            <w:pPr>
              <w:spacing w:after="0" w:line="360" w:lineRule="auto"/>
              <w:jc w:val="both"/>
              <w:rPr>
                <w:rFonts w:ascii="Century Gothic" w:eastAsia="Times New Roman" w:hAnsi="Century Gothic" w:cs="Times New Roman"/>
                <w:spacing w:val="2"/>
                <w:kern w:val="0"/>
                <w:szCs w:val="24"/>
                <w:highlight w:val="cyan"/>
                <w:lang w:eastAsia="es-CO"/>
                <w14:ligatures w14:val="none"/>
              </w:rPr>
            </w:pPr>
            <w:r w:rsidRPr="00E84DD5">
              <w:rPr>
                <w:rFonts w:ascii="Century Gothic" w:eastAsia="Times New Roman" w:hAnsi="Century Gothic" w:cs="Times New Roman"/>
                <w:spacing w:val="2"/>
                <w:kern w:val="0"/>
                <w:szCs w:val="24"/>
                <w:highlight w:val="cyan"/>
                <w:lang w:eastAsia="es-CO"/>
                <w14:ligatures w14:val="none"/>
              </w:rPr>
              <w:t>Ingresos en especie</w:t>
            </w:r>
          </w:p>
        </w:tc>
      </w:tr>
      <w:tr w:rsidR="00D24934" w:rsidRPr="00E84DD5" w14:paraId="72661AD4" w14:textId="77777777" w:rsidTr="00D24934">
        <w:trPr>
          <w:tblCellSpacing w:w="15" w:type="dxa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615FA0" w14:textId="77777777" w:rsidR="00D24934" w:rsidRPr="00E84DD5" w:rsidRDefault="00D24934" w:rsidP="00E84DD5">
            <w:pPr>
              <w:spacing w:after="0" w:line="360" w:lineRule="auto"/>
              <w:jc w:val="both"/>
              <w:rPr>
                <w:rFonts w:ascii="Century Gothic" w:eastAsia="Times New Roman" w:hAnsi="Century Gothic" w:cs="Times New Roman"/>
                <w:spacing w:val="2"/>
                <w:kern w:val="0"/>
                <w:szCs w:val="24"/>
                <w:lang w:eastAsia="es-CO"/>
                <w14:ligatures w14:val="none"/>
              </w:rPr>
            </w:pPr>
            <w:r w:rsidRPr="00E84DD5">
              <w:rPr>
                <w:rFonts w:ascii="Century Gothic" w:eastAsia="Times New Roman" w:hAnsi="Century Gothic" w:cs="Times New Roman"/>
                <w:spacing w:val="2"/>
                <w:kern w:val="0"/>
                <w:szCs w:val="24"/>
                <w:lang w:eastAsia="es-CO"/>
                <w14:ligatures w14:val="none"/>
              </w:rPr>
              <w:t>Fuentes Formales</w:t>
            </w:r>
          </w:p>
        </w:tc>
        <w:tc>
          <w:tcPr>
            <w:tcW w:w="3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9E77C8" w14:textId="77777777" w:rsidR="00D24934" w:rsidRPr="00E84DD5" w:rsidRDefault="00D24934" w:rsidP="00E84DD5">
            <w:pPr>
              <w:spacing w:after="0" w:line="360" w:lineRule="auto"/>
              <w:jc w:val="both"/>
              <w:rPr>
                <w:rFonts w:ascii="Century Gothic" w:eastAsia="Times New Roman" w:hAnsi="Century Gothic" w:cs="Times New Roman"/>
                <w:spacing w:val="2"/>
                <w:kern w:val="0"/>
                <w:szCs w:val="24"/>
                <w:lang w:eastAsia="es-CO"/>
                <w14:ligatures w14:val="none"/>
              </w:rPr>
            </w:pPr>
            <w:r w:rsidRPr="00E84DD5">
              <w:rPr>
                <w:rFonts w:ascii="Century Gothic" w:eastAsia="Times New Roman" w:hAnsi="Century Gothic" w:cs="Times New Roman"/>
                <w:spacing w:val="2"/>
                <w:kern w:val="0"/>
                <w:szCs w:val="24"/>
                <w:lang w:eastAsia="es-CO"/>
                <w14:ligatures w14:val="none"/>
              </w:rPr>
              <w:t>ESTATUTO TRIBUTARIO DECRETO 0624 DE 1989 ART. </w:t>
            </w:r>
            <w:hyperlink r:id="rId4" w:anchor="29-1" w:history="1">
              <w:r w:rsidRPr="00E84DD5">
                <w:rPr>
                  <w:rFonts w:ascii="Century Gothic" w:eastAsia="Times New Roman" w:hAnsi="Century Gothic" w:cs="Times New Roman"/>
                  <w:color w:val="0000FF"/>
                  <w:spacing w:val="2"/>
                  <w:kern w:val="0"/>
                  <w:szCs w:val="24"/>
                  <w:u w:val="single"/>
                  <w:lang w:eastAsia="es-CO"/>
                  <w14:ligatures w14:val="none"/>
                </w:rPr>
                <w:t>29-1</w:t>
              </w:r>
            </w:hyperlink>
            <w:r w:rsidRPr="00E84DD5">
              <w:rPr>
                <w:rFonts w:ascii="Century Gothic" w:eastAsia="Times New Roman" w:hAnsi="Century Gothic" w:cs="Times New Roman"/>
                <w:spacing w:val="2"/>
                <w:kern w:val="0"/>
                <w:szCs w:val="24"/>
                <w:lang w:eastAsia="es-CO"/>
                <w14:ligatures w14:val="none"/>
              </w:rPr>
              <w:br/>
              <w:t>LEY 2277 DE 2022 ART. </w:t>
            </w:r>
            <w:hyperlink r:id="rId5" w:anchor="59" w:history="1">
              <w:r w:rsidRPr="00E84DD5">
                <w:rPr>
                  <w:rFonts w:ascii="Century Gothic" w:eastAsia="Times New Roman" w:hAnsi="Century Gothic" w:cs="Times New Roman"/>
                  <w:color w:val="0000FF"/>
                  <w:spacing w:val="2"/>
                  <w:kern w:val="0"/>
                  <w:szCs w:val="24"/>
                  <w:u w:val="single"/>
                  <w:lang w:eastAsia="es-CO"/>
                  <w14:ligatures w14:val="none"/>
                </w:rPr>
                <w:t>59</w:t>
              </w:r>
            </w:hyperlink>
          </w:p>
        </w:tc>
      </w:tr>
    </w:tbl>
    <w:p w14:paraId="52203BDD" w14:textId="77777777" w:rsidR="00D24934" w:rsidRPr="00E84DD5" w:rsidRDefault="00D24934" w:rsidP="00E84DD5">
      <w:pPr>
        <w:spacing w:after="240" w:line="360" w:lineRule="auto"/>
        <w:jc w:val="both"/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</w:pPr>
      <w:r w:rsidRPr="00E84DD5"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  <w:t>Extracto</w:t>
      </w:r>
    </w:p>
    <w:p w14:paraId="39A56913" w14:textId="77777777" w:rsidR="00D24934" w:rsidRPr="00E84DD5" w:rsidRDefault="00D24934" w:rsidP="00E84DD5">
      <w:pPr>
        <w:spacing w:after="0" w:line="360" w:lineRule="auto"/>
        <w:jc w:val="both"/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</w:pPr>
      <w:r w:rsidRPr="00E84DD5"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  <w:t>Sexta Adición al Concepto General sobre el impuesto sobre la renta y complementarios a cargo de personas naturales con motivo de la Ley </w:t>
      </w:r>
      <w:hyperlink r:id="rId6" w:anchor="0" w:history="1">
        <w:r w:rsidRPr="00E84DD5">
          <w:rPr>
            <w:rFonts w:ascii="Century Gothic" w:eastAsia="Times New Roman" w:hAnsi="Century Gothic" w:cs="Times New Roman"/>
            <w:color w:val="0000FF"/>
            <w:spacing w:val="2"/>
            <w:kern w:val="0"/>
            <w:szCs w:val="24"/>
            <w:u w:val="single"/>
            <w:lang w:eastAsia="es-CO"/>
            <w14:ligatures w14:val="none"/>
          </w:rPr>
          <w:t>2277</w:t>
        </w:r>
      </w:hyperlink>
      <w:r w:rsidRPr="00E84DD5"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  <w:t> de 2022.</w:t>
      </w:r>
    </w:p>
    <w:p w14:paraId="6075955F" w14:textId="77777777" w:rsidR="00D24934" w:rsidRPr="00E84DD5" w:rsidRDefault="00D24934" w:rsidP="00E84DD5">
      <w:pPr>
        <w:spacing w:after="0" w:line="360" w:lineRule="auto"/>
        <w:jc w:val="both"/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</w:pPr>
    </w:p>
    <w:p w14:paraId="19BCC4F0" w14:textId="0AB1C23F" w:rsidR="00D24934" w:rsidRPr="00E84DD5" w:rsidRDefault="00D24934" w:rsidP="00E84DD5">
      <w:pPr>
        <w:spacing w:after="0" w:line="360" w:lineRule="auto"/>
        <w:jc w:val="both"/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</w:pPr>
      <w:r w:rsidRPr="00E84DD5"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  <w:t>Esta Subdirección está facultada para absolver las consultas escritas, presentadas de manera general, sobre la interpretación y aplicación de las normas tributarias, aduaneras y de fiscalización cambiaria, en lo de competencia de la DIAN</w:t>
      </w:r>
      <w:hyperlink r:id="rId7" w:anchor="NF1" w:history="1">
        <w:r w:rsidRPr="00E84DD5">
          <w:rPr>
            <w:rFonts w:ascii="Century Gothic" w:eastAsia="Times New Roman" w:hAnsi="Century Gothic" w:cs="Times New Roman"/>
            <w:b/>
            <w:bCs/>
            <w:color w:val="0000FF"/>
            <w:spacing w:val="2"/>
            <w:kern w:val="0"/>
            <w:szCs w:val="24"/>
            <w:u w:val="single"/>
            <w:vertAlign w:val="superscript"/>
            <w:lang w:eastAsia="es-CO"/>
            <w14:ligatures w14:val="none"/>
          </w:rPr>
          <w:t>[1]</w:t>
        </w:r>
      </w:hyperlink>
      <w:r w:rsidRPr="00E84DD5"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  <w:t>. En este sentido, la doctrina emitida será de carácter general, no se referirá a asuntos particulares y se someterá a lo consagrado en el artículo </w:t>
      </w:r>
      <w:hyperlink r:id="rId8" w:anchor="131" w:history="1">
        <w:r w:rsidRPr="00E84DD5">
          <w:rPr>
            <w:rFonts w:ascii="Century Gothic" w:eastAsia="Times New Roman" w:hAnsi="Century Gothic" w:cs="Times New Roman"/>
            <w:color w:val="0000FF"/>
            <w:spacing w:val="2"/>
            <w:kern w:val="0"/>
            <w:szCs w:val="24"/>
            <w:u w:val="single"/>
            <w:lang w:eastAsia="es-CO"/>
            <w14:ligatures w14:val="none"/>
          </w:rPr>
          <w:t>131</w:t>
        </w:r>
      </w:hyperlink>
      <w:r w:rsidRPr="00E84DD5"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  <w:t> de la Ley 2010 de 2019</w:t>
      </w:r>
      <w:hyperlink r:id="rId9" w:anchor="NF2" w:history="1">
        <w:r w:rsidRPr="00E84DD5">
          <w:rPr>
            <w:rFonts w:ascii="Century Gothic" w:eastAsia="Times New Roman" w:hAnsi="Century Gothic" w:cs="Times New Roman"/>
            <w:b/>
            <w:bCs/>
            <w:color w:val="0000FF"/>
            <w:spacing w:val="2"/>
            <w:kern w:val="0"/>
            <w:szCs w:val="24"/>
            <w:u w:val="single"/>
            <w:vertAlign w:val="superscript"/>
            <w:lang w:eastAsia="es-CO"/>
            <w14:ligatures w14:val="none"/>
          </w:rPr>
          <w:t>[2]</w:t>
        </w:r>
      </w:hyperlink>
      <w:r w:rsidRPr="00E84DD5"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  <w:t>.</w:t>
      </w:r>
    </w:p>
    <w:p w14:paraId="3894F261" w14:textId="77777777" w:rsidR="00E84DD5" w:rsidRDefault="00E84DD5" w:rsidP="00E84DD5">
      <w:pPr>
        <w:spacing w:after="0" w:line="360" w:lineRule="auto"/>
        <w:jc w:val="both"/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</w:pPr>
    </w:p>
    <w:p w14:paraId="79DBE627" w14:textId="0072362C" w:rsidR="00D24934" w:rsidRPr="00E84DD5" w:rsidRDefault="00D24934" w:rsidP="00E84DD5">
      <w:pPr>
        <w:spacing w:after="0" w:line="360" w:lineRule="auto"/>
        <w:jc w:val="both"/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</w:pPr>
      <w:r w:rsidRPr="00E84DD5"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  <w:t>Mediante el presente pronunciamiento, esta Subdirección resolverá unas inquietudes relacionadas con la aplicación del artículo </w:t>
      </w:r>
      <w:hyperlink r:id="rId10" w:anchor="29-1" w:history="1">
        <w:r w:rsidRPr="00E84DD5">
          <w:rPr>
            <w:rFonts w:ascii="Century Gothic" w:eastAsia="Times New Roman" w:hAnsi="Century Gothic" w:cs="Times New Roman"/>
            <w:color w:val="0000FF"/>
            <w:spacing w:val="2"/>
            <w:kern w:val="0"/>
            <w:szCs w:val="24"/>
            <w:u w:val="single"/>
            <w:lang w:eastAsia="es-CO"/>
            <w14:ligatures w14:val="none"/>
          </w:rPr>
          <w:t>29-1</w:t>
        </w:r>
      </w:hyperlink>
      <w:r w:rsidRPr="00E84DD5"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  <w:t> del Estatuto Tributario, en el contexto de la Ley </w:t>
      </w:r>
      <w:hyperlink r:id="rId11" w:anchor="0" w:history="1">
        <w:r w:rsidRPr="00E84DD5">
          <w:rPr>
            <w:rFonts w:ascii="Century Gothic" w:eastAsia="Times New Roman" w:hAnsi="Century Gothic" w:cs="Times New Roman"/>
            <w:color w:val="0000FF"/>
            <w:spacing w:val="2"/>
            <w:kern w:val="0"/>
            <w:szCs w:val="24"/>
            <w:u w:val="single"/>
            <w:lang w:eastAsia="es-CO"/>
            <w14:ligatures w14:val="none"/>
          </w:rPr>
          <w:t>2277</w:t>
        </w:r>
      </w:hyperlink>
      <w:r w:rsidRPr="00E84DD5"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  <w:t> de 2022.</w:t>
      </w:r>
    </w:p>
    <w:p w14:paraId="2F79EA04" w14:textId="77777777" w:rsidR="00D24934" w:rsidRPr="00E84DD5" w:rsidRDefault="00D24934" w:rsidP="00E84DD5">
      <w:pPr>
        <w:spacing w:after="0" w:line="360" w:lineRule="auto"/>
        <w:jc w:val="both"/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</w:pPr>
    </w:p>
    <w:p w14:paraId="04196480" w14:textId="19F036FB" w:rsidR="00D24934" w:rsidRPr="00E84DD5" w:rsidRDefault="00D24934" w:rsidP="00E84DD5">
      <w:pPr>
        <w:spacing w:after="0" w:line="360" w:lineRule="auto"/>
        <w:jc w:val="both"/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</w:pPr>
      <w:r w:rsidRPr="00E84DD5"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  <w:t>Este pronunciamiento se centra específicamente en la adición de unos problemas jurídicos al capítulo I, titulado «Ingresos en especie», del Concepto General de referencia (Concepto 00</w:t>
      </w:r>
      <w:hyperlink r:id="rId12" w:anchor="0" w:history="1">
        <w:r w:rsidRPr="00E84DD5">
          <w:rPr>
            <w:rFonts w:ascii="Century Gothic" w:eastAsia="Times New Roman" w:hAnsi="Century Gothic" w:cs="Times New Roman"/>
            <w:color w:val="0000FF"/>
            <w:spacing w:val="2"/>
            <w:kern w:val="0"/>
            <w:szCs w:val="24"/>
            <w:u w:val="single"/>
            <w:lang w:eastAsia="es-CO"/>
            <w14:ligatures w14:val="none"/>
          </w:rPr>
          <w:t>3966</w:t>
        </w:r>
      </w:hyperlink>
      <w:r w:rsidRPr="00E84DD5"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  <w:t> - interno 416 del 31 de marzo de 2023).</w:t>
      </w:r>
    </w:p>
    <w:p w14:paraId="49CD0F58" w14:textId="77777777" w:rsidR="00D24934" w:rsidRPr="00E84DD5" w:rsidRDefault="00D24934" w:rsidP="00E84DD5">
      <w:pPr>
        <w:spacing w:after="0" w:line="360" w:lineRule="auto"/>
        <w:jc w:val="both"/>
        <w:rPr>
          <w:rFonts w:ascii="Century Gothic" w:eastAsia="Times New Roman" w:hAnsi="Century Gothic" w:cs="Times New Roman"/>
          <w:b/>
          <w:bCs/>
          <w:spacing w:val="2"/>
          <w:kern w:val="0"/>
          <w:szCs w:val="24"/>
          <w:lang w:eastAsia="es-CO"/>
          <w14:ligatures w14:val="none"/>
        </w:rPr>
      </w:pPr>
    </w:p>
    <w:p w14:paraId="5D313F91" w14:textId="73136315" w:rsidR="00D24934" w:rsidRPr="00E84DD5" w:rsidRDefault="00D24934" w:rsidP="00E84DD5">
      <w:pPr>
        <w:spacing w:after="0" w:line="360" w:lineRule="auto"/>
        <w:jc w:val="both"/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</w:pPr>
      <w:r w:rsidRPr="00E84DD5">
        <w:rPr>
          <w:rFonts w:ascii="Century Gothic" w:eastAsia="Times New Roman" w:hAnsi="Century Gothic" w:cs="Times New Roman"/>
          <w:b/>
          <w:bCs/>
          <w:spacing w:val="2"/>
          <w:kern w:val="0"/>
          <w:szCs w:val="24"/>
          <w:lang w:eastAsia="es-CO"/>
          <w14:ligatures w14:val="none"/>
        </w:rPr>
        <w:t>I. INGRESOS EN ESPECIE</w:t>
      </w:r>
    </w:p>
    <w:p w14:paraId="5894DCAA" w14:textId="77777777" w:rsidR="00D24934" w:rsidRPr="00E84DD5" w:rsidRDefault="00D24934" w:rsidP="00E84DD5">
      <w:pPr>
        <w:spacing w:after="0" w:line="360" w:lineRule="auto"/>
        <w:jc w:val="both"/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</w:pPr>
    </w:p>
    <w:p w14:paraId="456078F0" w14:textId="5AD28067" w:rsidR="00D24934" w:rsidRPr="00E84DD5" w:rsidRDefault="00D24934" w:rsidP="00E84DD5">
      <w:pPr>
        <w:spacing w:after="0" w:line="360" w:lineRule="auto"/>
        <w:jc w:val="both"/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</w:pPr>
      <w:hyperlink r:id="rId13" w:anchor="7-I" w:history="1">
        <w:r w:rsidRPr="00E84DD5">
          <w:rPr>
            <w:rFonts w:ascii="Century Gothic" w:eastAsia="Times New Roman" w:hAnsi="Century Gothic" w:cs="Times New Roman"/>
            <w:b/>
            <w:bCs/>
            <w:color w:val="0000FF"/>
            <w:spacing w:val="2"/>
            <w:kern w:val="0"/>
            <w:szCs w:val="24"/>
            <w:u w:val="single"/>
            <w:lang w:eastAsia="es-CO"/>
            <w14:ligatures w14:val="none"/>
          </w:rPr>
          <w:t>7.</w:t>
        </w:r>
      </w:hyperlink>
      <w:r w:rsidRPr="00E84DD5">
        <w:rPr>
          <w:rFonts w:ascii="Century Gothic" w:eastAsia="Times New Roman" w:hAnsi="Century Gothic" w:cs="Times New Roman"/>
          <w:b/>
          <w:bCs/>
          <w:spacing w:val="2"/>
          <w:kern w:val="0"/>
          <w:szCs w:val="24"/>
          <w:lang w:eastAsia="es-CO"/>
          <w14:ligatures w14:val="none"/>
        </w:rPr>
        <w:t> ¿Los ingresos en especie señalados en el artículo </w:t>
      </w:r>
      <w:hyperlink r:id="rId14" w:anchor="29-1" w:history="1">
        <w:r w:rsidRPr="00E84DD5">
          <w:rPr>
            <w:rFonts w:ascii="Century Gothic" w:eastAsia="Times New Roman" w:hAnsi="Century Gothic" w:cs="Times New Roman"/>
            <w:color w:val="0000FF"/>
            <w:spacing w:val="2"/>
            <w:kern w:val="0"/>
            <w:szCs w:val="24"/>
            <w:u w:val="single"/>
            <w:lang w:eastAsia="es-CO"/>
            <w14:ligatures w14:val="none"/>
          </w:rPr>
          <w:t>29-1</w:t>
        </w:r>
      </w:hyperlink>
      <w:r w:rsidRPr="00E84DD5">
        <w:rPr>
          <w:rFonts w:ascii="Century Gothic" w:eastAsia="Times New Roman" w:hAnsi="Century Gothic" w:cs="Times New Roman"/>
          <w:b/>
          <w:bCs/>
          <w:spacing w:val="2"/>
          <w:kern w:val="0"/>
          <w:szCs w:val="24"/>
          <w:lang w:eastAsia="es-CO"/>
          <w14:ligatures w14:val="none"/>
        </w:rPr>
        <w:t> del Estatuto Tributario deben reportarse en el Formulario 220 Certificado de Ingresos y Retenciones?</w:t>
      </w:r>
    </w:p>
    <w:p w14:paraId="210C722C" w14:textId="77777777" w:rsidR="00D24934" w:rsidRPr="00E84DD5" w:rsidRDefault="00D24934" w:rsidP="00E84DD5">
      <w:pPr>
        <w:spacing w:after="0" w:line="360" w:lineRule="auto"/>
        <w:jc w:val="both"/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</w:pPr>
      <w:r w:rsidRPr="00E84DD5"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  <w:t>El literal h) del artículo </w:t>
      </w:r>
      <w:hyperlink r:id="rId15" w:anchor="379" w:history="1">
        <w:r w:rsidRPr="00E84DD5">
          <w:rPr>
            <w:rFonts w:ascii="Century Gothic" w:eastAsia="Times New Roman" w:hAnsi="Century Gothic" w:cs="Times New Roman"/>
            <w:color w:val="0000FF"/>
            <w:spacing w:val="2"/>
            <w:kern w:val="0"/>
            <w:szCs w:val="24"/>
            <w:u w:val="single"/>
            <w:lang w:eastAsia="es-CO"/>
            <w14:ligatures w14:val="none"/>
          </w:rPr>
          <w:t>379</w:t>
        </w:r>
      </w:hyperlink>
      <w:r w:rsidRPr="00E84DD5"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  <w:t> del Estatuto Tributario, establece que dentro de los datos que debe tener el Certificado de Ingresos y Retención, se encuentra el </w:t>
      </w:r>
      <w:r w:rsidRPr="00E84DD5">
        <w:rPr>
          <w:rFonts w:ascii="Century Gothic" w:eastAsia="Times New Roman" w:hAnsi="Century Gothic" w:cs="Times New Roman"/>
          <w:i/>
          <w:iCs/>
          <w:spacing w:val="2"/>
          <w:kern w:val="0"/>
          <w:szCs w:val="24"/>
          <w:lang w:eastAsia="es-CO"/>
          <w14:ligatures w14:val="none"/>
        </w:rPr>
        <w:t xml:space="preserve">“Valor de los pagos o abonos efectuados a favor o por cuenta del asalariado, concepto de </w:t>
      </w:r>
      <w:proofErr w:type="gramStart"/>
      <w:r w:rsidRPr="00E84DD5">
        <w:rPr>
          <w:rFonts w:ascii="Century Gothic" w:eastAsia="Times New Roman" w:hAnsi="Century Gothic" w:cs="Times New Roman"/>
          <w:i/>
          <w:iCs/>
          <w:spacing w:val="2"/>
          <w:kern w:val="0"/>
          <w:szCs w:val="24"/>
          <w:lang w:eastAsia="es-CO"/>
          <w14:ligatures w14:val="none"/>
        </w:rPr>
        <w:t>los mismos</w:t>
      </w:r>
      <w:proofErr w:type="gramEnd"/>
      <w:r w:rsidRPr="00E84DD5">
        <w:rPr>
          <w:rFonts w:ascii="Century Gothic" w:eastAsia="Times New Roman" w:hAnsi="Century Gothic" w:cs="Times New Roman"/>
          <w:i/>
          <w:iCs/>
          <w:spacing w:val="2"/>
          <w:kern w:val="0"/>
          <w:szCs w:val="24"/>
          <w:lang w:eastAsia="es-CO"/>
          <w14:ligatures w14:val="none"/>
        </w:rPr>
        <w:t xml:space="preserve"> y monto de las retenciones practicadas.”.</w:t>
      </w:r>
    </w:p>
    <w:p w14:paraId="3EB76D60" w14:textId="77777777" w:rsidR="00D24934" w:rsidRPr="00E84DD5" w:rsidRDefault="00D24934" w:rsidP="00E84DD5">
      <w:pPr>
        <w:spacing w:after="0" w:line="360" w:lineRule="auto"/>
        <w:jc w:val="both"/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</w:pPr>
    </w:p>
    <w:p w14:paraId="7584B36F" w14:textId="61E23927" w:rsidR="00D24934" w:rsidRPr="00E84DD5" w:rsidRDefault="00D24934" w:rsidP="00E84DD5">
      <w:pPr>
        <w:spacing w:after="0" w:line="360" w:lineRule="auto"/>
        <w:jc w:val="both"/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</w:pPr>
      <w:r w:rsidRPr="00E84DD5">
        <w:rPr>
          <w:rFonts w:ascii="Century Gothic" w:eastAsia="Times New Roman" w:hAnsi="Century Gothic" w:cs="Times New Roman"/>
          <w:spacing w:val="2"/>
          <w:kern w:val="0"/>
          <w:szCs w:val="24"/>
          <w:highlight w:val="yellow"/>
          <w:lang w:eastAsia="es-CO"/>
          <w14:ligatures w14:val="none"/>
        </w:rPr>
        <w:t>Por otro lado, el artículo </w:t>
      </w:r>
      <w:hyperlink r:id="rId16" w:anchor="29-1" w:history="1">
        <w:r w:rsidRPr="00E84DD5">
          <w:rPr>
            <w:rFonts w:ascii="Century Gothic" w:eastAsia="Times New Roman" w:hAnsi="Century Gothic" w:cs="Times New Roman"/>
            <w:color w:val="0000FF"/>
            <w:spacing w:val="2"/>
            <w:kern w:val="0"/>
            <w:szCs w:val="24"/>
            <w:highlight w:val="yellow"/>
            <w:u w:val="single"/>
            <w:lang w:eastAsia="es-CO"/>
            <w14:ligatures w14:val="none"/>
          </w:rPr>
          <w:t>29-1</w:t>
        </w:r>
      </w:hyperlink>
      <w:r w:rsidRPr="00E84DD5">
        <w:rPr>
          <w:rFonts w:ascii="Century Gothic" w:eastAsia="Times New Roman" w:hAnsi="Century Gothic" w:cs="Times New Roman"/>
          <w:spacing w:val="2"/>
          <w:kern w:val="0"/>
          <w:szCs w:val="24"/>
          <w:highlight w:val="yellow"/>
          <w:lang w:eastAsia="es-CO"/>
          <w14:ligatures w14:val="none"/>
        </w:rPr>
        <w:t> del Estatuto Tributario alude a los pagos en especie y como se indicó en el numeral 3 de este concepto en concordancia con la norma referida, estos constituyen ingreso para su beneficiario (trabajador, cónyuge o a personas vinculadas con él por parentesco dentro del cuarto grado de consanguinidad, segundo de afinidad o único civil) sometido a retención en la fuente.</w:t>
      </w:r>
    </w:p>
    <w:p w14:paraId="7CC01026" w14:textId="77777777" w:rsidR="00D24934" w:rsidRPr="00E84DD5" w:rsidRDefault="00D24934" w:rsidP="00E84DD5">
      <w:pPr>
        <w:spacing w:after="0" w:line="360" w:lineRule="auto"/>
        <w:jc w:val="both"/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</w:pPr>
    </w:p>
    <w:p w14:paraId="7EE4A507" w14:textId="1DEBDE68" w:rsidR="00D24934" w:rsidRPr="00E84DD5" w:rsidRDefault="00D24934" w:rsidP="00E84DD5">
      <w:pPr>
        <w:spacing w:after="0" w:line="360" w:lineRule="auto"/>
        <w:jc w:val="both"/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</w:pPr>
      <w:r w:rsidRPr="00E84DD5"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  <w:t>Así las cosas y dado que el literal h) del artículo </w:t>
      </w:r>
      <w:hyperlink r:id="rId17" w:anchor="379" w:history="1">
        <w:r w:rsidRPr="00E84DD5">
          <w:rPr>
            <w:rFonts w:ascii="Century Gothic" w:eastAsia="Times New Roman" w:hAnsi="Century Gothic" w:cs="Times New Roman"/>
            <w:color w:val="0000FF"/>
            <w:spacing w:val="2"/>
            <w:kern w:val="0"/>
            <w:szCs w:val="24"/>
            <w:u w:val="single"/>
            <w:lang w:eastAsia="es-CO"/>
            <w14:ligatures w14:val="none"/>
          </w:rPr>
          <w:t>379</w:t>
        </w:r>
      </w:hyperlink>
      <w:r w:rsidRPr="00E84DD5"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  <w:t> del Estatuto Tributario alude de manera general a cualquier pago que se realice a favor o por cuenta del trabajador, sin hacer distinción alguna a la manera como este se realice, resulta lógico concluir que los pagos en especie que contempla el artículo </w:t>
      </w:r>
      <w:hyperlink r:id="rId18" w:anchor="29-1" w:history="1">
        <w:r w:rsidRPr="00E84DD5">
          <w:rPr>
            <w:rFonts w:ascii="Century Gothic" w:eastAsia="Times New Roman" w:hAnsi="Century Gothic" w:cs="Times New Roman"/>
            <w:color w:val="0000FF"/>
            <w:spacing w:val="2"/>
            <w:kern w:val="0"/>
            <w:szCs w:val="24"/>
            <w:u w:val="single"/>
            <w:lang w:eastAsia="es-CO"/>
            <w14:ligatures w14:val="none"/>
          </w:rPr>
          <w:t>29-1</w:t>
        </w:r>
      </w:hyperlink>
      <w:r w:rsidRPr="00E84DD5"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  <w:t> ibidem deben reportarse en el formulario 220</w:t>
      </w:r>
      <w:r w:rsidRPr="00E84DD5">
        <w:rPr>
          <w:rFonts w:ascii="Century Gothic" w:eastAsia="Times New Roman" w:hAnsi="Century Gothic" w:cs="Times New Roman"/>
          <w:spacing w:val="2"/>
          <w:kern w:val="0"/>
          <w:szCs w:val="24"/>
          <w:highlight w:val="yellow"/>
          <w:lang w:eastAsia="es-CO"/>
          <w14:ligatures w14:val="none"/>
        </w:rPr>
        <w:t>, con excepción de aquellos que realice el empleador en virtud de pactos o convenciones colectivos, pues estos conforme lo establece el parágrafo 1 de esta última disposición no les resulta aplicable el tratamiento tributario allí señalado.</w:t>
      </w:r>
    </w:p>
    <w:p w14:paraId="6328B7C5" w14:textId="77777777" w:rsidR="00D24934" w:rsidRPr="00E84DD5" w:rsidRDefault="00D24934" w:rsidP="00E84DD5">
      <w:pPr>
        <w:spacing w:after="0" w:line="360" w:lineRule="auto"/>
        <w:jc w:val="both"/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</w:pPr>
    </w:p>
    <w:p w14:paraId="249BF98D" w14:textId="6F386FDF" w:rsidR="00D24934" w:rsidRPr="00E84DD5" w:rsidRDefault="00D24934" w:rsidP="00E84DD5">
      <w:pPr>
        <w:spacing w:after="0" w:line="360" w:lineRule="auto"/>
        <w:jc w:val="both"/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</w:pPr>
      <w:r w:rsidRPr="00E84DD5">
        <w:rPr>
          <w:rFonts w:ascii="Century Gothic" w:eastAsia="Times New Roman" w:hAnsi="Century Gothic" w:cs="Times New Roman"/>
          <w:spacing w:val="2"/>
          <w:kern w:val="0"/>
          <w:szCs w:val="24"/>
          <w:highlight w:val="cyan"/>
          <w:lang w:eastAsia="es-CO"/>
          <w14:ligatures w14:val="none"/>
        </w:rPr>
        <w:t>Para el efecto, se deberá hacer uso del reglón que se refiere a “otros pagos”</w:t>
      </w:r>
      <w:hyperlink r:id="rId19" w:anchor="NF3" w:history="1">
        <w:r w:rsidRPr="00E84DD5">
          <w:rPr>
            <w:rFonts w:ascii="Century Gothic" w:eastAsia="Times New Roman" w:hAnsi="Century Gothic" w:cs="Times New Roman"/>
            <w:b/>
            <w:bCs/>
            <w:color w:val="0000FF"/>
            <w:spacing w:val="2"/>
            <w:kern w:val="0"/>
            <w:szCs w:val="24"/>
            <w:highlight w:val="cyan"/>
            <w:u w:val="single"/>
            <w:vertAlign w:val="superscript"/>
            <w:lang w:eastAsia="es-CO"/>
            <w14:ligatures w14:val="none"/>
          </w:rPr>
          <w:t>[3]</w:t>
        </w:r>
      </w:hyperlink>
      <w:r w:rsidRPr="00E84DD5">
        <w:rPr>
          <w:rFonts w:ascii="Century Gothic" w:eastAsia="Times New Roman" w:hAnsi="Century Gothic" w:cs="Times New Roman"/>
          <w:spacing w:val="2"/>
          <w:kern w:val="0"/>
          <w:szCs w:val="24"/>
          <w:highlight w:val="cyan"/>
          <w:lang w:eastAsia="es-CO"/>
          <w14:ligatures w14:val="none"/>
        </w:rPr>
        <w:t>:</w:t>
      </w:r>
    </w:p>
    <w:p w14:paraId="37A4CE55" w14:textId="77777777" w:rsidR="00D24934" w:rsidRPr="00E84DD5" w:rsidRDefault="00D24934" w:rsidP="00E84DD5">
      <w:pPr>
        <w:spacing w:after="0" w:line="360" w:lineRule="auto"/>
        <w:jc w:val="both"/>
        <w:rPr>
          <w:rFonts w:ascii="Century Gothic" w:eastAsia="Times New Roman" w:hAnsi="Century Gothic" w:cs="Times New Roman"/>
          <w:i/>
          <w:iCs/>
          <w:spacing w:val="2"/>
          <w:kern w:val="0"/>
          <w:szCs w:val="24"/>
          <w:lang w:eastAsia="es-CO"/>
          <w14:ligatures w14:val="none"/>
        </w:rPr>
      </w:pPr>
    </w:p>
    <w:p w14:paraId="0EC16161" w14:textId="2C1EE0DA" w:rsidR="00D24934" w:rsidRPr="00E84DD5" w:rsidRDefault="00D24934" w:rsidP="00E84DD5">
      <w:pPr>
        <w:spacing w:after="0" w:line="360" w:lineRule="auto"/>
        <w:jc w:val="both"/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</w:pPr>
      <w:r w:rsidRPr="00E84DD5">
        <w:rPr>
          <w:rFonts w:ascii="Century Gothic" w:eastAsia="Times New Roman" w:hAnsi="Century Gothic" w:cs="Times New Roman"/>
          <w:i/>
          <w:iCs/>
          <w:spacing w:val="2"/>
          <w:kern w:val="0"/>
          <w:szCs w:val="24"/>
          <w:highlight w:val="cyan"/>
          <w:lang w:eastAsia="es-CO"/>
          <w14:ligatures w14:val="none"/>
        </w:rPr>
        <w:t>«Otros pagos: escriba el valor de los demás pagos efectivamente realizados en el período por conceptos diferentes a los registrados en las casillas anteriores, siempre y cuando se hayan originado en la relación laboral o legal y reglamentaria o de cualquier otra naturaleza que constituyan renta de trabajo o de pensiones, incluyendo la compensación por servicios personales.»</w:t>
      </w:r>
    </w:p>
    <w:p w14:paraId="0B5B013E" w14:textId="77777777" w:rsidR="00D24934" w:rsidRPr="00E84DD5" w:rsidRDefault="00D24934" w:rsidP="00E84DD5">
      <w:pPr>
        <w:spacing w:after="0" w:line="360" w:lineRule="auto"/>
        <w:jc w:val="both"/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</w:pPr>
    </w:p>
    <w:p w14:paraId="2BC180D5" w14:textId="0A6CCF57" w:rsidR="00D24934" w:rsidRPr="00E84DD5" w:rsidRDefault="00D24934" w:rsidP="00E84DD5">
      <w:pPr>
        <w:spacing w:after="0" w:line="360" w:lineRule="auto"/>
        <w:jc w:val="both"/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</w:pPr>
      <w:hyperlink r:id="rId20" w:anchor="8-I" w:history="1">
        <w:r w:rsidRPr="00E84DD5">
          <w:rPr>
            <w:rFonts w:ascii="Century Gothic" w:eastAsia="Times New Roman" w:hAnsi="Century Gothic" w:cs="Times New Roman"/>
            <w:b/>
            <w:bCs/>
            <w:color w:val="0000FF"/>
            <w:spacing w:val="2"/>
            <w:kern w:val="0"/>
            <w:szCs w:val="24"/>
            <w:u w:val="single"/>
            <w:lang w:eastAsia="es-CO"/>
            <w14:ligatures w14:val="none"/>
          </w:rPr>
          <w:t>8.</w:t>
        </w:r>
      </w:hyperlink>
      <w:r w:rsidRPr="00E84DD5">
        <w:rPr>
          <w:rFonts w:ascii="Century Gothic" w:eastAsia="Times New Roman" w:hAnsi="Century Gothic" w:cs="Times New Roman"/>
          <w:b/>
          <w:bCs/>
          <w:spacing w:val="2"/>
          <w:kern w:val="0"/>
          <w:szCs w:val="24"/>
          <w:lang w:eastAsia="es-CO"/>
          <w14:ligatures w14:val="none"/>
        </w:rPr>
        <w:t> ¿Es obligación reportar la información tributaria correspondiente a los pagos en especie que contempla el artículo </w:t>
      </w:r>
      <w:hyperlink r:id="rId21" w:anchor="291" w:history="1">
        <w:r w:rsidRPr="00E84DD5">
          <w:rPr>
            <w:rFonts w:ascii="Century Gothic" w:eastAsia="Times New Roman" w:hAnsi="Century Gothic" w:cs="Times New Roman"/>
            <w:color w:val="0000FF"/>
            <w:spacing w:val="2"/>
            <w:kern w:val="0"/>
            <w:szCs w:val="24"/>
            <w:u w:val="single"/>
            <w:lang w:eastAsia="es-CO"/>
            <w14:ligatures w14:val="none"/>
          </w:rPr>
          <w:t>291</w:t>
        </w:r>
      </w:hyperlink>
      <w:r w:rsidRPr="00E84DD5">
        <w:rPr>
          <w:rFonts w:ascii="Century Gothic" w:eastAsia="Times New Roman" w:hAnsi="Century Gothic" w:cs="Times New Roman"/>
          <w:b/>
          <w:bCs/>
          <w:spacing w:val="2"/>
          <w:kern w:val="0"/>
          <w:szCs w:val="24"/>
          <w:lang w:eastAsia="es-CO"/>
          <w14:ligatures w14:val="none"/>
        </w:rPr>
        <w:t> del Estatuto Tributario?</w:t>
      </w:r>
    </w:p>
    <w:p w14:paraId="11224754" w14:textId="77777777" w:rsidR="00D24934" w:rsidRPr="00E84DD5" w:rsidRDefault="00D24934" w:rsidP="00E84DD5">
      <w:pPr>
        <w:spacing w:after="240" w:line="360" w:lineRule="auto"/>
        <w:jc w:val="both"/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</w:pPr>
    </w:p>
    <w:p w14:paraId="397846DE" w14:textId="3D4B69B0" w:rsidR="00D24934" w:rsidRPr="00E84DD5" w:rsidRDefault="00D24934" w:rsidP="00E84DD5">
      <w:pPr>
        <w:spacing w:after="240" w:line="360" w:lineRule="auto"/>
        <w:jc w:val="both"/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</w:pPr>
      <w:r w:rsidRPr="00E84DD5">
        <w:rPr>
          <w:rFonts w:ascii="Century Gothic" w:eastAsia="Times New Roman" w:hAnsi="Century Gothic" w:cs="Times New Roman"/>
          <w:spacing w:val="2"/>
          <w:kern w:val="0"/>
          <w:szCs w:val="24"/>
          <w:highlight w:val="cyan"/>
          <w:lang w:eastAsia="es-CO"/>
          <w14:ligatures w14:val="none"/>
        </w:rPr>
        <w:t>Como se precisó en el numeral 3 de este concepto, los pagos en especie deben considerarse como información tributaria que debe suministrarse a la DIAN.</w:t>
      </w:r>
    </w:p>
    <w:p w14:paraId="5643842B" w14:textId="77777777" w:rsidR="00D24934" w:rsidRPr="00E84DD5" w:rsidRDefault="00D24934" w:rsidP="00E84DD5">
      <w:pPr>
        <w:spacing w:after="0" w:line="360" w:lineRule="auto"/>
        <w:jc w:val="both"/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</w:pPr>
      <w:r w:rsidRPr="00E84DD5"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  <w:lastRenderedPageBreak/>
        <w:t>Para el efecto, se deberá dar aplicación al artículo </w:t>
      </w:r>
      <w:hyperlink r:id="rId22" w:anchor="20" w:history="1">
        <w:r w:rsidRPr="00E84DD5">
          <w:rPr>
            <w:rFonts w:ascii="Century Gothic" w:eastAsia="Times New Roman" w:hAnsi="Century Gothic" w:cs="Times New Roman"/>
            <w:color w:val="0000FF"/>
            <w:spacing w:val="2"/>
            <w:kern w:val="0"/>
            <w:szCs w:val="24"/>
            <w:u w:val="single"/>
            <w:lang w:eastAsia="es-CO"/>
            <w14:ligatures w14:val="none"/>
          </w:rPr>
          <w:t>20</w:t>
        </w:r>
      </w:hyperlink>
      <w:r w:rsidRPr="00E84DD5"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  <w:t> de la Resolución DIAN 000162 de 2023 que establece la información que se debe reportar relacionada con los pagos y abonos en cuenta y retenciones en la fuente practicada. Así como los formatos diseñados para el efecto. En este sentido, corresponderá al obligado a enviar la información tributaria establecer si debe hacer uso del Formato 2276 o del Formato 1001.</w:t>
      </w:r>
    </w:p>
    <w:p w14:paraId="7732576F" w14:textId="6B171271" w:rsidR="00D24934" w:rsidRPr="00E84DD5" w:rsidRDefault="00D24934" w:rsidP="00E84DD5">
      <w:pPr>
        <w:spacing w:after="240" w:line="360" w:lineRule="auto"/>
        <w:jc w:val="both"/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</w:pPr>
      <w:r w:rsidRPr="00E84DD5"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  <w:t>Adicionalmente, para efectos de reportar dicha información es importante tener en cuenta la precisión que al respecto realiza el parágrafo 15 del mencionado artículo, así:</w:t>
      </w:r>
    </w:p>
    <w:p w14:paraId="61513A27" w14:textId="77777777" w:rsidR="00D24934" w:rsidRPr="00E84DD5" w:rsidRDefault="00D24934" w:rsidP="00E84DD5">
      <w:pPr>
        <w:spacing w:after="0" w:line="360" w:lineRule="auto"/>
        <w:jc w:val="both"/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</w:pPr>
      <w:r w:rsidRPr="00E84DD5">
        <w:rPr>
          <w:rFonts w:ascii="Century Gothic" w:eastAsia="Times New Roman" w:hAnsi="Century Gothic" w:cs="Times New Roman"/>
          <w:i/>
          <w:iCs/>
          <w:spacing w:val="2"/>
          <w:kern w:val="0"/>
          <w:szCs w:val="24"/>
          <w:lang w:eastAsia="es-CO"/>
          <w14:ligatures w14:val="none"/>
        </w:rPr>
        <w:t>«Parágrafo 15. El sujeto a reportar en el “Valor del pago que constituye ingreso en especie para el beneficiario (Art. </w:t>
      </w:r>
      <w:hyperlink r:id="rId23" w:anchor="29-1" w:history="1">
        <w:r w:rsidRPr="00E84DD5">
          <w:rPr>
            <w:rFonts w:ascii="Century Gothic" w:eastAsia="Times New Roman" w:hAnsi="Century Gothic" w:cs="Times New Roman"/>
            <w:i/>
            <w:iCs/>
            <w:color w:val="0000FF"/>
            <w:spacing w:val="2"/>
            <w:kern w:val="0"/>
            <w:szCs w:val="24"/>
            <w:u w:val="single"/>
            <w:lang w:eastAsia="es-CO"/>
            <w14:ligatures w14:val="none"/>
          </w:rPr>
          <w:t>29-1</w:t>
        </w:r>
      </w:hyperlink>
      <w:r w:rsidRPr="00E84DD5">
        <w:rPr>
          <w:rFonts w:ascii="Century Gothic" w:eastAsia="Times New Roman" w:hAnsi="Century Gothic" w:cs="Times New Roman"/>
          <w:i/>
          <w:iCs/>
          <w:spacing w:val="2"/>
          <w:kern w:val="0"/>
          <w:szCs w:val="24"/>
          <w:lang w:eastAsia="es-CO"/>
          <w14:ligatures w14:val="none"/>
        </w:rPr>
        <w:t xml:space="preserve"> E.T.) corresponde al beneficiario que recibe el bien o </w:t>
      </w:r>
      <w:proofErr w:type="spellStart"/>
      <w:r w:rsidRPr="00E84DD5">
        <w:rPr>
          <w:rFonts w:ascii="Century Gothic" w:eastAsia="Times New Roman" w:hAnsi="Century Gothic" w:cs="Times New Roman"/>
          <w:i/>
          <w:iCs/>
          <w:spacing w:val="2"/>
          <w:kern w:val="0"/>
          <w:szCs w:val="24"/>
          <w:lang w:eastAsia="es-CO"/>
          <w14:ligatures w14:val="none"/>
        </w:rPr>
        <w:t>e</w:t>
      </w:r>
      <w:proofErr w:type="spellEnd"/>
      <w:r w:rsidRPr="00E84DD5">
        <w:rPr>
          <w:rFonts w:ascii="Century Gothic" w:eastAsia="Times New Roman" w:hAnsi="Century Gothic" w:cs="Times New Roman"/>
          <w:i/>
          <w:iCs/>
          <w:spacing w:val="2"/>
          <w:kern w:val="0"/>
          <w:szCs w:val="24"/>
          <w:lang w:eastAsia="es-CO"/>
          <w14:ligatures w14:val="none"/>
        </w:rPr>
        <w:t xml:space="preserve"> servicio a título de ingreso en especie do conformidad con lo establecido en el artículo </w:t>
      </w:r>
      <w:hyperlink r:id="rId24" w:anchor="29-1" w:history="1">
        <w:r w:rsidRPr="00E84DD5">
          <w:rPr>
            <w:rFonts w:ascii="Century Gothic" w:eastAsia="Times New Roman" w:hAnsi="Century Gothic" w:cs="Times New Roman"/>
            <w:i/>
            <w:iCs/>
            <w:color w:val="0000FF"/>
            <w:spacing w:val="2"/>
            <w:kern w:val="0"/>
            <w:szCs w:val="24"/>
            <w:u w:val="single"/>
            <w:lang w:eastAsia="es-CO"/>
            <w14:ligatures w14:val="none"/>
          </w:rPr>
          <w:t>29-1</w:t>
        </w:r>
      </w:hyperlink>
      <w:r w:rsidRPr="00E84DD5">
        <w:rPr>
          <w:rFonts w:ascii="Century Gothic" w:eastAsia="Times New Roman" w:hAnsi="Century Gothic" w:cs="Times New Roman"/>
          <w:i/>
          <w:iCs/>
          <w:spacing w:val="2"/>
          <w:kern w:val="0"/>
          <w:szCs w:val="24"/>
          <w:lang w:eastAsia="es-CO"/>
          <w14:ligatures w14:val="none"/>
        </w:rPr>
        <w:t> del Estatuto Tributario.»</w:t>
      </w:r>
    </w:p>
    <w:p w14:paraId="087D5319" w14:textId="77777777" w:rsidR="00D24934" w:rsidRPr="00E84DD5" w:rsidRDefault="00D24934" w:rsidP="00E84DD5">
      <w:pPr>
        <w:spacing w:after="240" w:line="360" w:lineRule="auto"/>
        <w:jc w:val="both"/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</w:pPr>
    </w:p>
    <w:p w14:paraId="0430DBB0" w14:textId="6504E976" w:rsidR="00D24934" w:rsidRPr="00E84DD5" w:rsidRDefault="00D24934" w:rsidP="00E84DD5">
      <w:pPr>
        <w:spacing w:after="240" w:line="360" w:lineRule="auto"/>
        <w:jc w:val="both"/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</w:pPr>
      <w:r w:rsidRPr="00E84DD5"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  <w:t>En los anteriores términos se absuelve su petición y se recuerda que la normativa, jurisprudencia y doctrina en materia tributaria, aduanera y de fiscalización cambiaria, en lo de competencia de esta Entidad, puede consultarse en el normograma DIAN: https://normograma.dian.gov.co/dian/.</w:t>
      </w:r>
    </w:p>
    <w:p w14:paraId="6168A988" w14:textId="77777777" w:rsidR="00D24934" w:rsidRPr="00E84DD5" w:rsidRDefault="00D24934" w:rsidP="00E84DD5">
      <w:pPr>
        <w:spacing w:after="0" w:line="360" w:lineRule="auto"/>
        <w:jc w:val="both"/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</w:pPr>
      <w:bookmarkStart w:id="0" w:name="NF"/>
      <w:r w:rsidRPr="00E84DD5">
        <w:rPr>
          <w:rFonts w:ascii="Century Gothic" w:eastAsia="Times New Roman" w:hAnsi="Century Gothic" w:cs="Times New Roman"/>
          <w:spacing w:val="2"/>
          <w:kern w:val="0"/>
          <w:szCs w:val="24"/>
          <w:u w:val="single"/>
          <w:lang w:eastAsia="es-CO"/>
          <w14:ligatures w14:val="none"/>
        </w:rPr>
        <w:t>&lt;NOTAS DE PIE DE PÁGINA&gt;.</w:t>
      </w:r>
      <w:bookmarkEnd w:id="0"/>
    </w:p>
    <w:p w14:paraId="0127786F" w14:textId="77777777" w:rsidR="00D24934" w:rsidRPr="00E84DD5" w:rsidRDefault="00D24934" w:rsidP="00E84DD5">
      <w:pPr>
        <w:spacing w:after="0" w:line="360" w:lineRule="auto"/>
        <w:jc w:val="both"/>
        <w:rPr>
          <w:rFonts w:ascii="Century Gothic" w:eastAsia="Times New Roman" w:hAnsi="Century Gothic" w:cs="Times New Roman"/>
          <w:spacing w:val="2"/>
          <w:kern w:val="0"/>
          <w:szCs w:val="24"/>
          <w:u w:val="single"/>
          <w:lang w:eastAsia="es-CO"/>
          <w14:ligatures w14:val="none"/>
        </w:rPr>
      </w:pPr>
      <w:bookmarkStart w:id="1" w:name="NF1"/>
    </w:p>
    <w:p w14:paraId="073CA1E6" w14:textId="4AE9A9E4" w:rsidR="00D24934" w:rsidRPr="00E84DD5" w:rsidRDefault="00D24934" w:rsidP="00E84DD5">
      <w:pPr>
        <w:spacing w:after="0" w:line="360" w:lineRule="auto"/>
        <w:jc w:val="both"/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</w:pPr>
      <w:r w:rsidRPr="00E84DD5">
        <w:rPr>
          <w:rFonts w:ascii="Century Gothic" w:eastAsia="Times New Roman" w:hAnsi="Century Gothic" w:cs="Times New Roman"/>
          <w:spacing w:val="2"/>
          <w:kern w:val="0"/>
          <w:szCs w:val="24"/>
          <w:u w:val="single"/>
          <w:lang w:eastAsia="es-CO"/>
          <w14:ligatures w14:val="none"/>
        </w:rPr>
        <w:t>1. </w:t>
      </w:r>
      <w:bookmarkEnd w:id="1"/>
      <w:r w:rsidRPr="00E84DD5">
        <w:rPr>
          <w:rFonts w:ascii="Century Gothic" w:eastAsia="Times New Roman" w:hAnsi="Century Gothic" w:cs="Times New Roman"/>
          <w:b/>
          <w:bCs/>
          <w:spacing w:val="2"/>
          <w:kern w:val="0"/>
          <w:szCs w:val="24"/>
          <w:lang w:eastAsia="es-CO"/>
          <w14:ligatures w14:val="none"/>
        </w:rPr>
        <w:t>De conformidad con el numeral 4 del artículo </w:t>
      </w:r>
      <w:hyperlink r:id="rId25" w:anchor="56" w:history="1">
        <w:r w:rsidRPr="00E84DD5">
          <w:rPr>
            <w:rFonts w:ascii="Century Gothic" w:eastAsia="Times New Roman" w:hAnsi="Century Gothic" w:cs="Times New Roman"/>
            <w:color w:val="0000FF"/>
            <w:spacing w:val="2"/>
            <w:kern w:val="0"/>
            <w:szCs w:val="24"/>
            <w:u w:val="single"/>
            <w:lang w:eastAsia="es-CO"/>
            <w14:ligatures w14:val="none"/>
          </w:rPr>
          <w:t>56</w:t>
        </w:r>
      </w:hyperlink>
      <w:r w:rsidRPr="00E84DD5">
        <w:rPr>
          <w:rFonts w:ascii="Century Gothic" w:eastAsia="Times New Roman" w:hAnsi="Century Gothic" w:cs="Times New Roman"/>
          <w:b/>
          <w:bCs/>
          <w:spacing w:val="2"/>
          <w:kern w:val="0"/>
          <w:szCs w:val="24"/>
          <w:lang w:eastAsia="es-CO"/>
          <w14:ligatures w14:val="none"/>
        </w:rPr>
        <w:t> del Decreto 1742 de 2020 y el artículo </w:t>
      </w:r>
      <w:hyperlink r:id="rId26" w:anchor="7" w:history="1">
        <w:r w:rsidRPr="00E84DD5">
          <w:rPr>
            <w:rFonts w:ascii="Century Gothic" w:eastAsia="Times New Roman" w:hAnsi="Century Gothic" w:cs="Times New Roman"/>
            <w:color w:val="0000FF"/>
            <w:spacing w:val="2"/>
            <w:kern w:val="0"/>
            <w:szCs w:val="24"/>
            <w:u w:val="single"/>
            <w:lang w:eastAsia="es-CO"/>
            <w14:ligatures w14:val="none"/>
          </w:rPr>
          <w:t>7</w:t>
        </w:r>
      </w:hyperlink>
      <w:r w:rsidRPr="00E84DD5">
        <w:rPr>
          <w:rFonts w:ascii="Century Gothic" w:eastAsia="Times New Roman" w:hAnsi="Century Gothic" w:cs="Times New Roman"/>
          <w:b/>
          <w:bCs/>
          <w:spacing w:val="2"/>
          <w:kern w:val="0"/>
          <w:szCs w:val="24"/>
          <w:lang w:eastAsia="es-CO"/>
          <w14:ligatures w14:val="none"/>
        </w:rPr>
        <w:t> de la Resolución DIAN 91 de 2021.</w:t>
      </w:r>
    </w:p>
    <w:p w14:paraId="3C1B9FB7" w14:textId="77777777" w:rsidR="00D24934" w:rsidRPr="00E84DD5" w:rsidRDefault="00D24934" w:rsidP="00E84DD5">
      <w:pPr>
        <w:spacing w:after="0" w:line="360" w:lineRule="auto"/>
        <w:jc w:val="both"/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</w:pPr>
      <w:bookmarkStart w:id="2" w:name="NF2"/>
      <w:r w:rsidRPr="00E84DD5">
        <w:rPr>
          <w:rFonts w:ascii="Century Gothic" w:eastAsia="Times New Roman" w:hAnsi="Century Gothic" w:cs="Times New Roman"/>
          <w:spacing w:val="2"/>
          <w:kern w:val="0"/>
          <w:szCs w:val="24"/>
          <w:u w:val="single"/>
          <w:lang w:eastAsia="es-CO"/>
          <w14:ligatures w14:val="none"/>
        </w:rPr>
        <w:t>2. </w:t>
      </w:r>
      <w:bookmarkEnd w:id="2"/>
      <w:r w:rsidRPr="00E84DD5">
        <w:rPr>
          <w:rFonts w:ascii="Century Gothic" w:eastAsia="Times New Roman" w:hAnsi="Century Gothic" w:cs="Times New Roman"/>
          <w:b/>
          <w:bCs/>
          <w:spacing w:val="2"/>
          <w:kern w:val="0"/>
          <w:szCs w:val="24"/>
          <w:lang w:eastAsia="es-CO"/>
          <w14:ligatures w14:val="none"/>
        </w:rPr>
        <w:t>De conformidad con el numeral 1 del artículo </w:t>
      </w:r>
      <w:hyperlink r:id="rId27" w:anchor="56" w:history="1">
        <w:r w:rsidRPr="00E84DD5">
          <w:rPr>
            <w:rFonts w:ascii="Century Gothic" w:eastAsia="Times New Roman" w:hAnsi="Century Gothic" w:cs="Times New Roman"/>
            <w:color w:val="0000FF"/>
            <w:spacing w:val="2"/>
            <w:kern w:val="0"/>
            <w:szCs w:val="24"/>
            <w:u w:val="single"/>
            <w:lang w:eastAsia="es-CO"/>
            <w14:ligatures w14:val="none"/>
          </w:rPr>
          <w:t>56</w:t>
        </w:r>
      </w:hyperlink>
      <w:r w:rsidRPr="00E84DD5">
        <w:rPr>
          <w:rFonts w:ascii="Century Gothic" w:eastAsia="Times New Roman" w:hAnsi="Century Gothic" w:cs="Times New Roman"/>
          <w:b/>
          <w:bCs/>
          <w:spacing w:val="2"/>
          <w:kern w:val="0"/>
          <w:szCs w:val="24"/>
          <w:lang w:eastAsia="es-CO"/>
          <w14:ligatures w14:val="none"/>
        </w:rPr>
        <w:t> del Decreto 1742 de 2020 y el artículo </w:t>
      </w:r>
      <w:hyperlink r:id="rId28" w:anchor="7-1" w:history="1">
        <w:r w:rsidRPr="00E84DD5">
          <w:rPr>
            <w:rFonts w:ascii="Century Gothic" w:eastAsia="Times New Roman" w:hAnsi="Century Gothic" w:cs="Times New Roman"/>
            <w:color w:val="0000FF"/>
            <w:spacing w:val="2"/>
            <w:kern w:val="0"/>
            <w:szCs w:val="24"/>
            <w:u w:val="single"/>
            <w:lang w:eastAsia="es-CO"/>
            <w14:ligatures w14:val="none"/>
          </w:rPr>
          <w:t>7-1</w:t>
        </w:r>
      </w:hyperlink>
      <w:r w:rsidRPr="00E84DD5">
        <w:rPr>
          <w:rFonts w:ascii="Century Gothic" w:eastAsia="Times New Roman" w:hAnsi="Century Gothic" w:cs="Times New Roman"/>
          <w:b/>
          <w:bCs/>
          <w:spacing w:val="2"/>
          <w:kern w:val="0"/>
          <w:szCs w:val="24"/>
          <w:lang w:eastAsia="es-CO"/>
          <w14:ligatures w14:val="none"/>
        </w:rPr>
        <w:t> de la Resolución DIAN 91 de 2021.</w:t>
      </w:r>
    </w:p>
    <w:p w14:paraId="0ACAFAF0" w14:textId="77777777" w:rsidR="00D24934" w:rsidRPr="00E84DD5" w:rsidRDefault="00D24934" w:rsidP="00E84DD5">
      <w:pPr>
        <w:spacing w:after="0" w:line="360" w:lineRule="auto"/>
        <w:jc w:val="both"/>
        <w:rPr>
          <w:rFonts w:ascii="Century Gothic" w:eastAsia="Times New Roman" w:hAnsi="Century Gothic" w:cs="Times New Roman"/>
          <w:spacing w:val="2"/>
          <w:kern w:val="0"/>
          <w:szCs w:val="24"/>
          <w:lang w:eastAsia="es-CO"/>
          <w14:ligatures w14:val="none"/>
        </w:rPr>
      </w:pPr>
      <w:bookmarkStart w:id="3" w:name="NF3"/>
      <w:r w:rsidRPr="00E84DD5">
        <w:rPr>
          <w:rFonts w:ascii="Century Gothic" w:eastAsia="Times New Roman" w:hAnsi="Century Gothic" w:cs="Times New Roman"/>
          <w:spacing w:val="2"/>
          <w:kern w:val="0"/>
          <w:szCs w:val="24"/>
          <w:u w:val="single"/>
          <w:lang w:eastAsia="es-CO"/>
          <w14:ligatures w14:val="none"/>
        </w:rPr>
        <w:t>3. </w:t>
      </w:r>
      <w:bookmarkEnd w:id="3"/>
      <w:r w:rsidRPr="00E84DD5">
        <w:rPr>
          <w:rFonts w:ascii="Century Gothic" w:eastAsia="Times New Roman" w:hAnsi="Century Gothic" w:cs="Times New Roman"/>
          <w:b/>
          <w:bCs/>
          <w:spacing w:val="2"/>
          <w:kern w:val="0"/>
          <w:szCs w:val="24"/>
          <w:lang w:eastAsia="es-CO"/>
          <w14:ligatures w14:val="none"/>
        </w:rPr>
        <w:t>Para el caso del Certificado de ingresos y retenciones por rentas de trabajo y de pensiones Año gravable 2023, prescito mediante Resolución No. 00</w:t>
      </w:r>
      <w:hyperlink r:id="rId29" w:anchor="0" w:history="1">
        <w:r w:rsidRPr="00E84DD5">
          <w:rPr>
            <w:rFonts w:ascii="Century Gothic" w:eastAsia="Times New Roman" w:hAnsi="Century Gothic" w:cs="Times New Roman"/>
            <w:color w:val="0000FF"/>
            <w:spacing w:val="2"/>
            <w:kern w:val="0"/>
            <w:szCs w:val="24"/>
            <w:u w:val="single"/>
            <w:lang w:eastAsia="es-CO"/>
            <w14:ligatures w14:val="none"/>
          </w:rPr>
          <w:t>0022</w:t>
        </w:r>
      </w:hyperlink>
      <w:r w:rsidRPr="00E84DD5">
        <w:rPr>
          <w:rFonts w:ascii="Century Gothic" w:eastAsia="Times New Roman" w:hAnsi="Century Gothic" w:cs="Times New Roman"/>
          <w:b/>
          <w:bCs/>
          <w:spacing w:val="2"/>
          <w:kern w:val="0"/>
          <w:szCs w:val="24"/>
          <w:lang w:eastAsia="es-CO"/>
          <w14:ligatures w14:val="none"/>
        </w:rPr>
        <w:t xml:space="preserve"> del 20 de </w:t>
      </w:r>
      <w:proofErr w:type="gramStart"/>
      <w:r w:rsidRPr="00E84DD5">
        <w:rPr>
          <w:rFonts w:ascii="Century Gothic" w:eastAsia="Times New Roman" w:hAnsi="Century Gothic" w:cs="Times New Roman"/>
          <w:b/>
          <w:bCs/>
          <w:spacing w:val="2"/>
          <w:kern w:val="0"/>
          <w:szCs w:val="24"/>
          <w:lang w:eastAsia="es-CO"/>
          <w14:ligatures w14:val="none"/>
        </w:rPr>
        <w:t>Febrero</w:t>
      </w:r>
      <w:proofErr w:type="gramEnd"/>
      <w:r w:rsidRPr="00E84DD5">
        <w:rPr>
          <w:rFonts w:ascii="Century Gothic" w:eastAsia="Times New Roman" w:hAnsi="Century Gothic" w:cs="Times New Roman"/>
          <w:b/>
          <w:bCs/>
          <w:spacing w:val="2"/>
          <w:kern w:val="0"/>
          <w:szCs w:val="24"/>
          <w:lang w:eastAsia="es-CO"/>
          <w14:ligatures w14:val="none"/>
        </w:rPr>
        <w:t xml:space="preserve"> de 2024, corresponde al renglón 46.</w:t>
      </w:r>
    </w:p>
    <w:p w14:paraId="2809794B" w14:textId="77777777" w:rsidR="00D24934" w:rsidRPr="00E84DD5" w:rsidRDefault="00D24934" w:rsidP="00E84DD5">
      <w:pPr>
        <w:spacing w:after="0" w:line="360" w:lineRule="auto"/>
        <w:jc w:val="both"/>
        <w:rPr>
          <w:rFonts w:ascii="Century Gothic" w:eastAsia="Times New Roman" w:hAnsi="Century Gothic" w:cs="Times New Roman"/>
          <w:color w:val="454545"/>
          <w:kern w:val="0"/>
          <w:szCs w:val="24"/>
          <w:lang w:eastAsia="es-CO"/>
          <w14:ligatures w14:val="none"/>
        </w:rPr>
      </w:pPr>
      <w:r w:rsidRPr="00E84DD5">
        <w:rPr>
          <w:rFonts w:ascii="Century Gothic" w:eastAsia="Times New Roman" w:hAnsi="Century Gothic" w:cs="Times New Roman"/>
          <w:noProof/>
          <w:color w:val="0000FF"/>
          <w:kern w:val="0"/>
          <w:szCs w:val="24"/>
          <w:lang w:eastAsia="es-CO"/>
          <w14:ligatures w14:val="none"/>
        </w:rPr>
        <mc:AlternateContent>
          <mc:Choice Requires="wps">
            <w:drawing>
              <wp:inline distT="0" distB="0" distL="0" distR="0" wp14:anchorId="0E7EFD41" wp14:editId="38C65345">
                <wp:extent cx="304800" cy="304800"/>
                <wp:effectExtent l="0" t="0" r="0" b="0"/>
                <wp:docPr id="2034145913" name="AutoShape 1" descr="Ir al inicio">
                  <a:hlinkClick xmlns:a="http://schemas.openxmlformats.org/drawingml/2006/main" r:id="rId30" tooltip="&quot;Ir al inicio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AA291B" id="AutoShape 1" o:spid="_x0000_s1026" alt="Ir al inicio" href="https://normograma.dian.gov.co/dian/compilacion/docs/oficio_dian_17978_2024.htm#documento_top" title="&quot;Ir al inicio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6390405" w14:textId="77777777" w:rsidR="007F5CC8" w:rsidRPr="00E84DD5" w:rsidRDefault="007F5CC8" w:rsidP="00E84DD5">
      <w:pPr>
        <w:spacing w:line="360" w:lineRule="auto"/>
        <w:rPr>
          <w:rFonts w:ascii="Century Gothic" w:hAnsi="Century Gothic"/>
          <w:szCs w:val="24"/>
        </w:rPr>
      </w:pPr>
    </w:p>
    <w:sectPr w:rsidR="007F5CC8" w:rsidRPr="00E84DD5" w:rsidSect="00EB5ADB">
      <w:type w:val="continuous"/>
      <w:pgSz w:w="12191" w:h="18711"/>
      <w:pgMar w:top="1134" w:right="1134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34"/>
    <w:rsid w:val="000F3837"/>
    <w:rsid w:val="0013145B"/>
    <w:rsid w:val="001E311E"/>
    <w:rsid w:val="003D1188"/>
    <w:rsid w:val="00434AE6"/>
    <w:rsid w:val="005D25EE"/>
    <w:rsid w:val="007F5CC8"/>
    <w:rsid w:val="008779BE"/>
    <w:rsid w:val="008C2E57"/>
    <w:rsid w:val="00D24934"/>
    <w:rsid w:val="00E84DD5"/>
    <w:rsid w:val="00E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A08C"/>
  <w15:chartTrackingRefBased/>
  <w15:docId w15:val="{6136C71A-C1D7-4008-8FEE-B8A2FCFD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4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4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49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49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49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49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49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49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49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4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4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493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49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49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49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49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49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49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4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4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49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49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4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49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49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49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4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493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49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ograma.dian.gov.co/dian/compilacion/docs/ley_2010_2019.htm" TargetMode="External"/><Relationship Id="rId13" Type="http://schemas.openxmlformats.org/officeDocument/2006/relationships/hyperlink" Target="https://normograma.dian.gov.co/dian/compilacion/docs/oficio_dian_3966_2023.htm" TargetMode="External"/><Relationship Id="rId18" Type="http://schemas.openxmlformats.org/officeDocument/2006/relationships/hyperlink" Target="https://normograma.dian.gov.co/dian/compilacion/docs/estatuto_tributario.htm" TargetMode="External"/><Relationship Id="rId26" Type="http://schemas.openxmlformats.org/officeDocument/2006/relationships/hyperlink" Target="https://normograma.dian.gov.co/dian/compilacion/docs/resolucion_dian_0091_2021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ograma.dian.gov.co/dian/compilacion/docs/estatuto_tributario.htm" TargetMode="External"/><Relationship Id="rId7" Type="http://schemas.openxmlformats.org/officeDocument/2006/relationships/hyperlink" Target="https://normograma.dian.gov.co/dian/compilacion/docs/oficio_dian_17978_2024.htm" TargetMode="External"/><Relationship Id="rId12" Type="http://schemas.openxmlformats.org/officeDocument/2006/relationships/hyperlink" Target="https://normograma.dian.gov.co/dian/compilacion/docs/oficio_dian_3966_2023.htm" TargetMode="External"/><Relationship Id="rId17" Type="http://schemas.openxmlformats.org/officeDocument/2006/relationships/hyperlink" Target="https://normograma.dian.gov.co/dian/compilacion/docs/estatuto_tributario.htm" TargetMode="External"/><Relationship Id="rId25" Type="http://schemas.openxmlformats.org/officeDocument/2006/relationships/hyperlink" Target="https://normograma.dian.gov.co/dian/compilacion/docs/decreto_1742_2020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ograma.dian.gov.co/dian/compilacion/docs/estatuto_tributario.htm" TargetMode="External"/><Relationship Id="rId20" Type="http://schemas.openxmlformats.org/officeDocument/2006/relationships/hyperlink" Target="https://normograma.dian.gov.co/dian/compilacion/docs/oficio_dian_3966_2023.htm" TargetMode="External"/><Relationship Id="rId29" Type="http://schemas.openxmlformats.org/officeDocument/2006/relationships/hyperlink" Target="https://normograma.dian.gov.co/dian/compilacion/docs/resolucion_dian_0022_2024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ograma.dian.gov.co/dian/compilacion/docs/ley_2277_2022.htm" TargetMode="External"/><Relationship Id="rId11" Type="http://schemas.openxmlformats.org/officeDocument/2006/relationships/hyperlink" Target="https://normograma.dian.gov.co/dian/compilacion/docs/ley_2277_2022.htm" TargetMode="External"/><Relationship Id="rId24" Type="http://schemas.openxmlformats.org/officeDocument/2006/relationships/hyperlink" Target="https://normograma.dian.gov.co/dian/compilacion/docs/estatuto_tributario.htm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normograma.dian.gov.co/dian/compilacion/docs/ley_2277_2022.htm" TargetMode="External"/><Relationship Id="rId15" Type="http://schemas.openxmlformats.org/officeDocument/2006/relationships/hyperlink" Target="https://normograma.dian.gov.co/dian/compilacion/docs/estatuto_tributario.htm" TargetMode="External"/><Relationship Id="rId23" Type="http://schemas.openxmlformats.org/officeDocument/2006/relationships/hyperlink" Target="https://normograma.dian.gov.co/dian/compilacion/docs/estatuto_tributario.htm" TargetMode="External"/><Relationship Id="rId28" Type="http://schemas.openxmlformats.org/officeDocument/2006/relationships/hyperlink" Target="https://normograma.dian.gov.co/dian/compilacion/docs/resolucion_dian_0091_2021.htm" TargetMode="External"/><Relationship Id="rId10" Type="http://schemas.openxmlformats.org/officeDocument/2006/relationships/hyperlink" Target="https://normograma.dian.gov.co/dian/compilacion/docs/estatuto_tributario.htm" TargetMode="External"/><Relationship Id="rId19" Type="http://schemas.openxmlformats.org/officeDocument/2006/relationships/hyperlink" Target="https://normograma.dian.gov.co/dian/compilacion/docs/oficio_dian_17978_2024.htm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normograma.dian.gov.co/dian/compilacion/docs/estatuto_tributario.htm" TargetMode="External"/><Relationship Id="rId9" Type="http://schemas.openxmlformats.org/officeDocument/2006/relationships/hyperlink" Target="https://normograma.dian.gov.co/dian/compilacion/docs/oficio_dian_17978_2024.htm" TargetMode="External"/><Relationship Id="rId14" Type="http://schemas.openxmlformats.org/officeDocument/2006/relationships/hyperlink" Target="https://normograma.dian.gov.co/dian/compilacion/docs/estatuto_tributario.htm" TargetMode="External"/><Relationship Id="rId22" Type="http://schemas.openxmlformats.org/officeDocument/2006/relationships/hyperlink" Target="https://normograma.dian.gov.co/dian/compilacion/docs/resolucion_dian_0162_2023.htm" TargetMode="External"/><Relationship Id="rId27" Type="http://schemas.openxmlformats.org/officeDocument/2006/relationships/hyperlink" Target="https://normograma.dian.gov.co/dian/compilacion/docs/decreto_1742_2020.htm" TargetMode="External"/><Relationship Id="rId30" Type="http://schemas.openxmlformats.org/officeDocument/2006/relationships/hyperlink" Target="https://normograma.dian.gov.co/dian/compilacion/docs/oficio_dian_17978_2024.htm#documento_to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1231</Words>
  <Characters>6775</Characters>
  <Application>Microsoft Office Word</Application>
  <DocSecurity>0</DocSecurity>
  <Lines>56</Lines>
  <Paragraphs>15</Paragraphs>
  <ScaleCrop>false</ScaleCrop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Alexandra Orozco López</dc:creator>
  <cp:keywords/>
  <dc:description/>
  <cp:lastModifiedBy>Diana Alexandra Orozco López</cp:lastModifiedBy>
  <cp:revision>2</cp:revision>
  <dcterms:created xsi:type="dcterms:W3CDTF">2024-10-20T11:06:00Z</dcterms:created>
  <dcterms:modified xsi:type="dcterms:W3CDTF">2024-10-26T00:12:00Z</dcterms:modified>
</cp:coreProperties>
</file>