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D136C" w14:textId="77777777" w:rsidR="00E23F87" w:rsidRPr="00E23F87" w:rsidRDefault="00E23F87" w:rsidP="00E23F87">
      <w:pPr>
        <w:spacing w:after="0" w:line="480" w:lineRule="atLeast"/>
        <w:jc w:val="center"/>
        <w:rPr>
          <w:rFonts w:ascii="Roboto Condensed" w:eastAsia="Times New Roman" w:hAnsi="Roboto Condensed" w:cs="Times New Roman"/>
          <w:spacing w:val="2"/>
          <w:kern w:val="0"/>
          <w:sz w:val="27"/>
          <w:szCs w:val="27"/>
          <w:lang w:eastAsia="es-CO"/>
          <w14:ligatures w14:val="none"/>
        </w:rPr>
      </w:pPr>
      <w:r w:rsidRPr="00E23F87">
        <w:rPr>
          <w:rFonts w:ascii="Roboto Condensed" w:eastAsia="Times New Roman" w:hAnsi="Roboto Condensed" w:cs="Times New Roman"/>
          <w:b/>
          <w:bCs/>
          <w:spacing w:val="2"/>
          <w:kern w:val="0"/>
          <w:sz w:val="36"/>
          <w:szCs w:val="36"/>
          <w:lang w:eastAsia="es-CO"/>
          <w14:ligatures w14:val="none"/>
        </w:rPr>
        <w:t xml:space="preserve">CONCEPTO 013703 </w:t>
      </w:r>
      <w:proofErr w:type="spellStart"/>
      <w:r w:rsidRPr="00E23F87">
        <w:rPr>
          <w:rFonts w:ascii="Roboto Condensed" w:eastAsia="Times New Roman" w:hAnsi="Roboto Condensed" w:cs="Times New Roman"/>
          <w:b/>
          <w:bCs/>
          <w:spacing w:val="2"/>
          <w:kern w:val="0"/>
          <w:sz w:val="36"/>
          <w:szCs w:val="36"/>
          <w:lang w:eastAsia="es-CO"/>
          <w14:ligatures w14:val="none"/>
        </w:rPr>
        <w:t>int</w:t>
      </w:r>
      <w:proofErr w:type="spellEnd"/>
      <w:r w:rsidRPr="00E23F87">
        <w:rPr>
          <w:rFonts w:ascii="Roboto Condensed" w:eastAsia="Times New Roman" w:hAnsi="Roboto Condensed" w:cs="Times New Roman"/>
          <w:b/>
          <w:bCs/>
          <w:spacing w:val="2"/>
          <w:kern w:val="0"/>
          <w:sz w:val="36"/>
          <w:szCs w:val="36"/>
          <w:lang w:eastAsia="es-CO"/>
          <w14:ligatures w14:val="none"/>
        </w:rPr>
        <w:t xml:space="preserve"> 546 DE 2024</w:t>
      </w:r>
    </w:p>
    <w:p w14:paraId="366F002F" w14:textId="77777777" w:rsidR="00E23F87" w:rsidRPr="00E23F87" w:rsidRDefault="00E23F87" w:rsidP="00E23F87">
      <w:pPr>
        <w:spacing w:after="240" w:line="480" w:lineRule="atLeast"/>
        <w:jc w:val="center"/>
        <w:rPr>
          <w:rFonts w:ascii="Roboto Condensed" w:eastAsia="Times New Roman" w:hAnsi="Roboto Condensed" w:cs="Times New Roman"/>
          <w:spacing w:val="2"/>
          <w:kern w:val="0"/>
          <w:sz w:val="27"/>
          <w:szCs w:val="27"/>
          <w:lang w:eastAsia="es-CO"/>
          <w14:ligatures w14:val="none"/>
        </w:rPr>
      </w:pPr>
      <w:r w:rsidRPr="00E23F87">
        <w:rPr>
          <w:rFonts w:ascii="Roboto Condensed" w:eastAsia="Times New Roman" w:hAnsi="Roboto Condensed" w:cs="Times New Roman"/>
          <w:spacing w:val="2"/>
          <w:kern w:val="0"/>
          <w:sz w:val="27"/>
          <w:szCs w:val="27"/>
          <w:lang w:eastAsia="es-CO"/>
          <w14:ligatures w14:val="none"/>
        </w:rPr>
        <w:t>(julio 16)</w:t>
      </w:r>
    </w:p>
    <w:p w14:paraId="5B66DEC5" w14:textId="77777777" w:rsidR="00E23F87" w:rsidRPr="00E23F87" w:rsidRDefault="00E23F87" w:rsidP="00E23F87">
      <w:pPr>
        <w:spacing w:after="240" w:line="480" w:lineRule="atLeast"/>
        <w:jc w:val="center"/>
        <w:rPr>
          <w:rFonts w:ascii="Roboto Condensed" w:eastAsia="Times New Roman" w:hAnsi="Roboto Condensed" w:cs="Times New Roman"/>
          <w:spacing w:val="2"/>
          <w:kern w:val="0"/>
          <w:sz w:val="27"/>
          <w:szCs w:val="27"/>
          <w:lang w:eastAsia="es-CO"/>
          <w14:ligatures w14:val="none"/>
        </w:rPr>
      </w:pPr>
      <w:r w:rsidRPr="00E23F87">
        <w:rPr>
          <w:rFonts w:ascii="Roboto Condensed" w:eastAsia="Times New Roman" w:hAnsi="Roboto Condensed" w:cs="Times New Roman"/>
          <w:spacing w:val="2"/>
          <w:kern w:val="0"/>
          <w:sz w:val="27"/>
          <w:szCs w:val="27"/>
          <w:lang w:eastAsia="es-CO"/>
          <w14:ligatures w14:val="none"/>
        </w:rPr>
        <w:t>&lt;Fuente: Archivo interno entidad emisora&gt;</w:t>
      </w:r>
    </w:p>
    <w:p w14:paraId="147D014A" w14:textId="77777777" w:rsidR="00E23F87" w:rsidRPr="00E23F87" w:rsidRDefault="00E23F87" w:rsidP="00E23F87">
      <w:pPr>
        <w:spacing w:after="240" w:line="480" w:lineRule="atLeast"/>
        <w:jc w:val="center"/>
        <w:rPr>
          <w:rFonts w:ascii="Roboto Condensed" w:eastAsia="Times New Roman" w:hAnsi="Roboto Condensed" w:cs="Times New Roman"/>
          <w:spacing w:val="2"/>
          <w:kern w:val="0"/>
          <w:sz w:val="27"/>
          <w:szCs w:val="27"/>
          <w:lang w:eastAsia="es-CO"/>
          <w14:ligatures w14:val="none"/>
        </w:rPr>
      </w:pPr>
      <w:r w:rsidRPr="00E23F87">
        <w:rPr>
          <w:rFonts w:ascii="Roboto Condensed" w:eastAsia="Times New Roman" w:hAnsi="Roboto Condensed" w:cs="Times New Roman"/>
          <w:spacing w:val="2"/>
          <w:kern w:val="0"/>
          <w:sz w:val="27"/>
          <w:szCs w:val="27"/>
          <w:lang w:eastAsia="es-CO"/>
          <w14:ligatures w14:val="none"/>
        </w:rPr>
        <w:t>&lt;Publicado en la página web de la DIAN: 19 de julio de 2024&gt;</w:t>
      </w:r>
    </w:p>
    <w:p w14:paraId="1AA71F92" w14:textId="77777777" w:rsidR="00E23F87" w:rsidRPr="00E23F87" w:rsidRDefault="00E23F87" w:rsidP="00E23F87">
      <w:pPr>
        <w:spacing w:after="0" w:line="480" w:lineRule="atLeast"/>
        <w:jc w:val="center"/>
        <w:rPr>
          <w:rFonts w:ascii="Roboto Condensed" w:eastAsia="Times New Roman" w:hAnsi="Roboto Condensed" w:cs="Times New Roman"/>
          <w:spacing w:val="2"/>
          <w:kern w:val="0"/>
          <w:sz w:val="27"/>
          <w:szCs w:val="27"/>
          <w:lang w:eastAsia="es-CO"/>
          <w14:ligatures w14:val="none"/>
        </w:rPr>
      </w:pPr>
      <w:r w:rsidRPr="00E23F87">
        <w:rPr>
          <w:rFonts w:ascii="Roboto Condensed" w:eastAsia="Times New Roman" w:hAnsi="Roboto Condensed" w:cs="Times New Roman"/>
          <w:b/>
          <w:bCs/>
          <w:spacing w:val="2"/>
          <w:kern w:val="0"/>
          <w:sz w:val="27"/>
          <w:szCs w:val="27"/>
          <w:lang w:eastAsia="es-CO"/>
          <w14:ligatures w14:val="none"/>
        </w:rPr>
        <w:t>DIRECCIÓN DE IMPUESTOS Y ADUANAS NACIONALES</w:t>
      </w:r>
    </w:p>
    <w:p w14:paraId="1872D38C" w14:textId="77777777" w:rsidR="00E23F87" w:rsidRPr="00E23F87" w:rsidRDefault="00E23F87" w:rsidP="00E23F87">
      <w:pPr>
        <w:spacing w:after="0" w:line="480" w:lineRule="atLeast"/>
        <w:jc w:val="center"/>
        <w:rPr>
          <w:rFonts w:ascii="Roboto Condensed" w:eastAsia="Times New Roman" w:hAnsi="Roboto Condensed" w:cs="Times New Roman"/>
          <w:spacing w:val="2"/>
          <w:kern w:val="0"/>
          <w:sz w:val="27"/>
          <w:szCs w:val="27"/>
          <w:lang w:eastAsia="es-CO"/>
          <w14:ligatures w14:val="none"/>
        </w:rPr>
      </w:pPr>
      <w:r w:rsidRPr="00E23F87">
        <w:rPr>
          <w:rFonts w:ascii="Roboto Condensed" w:eastAsia="Times New Roman" w:hAnsi="Roboto Condensed" w:cs="Times New Roman"/>
          <w:b/>
          <w:bCs/>
          <w:spacing w:val="2"/>
          <w:kern w:val="0"/>
          <w:sz w:val="27"/>
          <w:szCs w:val="27"/>
          <w:lang w:eastAsia="es-CO"/>
          <w14:ligatures w14:val="none"/>
        </w:rPr>
        <w:t>Unidad Informática de Doctrina</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970"/>
        <w:gridCol w:w="6868"/>
      </w:tblGrid>
      <w:tr w:rsidR="00E23F87" w:rsidRPr="00E23F87" w14:paraId="2BC9F66F" w14:textId="77777777" w:rsidTr="00E23F87">
        <w:trPr>
          <w:tblCellSpacing w:w="15" w:type="dxa"/>
        </w:trPr>
        <w:tc>
          <w:tcPr>
            <w:tcW w:w="1100" w:type="pct"/>
            <w:tcBorders>
              <w:top w:val="nil"/>
              <w:left w:val="nil"/>
              <w:bottom w:val="nil"/>
              <w:right w:val="nil"/>
            </w:tcBorders>
            <w:tcMar>
              <w:top w:w="0" w:type="dxa"/>
              <w:left w:w="0" w:type="dxa"/>
              <w:bottom w:w="0" w:type="dxa"/>
              <w:right w:w="0" w:type="dxa"/>
            </w:tcMar>
            <w:hideMark/>
          </w:tcPr>
          <w:p w14:paraId="082A5B7C" w14:textId="77777777" w:rsidR="00E23F87" w:rsidRPr="00E23F87" w:rsidRDefault="00E23F87" w:rsidP="00E23F87">
            <w:pPr>
              <w:spacing w:after="0" w:line="245" w:lineRule="atLeast"/>
              <w:jc w:val="both"/>
              <w:rPr>
                <w:rFonts w:ascii="Roboto Condensed" w:eastAsia="Times New Roman" w:hAnsi="Roboto Condensed" w:cs="Times New Roman"/>
                <w:spacing w:val="2"/>
                <w:kern w:val="0"/>
                <w:lang w:eastAsia="es-CO"/>
                <w14:ligatures w14:val="none"/>
              </w:rPr>
            </w:pPr>
            <w:proofErr w:type="spellStart"/>
            <w:r w:rsidRPr="00E23F87">
              <w:rPr>
                <w:rFonts w:ascii="Roboto Condensed" w:eastAsia="Times New Roman" w:hAnsi="Roboto Condensed" w:cs="Times New Roman"/>
                <w:spacing w:val="2"/>
                <w:kern w:val="0"/>
                <w:lang w:eastAsia="es-CO"/>
                <w14:ligatures w14:val="none"/>
              </w:rPr>
              <w:t>Area</w:t>
            </w:r>
            <w:proofErr w:type="spellEnd"/>
            <w:r w:rsidRPr="00E23F87">
              <w:rPr>
                <w:rFonts w:ascii="Roboto Condensed" w:eastAsia="Times New Roman" w:hAnsi="Roboto Condensed" w:cs="Times New Roman"/>
                <w:spacing w:val="2"/>
                <w:kern w:val="0"/>
                <w:lang w:eastAsia="es-CO"/>
                <w14:ligatures w14:val="none"/>
              </w:rPr>
              <w:t xml:space="preserve"> del Derecho</w:t>
            </w:r>
          </w:p>
        </w:tc>
        <w:tc>
          <w:tcPr>
            <w:tcW w:w="3900" w:type="pct"/>
            <w:tcBorders>
              <w:top w:val="nil"/>
              <w:left w:val="nil"/>
              <w:bottom w:val="nil"/>
              <w:right w:val="nil"/>
            </w:tcBorders>
            <w:tcMar>
              <w:top w:w="0" w:type="dxa"/>
              <w:left w:w="0" w:type="dxa"/>
              <w:bottom w:w="0" w:type="dxa"/>
              <w:right w:w="0" w:type="dxa"/>
            </w:tcMar>
            <w:hideMark/>
          </w:tcPr>
          <w:p w14:paraId="5C044B4F" w14:textId="77777777" w:rsidR="00E23F87" w:rsidRPr="00E23F87" w:rsidRDefault="00E23F87" w:rsidP="00E23F87">
            <w:pPr>
              <w:spacing w:after="0" w:line="245" w:lineRule="atLeast"/>
              <w:jc w:val="both"/>
              <w:rPr>
                <w:rFonts w:ascii="Roboto Condensed" w:eastAsia="Times New Roman" w:hAnsi="Roboto Condensed" w:cs="Times New Roman"/>
                <w:spacing w:val="2"/>
                <w:kern w:val="0"/>
                <w:lang w:eastAsia="es-CO"/>
                <w14:ligatures w14:val="none"/>
              </w:rPr>
            </w:pPr>
            <w:r w:rsidRPr="00E23F87">
              <w:rPr>
                <w:rFonts w:ascii="Roboto Condensed" w:eastAsia="Times New Roman" w:hAnsi="Roboto Condensed" w:cs="Times New Roman"/>
                <w:b/>
                <w:bCs/>
                <w:spacing w:val="2"/>
                <w:kern w:val="0"/>
                <w:lang w:eastAsia="es-CO"/>
                <w14:ligatures w14:val="none"/>
              </w:rPr>
              <w:t>Tributario</w:t>
            </w:r>
            <w:r w:rsidRPr="00E23F87">
              <w:rPr>
                <w:rFonts w:ascii="Roboto Condensed" w:eastAsia="Times New Roman" w:hAnsi="Roboto Condensed" w:cs="Times New Roman"/>
                <w:b/>
                <w:bCs/>
                <w:spacing w:val="2"/>
                <w:kern w:val="0"/>
                <w:lang w:eastAsia="es-CO"/>
                <w14:ligatures w14:val="none"/>
              </w:rPr>
              <w:br/>
            </w:r>
          </w:p>
        </w:tc>
      </w:tr>
      <w:tr w:rsidR="00E23F87" w:rsidRPr="00E23F87" w14:paraId="0A6D8C07" w14:textId="77777777" w:rsidTr="00E23F87">
        <w:trPr>
          <w:tblCellSpacing w:w="15" w:type="dxa"/>
        </w:trPr>
        <w:tc>
          <w:tcPr>
            <w:tcW w:w="1100" w:type="pct"/>
            <w:tcBorders>
              <w:top w:val="nil"/>
              <w:left w:val="nil"/>
              <w:bottom w:val="nil"/>
              <w:right w:val="nil"/>
            </w:tcBorders>
            <w:tcMar>
              <w:top w:w="0" w:type="dxa"/>
              <w:left w:w="0" w:type="dxa"/>
              <w:bottom w:w="0" w:type="dxa"/>
              <w:right w:w="0" w:type="dxa"/>
            </w:tcMar>
            <w:hideMark/>
          </w:tcPr>
          <w:p w14:paraId="7DFFC6E7" w14:textId="77777777" w:rsidR="00E23F87" w:rsidRPr="00E23F87" w:rsidRDefault="00E23F87" w:rsidP="00E23F87">
            <w:pPr>
              <w:spacing w:after="0" w:line="245" w:lineRule="atLeast"/>
              <w:jc w:val="both"/>
              <w:rPr>
                <w:rFonts w:ascii="Roboto Condensed" w:eastAsia="Times New Roman" w:hAnsi="Roboto Condensed" w:cs="Times New Roman"/>
                <w:spacing w:val="2"/>
                <w:kern w:val="0"/>
                <w:lang w:eastAsia="es-CO"/>
                <w14:ligatures w14:val="none"/>
              </w:rPr>
            </w:pPr>
            <w:r w:rsidRPr="00E23F87">
              <w:rPr>
                <w:rFonts w:ascii="Roboto Condensed" w:eastAsia="Times New Roman" w:hAnsi="Roboto Condensed" w:cs="Times New Roman"/>
                <w:spacing w:val="2"/>
                <w:kern w:val="0"/>
                <w:lang w:eastAsia="es-CO"/>
                <w14:ligatures w14:val="none"/>
              </w:rPr>
              <w:t>Banco de Datos</w:t>
            </w:r>
          </w:p>
        </w:tc>
        <w:tc>
          <w:tcPr>
            <w:tcW w:w="3900" w:type="pct"/>
            <w:tcBorders>
              <w:top w:val="nil"/>
              <w:left w:val="nil"/>
              <w:bottom w:val="nil"/>
              <w:right w:val="nil"/>
            </w:tcBorders>
            <w:tcMar>
              <w:top w:w="0" w:type="dxa"/>
              <w:left w:w="0" w:type="dxa"/>
              <w:bottom w:w="0" w:type="dxa"/>
              <w:right w:w="0" w:type="dxa"/>
            </w:tcMar>
            <w:hideMark/>
          </w:tcPr>
          <w:p w14:paraId="587E902A" w14:textId="77777777" w:rsidR="00E23F87" w:rsidRPr="00E23F87" w:rsidRDefault="00E23F87" w:rsidP="00E23F87">
            <w:pPr>
              <w:spacing w:after="0" w:line="245" w:lineRule="atLeast"/>
              <w:jc w:val="both"/>
              <w:rPr>
                <w:rFonts w:ascii="Roboto Condensed" w:eastAsia="Times New Roman" w:hAnsi="Roboto Condensed" w:cs="Times New Roman"/>
                <w:spacing w:val="2"/>
                <w:kern w:val="0"/>
                <w:lang w:eastAsia="es-CO"/>
                <w14:ligatures w14:val="none"/>
              </w:rPr>
            </w:pPr>
            <w:r w:rsidRPr="00E23F87">
              <w:rPr>
                <w:rFonts w:ascii="Roboto Condensed" w:eastAsia="Times New Roman" w:hAnsi="Roboto Condensed" w:cs="Times New Roman"/>
                <w:b/>
                <w:bCs/>
                <w:spacing w:val="2"/>
                <w:kern w:val="0"/>
                <w:lang w:eastAsia="es-CO"/>
                <w14:ligatures w14:val="none"/>
              </w:rPr>
              <w:t>Facturación Electrónica</w:t>
            </w:r>
          </w:p>
        </w:tc>
      </w:tr>
    </w:tbl>
    <w:p w14:paraId="27A1AA2F" w14:textId="77777777" w:rsidR="00E23F87" w:rsidRPr="00E23F87" w:rsidRDefault="00E23F87" w:rsidP="00E23F87">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E23F87">
        <w:rPr>
          <w:rFonts w:ascii="Roboto Condensed" w:eastAsia="Times New Roman" w:hAnsi="Roboto Condensed" w:cs="Times New Roman"/>
          <w:spacing w:val="2"/>
          <w:kern w:val="0"/>
          <w:sz w:val="27"/>
          <w:szCs w:val="27"/>
          <w:lang w:eastAsia="es-CO"/>
          <w14:ligatures w14:val="none"/>
        </w:rPr>
        <w:t>Extracto</w:t>
      </w:r>
    </w:p>
    <w:p w14:paraId="000A850D" w14:textId="77777777" w:rsidR="00E23F87" w:rsidRPr="00E23F87" w:rsidRDefault="00E23F87" w:rsidP="00E23F87">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E23F87">
        <w:rPr>
          <w:rFonts w:ascii="Roboto Condensed" w:eastAsia="Times New Roman" w:hAnsi="Roboto Condensed" w:cs="Times New Roman"/>
          <w:spacing w:val="2"/>
          <w:kern w:val="0"/>
          <w:sz w:val="27"/>
          <w:szCs w:val="27"/>
          <w:lang w:eastAsia="es-CO"/>
          <w14:ligatures w14:val="none"/>
        </w:rPr>
        <w:t>Adición al Concepto Unificado No. </w:t>
      </w:r>
      <w:hyperlink r:id="rId4" w:anchor="0" w:history="1">
        <w:r w:rsidRPr="00E23F87">
          <w:rPr>
            <w:rFonts w:ascii="Roboto Condensed" w:eastAsia="Times New Roman" w:hAnsi="Roboto Condensed" w:cs="Times New Roman"/>
            <w:color w:val="0000FF"/>
            <w:spacing w:val="2"/>
            <w:kern w:val="0"/>
            <w:sz w:val="27"/>
            <w:szCs w:val="27"/>
            <w:u w:val="single"/>
            <w:lang w:eastAsia="es-CO"/>
            <w14:ligatures w14:val="none"/>
          </w:rPr>
          <w:t>0106</w:t>
        </w:r>
      </w:hyperlink>
      <w:r w:rsidRPr="00E23F87">
        <w:rPr>
          <w:rFonts w:ascii="Roboto Condensed" w:eastAsia="Times New Roman" w:hAnsi="Roboto Condensed" w:cs="Times New Roman"/>
          <w:spacing w:val="2"/>
          <w:kern w:val="0"/>
          <w:sz w:val="27"/>
          <w:szCs w:val="27"/>
          <w:lang w:eastAsia="es-CO"/>
          <w14:ligatures w14:val="none"/>
        </w:rPr>
        <w:t xml:space="preserve"> del 19 de agosto de 2022 - Obligación de facturar y Sistema de Factura Electrónica. (CONCEPTO 911428 - </w:t>
      </w:r>
      <w:proofErr w:type="spellStart"/>
      <w:r w:rsidRPr="00E23F87">
        <w:rPr>
          <w:rFonts w:ascii="Roboto Condensed" w:eastAsia="Times New Roman" w:hAnsi="Roboto Condensed" w:cs="Times New Roman"/>
          <w:spacing w:val="2"/>
          <w:kern w:val="0"/>
          <w:sz w:val="27"/>
          <w:szCs w:val="27"/>
          <w:lang w:eastAsia="es-CO"/>
          <w14:ligatures w14:val="none"/>
        </w:rPr>
        <w:t>int</w:t>
      </w:r>
      <w:proofErr w:type="spellEnd"/>
      <w:r w:rsidRPr="00E23F87">
        <w:rPr>
          <w:rFonts w:ascii="Roboto Condensed" w:eastAsia="Times New Roman" w:hAnsi="Roboto Condensed" w:cs="Times New Roman"/>
          <w:spacing w:val="2"/>
          <w:kern w:val="0"/>
          <w:sz w:val="27"/>
          <w:szCs w:val="27"/>
          <w:lang w:eastAsia="es-CO"/>
          <w14:ligatures w14:val="none"/>
        </w:rPr>
        <w:t xml:space="preserve"> 0106 DE 2022 AGOSTO 19)</w:t>
      </w:r>
    </w:p>
    <w:p w14:paraId="2E9EEB23" w14:textId="77777777" w:rsidR="00E23F87" w:rsidRPr="00E23F87" w:rsidRDefault="00E23F87" w:rsidP="00E23F87">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E23F87">
        <w:rPr>
          <w:rFonts w:ascii="Roboto Condensed" w:eastAsia="Times New Roman" w:hAnsi="Roboto Condensed" w:cs="Times New Roman"/>
          <w:spacing w:val="2"/>
          <w:kern w:val="0"/>
          <w:sz w:val="27"/>
          <w:szCs w:val="27"/>
          <w:lang w:eastAsia="es-CO"/>
          <w14:ligatures w14:val="none"/>
        </w:rPr>
        <w:t>De conformidad con el artículo </w:t>
      </w:r>
      <w:hyperlink r:id="rId5" w:anchor="56" w:history="1">
        <w:r w:rsidRPr="00E23F87">
          <w:rPr>
            <w:rFonts w:ascii="Roboto Condensed" w:eastAsia="Times New Roman" w:hAnsi="Roboto Condensed" w:cs="Times New Roman"/>
            <w:color w:val="0000FF"/>
            <w:spacing w:val="2"/>
            <w:kern w:val="0"/>
            <w:sz w:val="27"/>
            <w:szCs w:val="27"/>
            <w:u w:val="single"/>
            <w:lang w:eastAsia="es-CO"/>
            <w14:ligatures w14:val="none"/>
          </w:rPr>
          <w:t>56</w:t>
        </w:r>
      </w:hyperlink>
      <w:r w:rsidRPr="00E23F87">
        <w:rPr>
          <w:rFonts w:ascii="Roboto Condensed" w:eastAsia="Times New Roman" w:hAnsi="Roboto Condensed" w:cs="Times New Roman"/>
          <w:spacing w:val="2"/>
          <w:kern w:val="0"/>
          <w:sz w:val="27"/>
          <w:szCs w:val="27"/>
          <w:lang w:eastAsia="es-CO"/>
          <w14:ligatures w14:val="none"/>
        </w:rPr>
        <w:t> del Decreto 1742 de 2020, en concordancia con el artículo </w:t>
      </w:r>
      <w:hyperlink r:id="rId6" w:anchor="7" w:history="1">
        <w:r w:rsidRPr="00E23F87">
          <w:rPr>
            <w:rFonts w:ascii="Roboto Condensed" w:eastAsia="Times New Roman" w:hAnsi="Roboto Condensed" w:cs="Times New Roman"/>
            <w:color w:val="0000FF"/>
            <w:spacing w:val="2"/>
            <w:kern w:val="0"/>
            <w:sz w:val="27"/>
            <w:szCs w:val="27"/>
            <w:u w:val="single"/>
            <w:lang w:eastAsia="es-CO"/>
            <w14:ligatures w14:val="none"/>
          </w:rPr>
          <w:t>7</w:t>
        </w:r>
      </w:hyperlink>
      <w:r w:rsidRPr="00E23F87">
        <w:rPr>
          <w:rFonts w:ascii="Roboto Condensed" w:eastAsia="Times New Roman" w:hAnsi="Roboto Condensed" w:cs="Times New Roman"/>
          <w:spacing w:val="2"/>
          <w:kern w:val="0"/>
          <w:sz w:val="27"/>
          <w:szCs w:val="27"/>
          <w:lang w:eastAsia="es-CO"/>
          <w14:ligatures w14:val="none"/>
        </w:rPr>
        <w:t> y </w:t>
      </w:r>
      <w:hyperlink r:id="rId7" w:anchor="7-1" w:history="1">
        <w:r w:rsidRPr="00E23F87">
          <w:rPr>
            <w:rFonts w:ascii="Roboto Condensed" w:eastAsia="Times New Roman" w:hAnsi="Roboto Condensed" w:cs="Times New Roman"/>
            <w:color w:val="0000FF"/>
            <w:spacing w:val="2"/>
            <w:kern w:val="0"/>
            <w:sz w:val="27"/>
            <w:szCs w:val="27"/>
            <w:u w:val="single"/>
            <w:lang w:eastAsia="es-CO"/>
            <w14:ligatures w14:val="none"/>
          </w:rPr>
          <w:t>7-1</w:t>
        </w:r>
      </w:hyperlink>
      <w:r w:rsidRPr="00E23F87">
        <w:rPr>
          <w:rFonts w:ascii="Roboto Condensed" w:eastAsia="Times New Roman" w:hAnsi="Roboto Condensed" w:cs="Times New Roman"/>
          <w:spacing w:val="2"/>
          <w:kern w:val="0"/>
          <w:sz w:val="27"/>
          <w:szCs w:val="27"/>
          <w:lang w:eastAsia="es-CO"/>
          <w14:ligatures w14:val="none"/>
        </w:rPr>
        <w:t> de la Resolución No. 000091 de 2021, se expide el presente pronunciamiento mediante el cual se efectúa una adición al Concepto Unificado No. </w:t>
      </w:r>
      <w:hyperlink r:id="rId8" w:anchor="0" w:history="1">
        <w:r w:rsidRPr="00E23F87">
          <w:rPr>
            <w:rFonts w:ascii="Roboto Condensed" w:eastAsia="Times New Roman" w:hAnsi="Roboto Condensed" w:cs="Times New Roman"/>
            <w:color w:val="0000FF"/>
            <w:spacing w:val="2"/>
            <w:kern w:val="0"/>
            <w:sz w:val="27"/>
            <w:szCs w:val="27"/>
            <w:u w:val="single"/>
            <w:lang w:eastAsia="es-CO"/>
            <w14:ligatures w14:val="none"/>
          </w:rPr>
          <w:t>0106</w:t>
        </w:r>
      </w:hyperlink>
      <w:r w:rsidRPr="00E23F87">
        <w:rPr>
          <w:rFonts w:ascii="Roboto Condensed" w:eastAsia="Times New Roman" w:hAnsi="Roboto Condensed" w:cs="Times New Roman"/>
          <w:spacing w:val="2"/>
          <w:kern w:val="0"/>
          <w:sz w:val="27"/>
          <w:szCs w:val="27"/>
          <w:lang w:eastAsia="es-CO"/>
          <w14:ligatures w14:val="none"/>
        </w:rPr>
        <w:t> del 19 de agosto de 2022 - Obligación de facturar y Sistema de Factura Electrónica, en torno a los sujetos obligados a generar el documento soporte de pago de nómina electrónica, en los casos del servicio público de transporte terrestre y cuáles son los juegos de suerte y azar que se encuentran cobijados con la excepción a la implementación electrónica de los documentos equivalentes que establece el parágrafo del artículo </w:t>
      </w:r>
      <w:hyperlink r:id="rId9" w:anchor="20" w:history="1">
        <w:r w:rsidRPr="00E23F87">
          <w:rPr>
            <w:rFonts w:ascii="Roboto Condensed" w:eastAsia="Times New Roman" w:hAnsi="Roboto Condensed" w:cs="Times New Roman"/>
            <w:color w:val="0000FF"/>
            <w:spacing w:val="2"/>
            <w:kern w:val="0"/>
            <w:sz w:val="27"/>
            <w:szCs w:val="27"/>
            <w:u w:val="single"/>
            <w:lang w:eastAsia="es-CO"/>
            <w14:ligatures w14:val="none"/>
          </w:rPr>
          <w:t>20</w:t>
        </w:r>
      </w:hyperlink>
      <w:r w:rsidRPr="00E23F87">
        <w:rPr>
          <w:rFonts w:ascii="Roboto Condensed" w:eastAsia="Times New Roman" w:hAnsi="Roboto Condensed" w:cs="Times New Roman"/>
          <w:spacing w:val="2"/>
          <w:kern w:val="0"/>
          <w:sz w:val="27"/>
          <w:szCs w:val="27"/>
          <w:lang w:eastAsia="es-CO"/>
          <w14:ligatures w14:val="none"/>
        </w:rPr>
        <w:t> de la Resolución 000165 de 2023.</w:t>
      </w:r>
    </w:p>
    <w:p w14:paraId="2D23519E" w14:textId="77777777" w:rsidR="00E23F87" w:rsidRDefault="00E23F87" w:rsidP="00E23F87">
      <w:pPr>
        <w:spacing w:after="0" w:line="480" w:lineRule="atLeast"/>
        <w:jc w:val="both"/>
        <w:rPr>
          <w:rFonts w:ascii="Roboto Condensed" w:eastAsia="Times New Roman" w:hAnsi="Roboto Condensed" w:cs="Times New Roman"/>
          <w:b/>
          <w:bCs/>
          <w:spacing w:val="2"/>
          <w:kern w:val="0"/>
          <w:sz w:val="27"/>
          <w:szCs w:val="27"/>
          <w:lang w:eastAsia="es-CO"/>
          <w14:ligatures w14:val="none"/>
        </w:rPr>
      </w:pPr>
    </w:p>
    <w:p w14:paraId="21AF6606" w14:textId="6523E55F" w:rsidR="00E23F87" w:rsidRPr="00E23F87" w:rsidRDefault="00E23F87" w:rsidP="00E23F87">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E23F87">
        <w:rPr>
          <w:rFonts w:ascii="Roboto Condensed" w:eastAsia="Times New Roman" w:hAnsi="Roboto Condensed" w:cs="Times New Roman"/>
          <w:b/>
          <w:bCs/>
          <w:spacing w:val="2"/>
          <w:kern w:val="0"/>
          <w:sz w:val="27"/>
          <w:szCs w:val="27"/>
          <w:lang w:eastAsia="es-CO"/>
          <w14:ligatures w14:val="none"/>
        </w:rPr>
        <w:t>ADICIÓN AL CONCEPTO UNIFICADO No. </w:t>
      </w:r>
      <w:hyperlink r:id="rId10" w:anchor="0" w:history="1">
        <w:r w:rsidRPr="00E23F87">
          <w:rPr>
            <w:rFonts w:ascii="Roboto Condensed" w:eastAsia="Times New Roman" w:hAnsi="Roboto Condensed" w:cs="Times New Roman"/>
            <w:color w:val="0000FF"/>
            <w:spacing w:val="2"/>
            <w:kern w:val="0"/>
            <w:sz w:val="27"/>
            <w:szCs w:val="27"/>
            <w:u w:val="single"/>
            <w:lang w:eastAsia="es-CO"/>
            <w14:ligatures w14:val="none"/>
          </w:rPr>
          <w:t>0106</w:t>
        </w:r>
      </w:hyperlink>
      <w:r w:rsidRPr="00E23F87">
        <w:rPr>
          <w:rFonts w:ascii="Roboto Condensed" w:eastAsia="Times New Roman" w:hAnsi="Roboto Condensed" w:cs="Times New Roman"/>
          <w:b/>
          <w:bCs/>
          <w:spacing w:val="2"/>
          <w:kern w:val="0"/>
          <w:sz w:val="27"/>
          <w:szCs w:val="27"/>
          <w:lang w:eastAsia="es-CO"/>
          <w14:ligatures w14:val="none"/>
        </w:rPr>
        <w:t> DEL 19 DE AGOSTO DE 2022 - OBLIGACIÓN DE FACTURAR Y SISTEMA DE FACTURA ELECTRÓNICA</w:t>
      </w:r>
    </w:p>
    <w:p w14:paraId="60E9C028" w14:textId="77777777" w:rsidR="00E23F87" w:rsidRPr="00E23F87" w:rsidRDefault="00E23F87" w:rsidP="00E23F87">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E23F87">
        <w:rPr>
          <w:rFonts w:ascii="Roboto Condensed" w:eastAsia="Times New Roman" w:hAnsi="Roboto Condensed" w:cs="Times New Roman"/>
          <w:spacing w:val="2"/>
          <w:kern w:val="0"/>
          <w:sz w:val="27"/>
          <w:szCs w:val="27"/>
          <w:lang w:eastAsia="es-CO"/>
          <w14:ligatures w14:val="none"/>
        </w:rPr>
        <w:lastRenderedPageBreak/>
        <w:t>De conformidad con el artículo </w:t>
      </w:r>
      <w:hyperlink r:id="rId11" w:anchor="56" w:history="1">
        <w:r w:rsidRPr="00E23F87">
          <w:rPr>
            <w:rFonts w:ascii="Roboto Condensed" w:eastAsia="Times New Roman" w:hAnsi="Roboto Condensed" w:cs="Times New Roman"/>
            <w:color w:val="0000FF"/>
            <w:spacing w:val="2"/>
            <w:kern w:val="0"/>
            <w:sz w:val="27"/>
            <w:szCs w:val="27"/>
            <w:u w:val="single"/>
            <w:lang w:eastAsia="es-CO"/>
            <w14:ligatures w14:val="none"/>
          </w:rPr>
          <w:t>56</w:t>
        </w:r>
      </w:hyperlink>
      <w:r w:rsidRPr="00E23F87">
        <w:rPr>
          <w:rFonts w:ascii="Roboto Condensed" w:eastAsia="Times New Roman" w:hAnsi="Roboto Condensed" w:cs="Times New Roman"/>
          <w:spacing w:val="2"/>
          <w:kern w:val="0"/>
          <w:sz w:val="27"/>
          <w:szCs w:val="27"/>
          <w:lang w:eastAsia="es-CO"/>
          <w14:ligatures w14:val="none"/>
        </w:rPr>
        <w:t> del Decreto 1742 de 2020, se avoca conocimiento para realizar la siguiente adición al Concepto Unificado sobre Obligación de facturar y Sistema de Factura Electrónica.</w:t>
      </w:r>
    </w:p>
    <w:p w14:paraId="5409AF8F" w14:textId="77777777" w:rsidR="00E23F87" w:rsidRDefault="00E23F87" w:rsidP="00E23F87">
      <w:pPr>
        <w:spacing w:after="240" w:line="480" w:lineRule="atLeast"/>
        <w:jc w:val="both"/>
        <w:rPr>
          <w:rFonts w:ascii="Roboto Condensed" w:eastAsia="Times New Roman" w:hAnsi="Roboto Condensed" w:cs="Times New Roman"/>
          <w:spacing w:val="2"/>
          <w:kern w:val="0"/>
          <w:sz w:val="27"/>
          <w:szCs w:val="27"/>
          <w:lang w:eastAsia="es-CO"/>
          <w14:ligatures w14:val="none"/>
        </w:rPr>
      </w:pPr>
    </w:p>
    <w:p w14:paraId="027D9F6B" w14:textId="3EFEE7A6" w:rsidR="00E23F87" w:rsidRPr="00E23F87" w:rsidRDefault="00E23F87" w:rsidP="00E23F87">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E23F87">
        <w:rPr>
          <w:rFonts w:ascii="Roboto Condensed" w:eastAsia="Times New Roman" w:hAnsi="Roboto Condensed" w:cs="Times New Roman"/>
          <w:spacing w:val="2"/>
          <w:kern w:val="0"/>
          <w:sz w:val="27"/>
          <w:szCs w:val="27"/>
          <w:lang w:eastAsia="es-CO"/>
          <w14:ligatures w14:val="none"/>
        </w:rPr>
        <w:t>I. Se requiere adicionar al 4.2.3.” DESCRIPTOR: SUJETOS OBLIGADOS A GENERAR EL DOCUMENTO SOPORTE DE PAGO DE NÓMINA ELECTRÓNICA” el numeral 4.2 3.10. así:</w:t>
      </w:r>
    </w:p>
    <w:p w14:paraId="28597A07" w14:textId="77777777" w:rsidR="00E23F87" w:rsidRPr="00E23F87" w:rsidRDefault="00E23F87" w:rsidP="00E23F87">
      <w:pPr>
        <w:spacing w:after="0" w:line="480" w:lineRule="atLeast"/>
        <w:jc w:val="both"/>
        <w:rPr>
          <w:rFonts w:ascii="Roboto Condensed" w:eastAsia="Times New Roman" w:hAnsi="Roboto Condensed" w:cs="Times New Roman"/>
          <w:spacing w:val="2"/>
          <w:kern w:val="0"/>
          <w:sz w:val="27"/>
          <w:szCs w:val="27"/>
          <w:lang w:eastAsia="es-CO"/>
          <w14:ligatures w14:val="none"/>
        </w:rPr>
      </w:pPr>
      <w:hyperlink r:id="rId12" w:anchor="4.2.3.10" w:history="1">
        <w:r w:rsidRPr="00E23F87">
          <w:rPr>
            <w:rFonts w:ascii="Roboto Condensed" w:eastAsia="Times New Roman" w:hAnsi="Roboto Condensed" w:cs="Times New Roman"/>
            <w:color w:val="0000FF"/>
            <w:spacing w:val="2"/>
            <w:kern w:val="0"/>
            <w:sz w:val="27"/>
            <w:szCs w:val="27"/>
            <w:highlight w:val="yellow"/>
            <w:u w:val="single"/>
            <w:lang w:eastAsia="es-CO"/>
            <w14:ligatures w14:val="none"/>
          </w:rPr>
          <w:t>4.2.3.10</w:t>
        </w:r>
      </w:hyperlink>
      <w:r w:rsidRPr="00E23F87">
        <w:rPr>
          <w:rFonts w:ascii="Roboto Condensed" w:eastAsia="Times New Roman" w:hAnsi="Roboto Condensed" w:cs="Times New Roman"/>
          <w:spacing w:val="2"/>
          <w:kern w:val="0"/>
          <w:sz w:val="27"/>
          <w:szCs w:val="27"/>
          <w:highlight w:val="yellow"/>
          <w:lang w:eastAsia="es-CO"/>
          <w14:ligatures w14:val="none"/>
        </w:rPr>
        <w:t>. En virtud de la suscripción de un contrato de vinculación de flota ¿Quién es el sujeto obligado a generar el documento soporte de pago de nómina electrónica, la empresa habilitada para la prestación del servicio público de transporte terrestre o el propietario del vehículo?</w:t>
      </w:r>
    </w:p>
    <w:p w14:paraId="402A06BA" w14:textId="77777777" w:rsidR="00E23F87" w:rsidRDefault="00E23F87" w:rsidP="00E23F87">
      <w:pPr>
        <w:spacing w:after="0" w:line="480" w:lineRule="atLeast"/>
        <w:jc w:val="both"/>
        <w:rPr>
          <w:rFonts w:ascii="Roboto Condensed" w:eastAsia="Times New Roman" w:hAnsi="Roboto Condensed" w:cs="Times New Roman"/>
          <w:spacing w:val="2"/>
          <w:kern w:val="0"/>
          <w:sz w:val="27"/>
          <w:szCs w:val="27"/>
          <w:lang w:eastAsia="es-CO"/>
          <w14:ligatures w14:val="none"/>
        </w:rPr>
      </w:pPr>
    </w:p>
    <w:p w14:paraId="0BAB3431" w14:textId="12A0DC24" w:rsidR="00E23F87" w:rsidRPr="00E23F87" w:rsidRDefault="00E23F87" w:rsidP="00E23F87">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E23F87">
        <w:rPr>
          <w:rFonts w:ascii="Roboto Condensed" w:eastAsia="Times New Roman" w:hAnsi="Roboto Condensed" w:cs="Times New Roman"/>
          <w:spacing w:val="2"/>
          <w:kern w:val="0"/>
          <w:sz w:val="27"/>
          <w:szCs w:val="27"/>
          <w:lang w:eastAsia="es-CO"/>
          <w14:ligatures w14:val="none"/>
        </w:rPr>
        <w:t>El artículo </w:t>
      </w:r>
      <w:hyperlink r:id="rId13" w:anchor="4" w:history="1">
        <w:r w:rsidRPr="00E23F87">
          <w:rPr>
            <w:rFonts w:ascii="Roboto Condensed" w:eastAsia="Times New Roman" w:hAnsi="Roboto Condensed" w:cs="Times New Roman"/>
            <w:color w:val="0000FF"/>
            <w:spacing w:val="2"/>
            <w:kern w:val="0"/>
            <w:sz w:val="27"/>
            <w:szCs w:val="27"/>
            <w:u w:val="single"/>
            <w:lang w:eastAsia="es-CO"/>
            <w14:ligatures w14:val="none"/>
          </w:rPr>
          <w:t>4</w:t>
        </w:r>
      </w:hyperlink>
      <w:r w:rsidRPr="00E23F87">
        <w:rPr>
          <w:rFonts w:ascii="Roboto Condensed" w:eastAsia="Times New Roman" w:hAnsi="Roboto Condensed" w:cs="Times New Roman"/>
          <w:spacing w:val="2"/>
          <w:kern w:val="0"/>
          <w:sz w:val="27"/>
          <w:szCs w:val="27"/>
          <w:lang w:eastAsia="es-CO"/>
          <w14:ligatures w14:val="none"/>
        </w:rPr>
        <w:t> de la Resolución 000013 de 2021 establece los supuestos que determinan la obligación de generar el documento soporte de pago de nómina electrónica, dentro de los cuales se encuentra la existencia de una vinculación por una relación laboral o reglamentaria que conlleve el deber de realizar pagos o abonos en cuenta por parte del contribuyente del impuesto sobre la renta que requiera soportar costos y deducciones.</w:t>
      </w:r>
    </w:p>
    <w:p w14:paraId="661AF531" w14:textId="77777777" w:rsidR="00E23F87" w:rsidRDefault="00E23F87" w:rsidP="00E23F87">
      <w:pPr>
        <w:spacing w:after="240" w:line="480" w:lineRule="atLeast"/>
        <w:jc w:val="both"/>
        <w:rPr>
          <w:rFonts w:ascii="Roboto Condensed" w:eastAsia="Times New Roman" w:hAnsi="Roboto Condensed" w:cs="Times New Roman"/>
          <w:spacing w:val="2"/>
          <w:kern w:val="0"/>
          <w:sz w:val="27"/>
          <w:szCs w:val="27"/>
          <w:lang w:eastAsia="es-CO"/>
          <w14:ligatures w14:val="none"/>
        </w:rPr>
      </w:pPr>
    </w:p>
    <w:p w14:paraId="41FDF785" w14:textId="2750E982" w:rsidR="00E23F87" w:rsidRPr="00E23F87" w:rsidRDefault="00E23F87" w:rsidP="00E23F87">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E23F87">
        <w:rPr>
          <w:rFonts w:ascii="Roboto Condensed" w:eastAsia="Times New Roman" w:hAnsi="Roboto Condensed" w:cs="Times New Roman"/>
          <w:spacing w:val="2"/>
          <w:kern w:val="0"/>
          <w:sz w:val="27"/>
          <w:szCs w:val="27"/>
          <w:lang w:eastAsia="es-CO"/>
          <w14:ligatures w14:val="none"/>
        </w:rPr>
        <w:t>Así las cosas, el sujeto obligado será el contribuyente del impuesto sobre la renta que requiera soportar costos y deducciones y que tenga la calidad de empleador, sujeto que de acuerdo con la legislación laboral es el sujeto obligado a realizar los pagos o abonos en cuenta que surgen en virtud del vínculo laboral, legal o reglamentario con el correspondiente trabajador.</w:t>
      </w:r>
    </w:p>
    <w:p w14:paraId="470D7A3D" w14:textId="77777777" w:rsidR="00E23F87" w:rsidRPr="00E23F87" w:rsidRDefault="00E23F87" w:rsidP="00E23F87">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E23F87">
        <w:rPr>
          <w:rFonts w:ascii="Roboto Condensed" w:eastAsia="Times New Roman" w:hAnsi="Roboto Condensed" w:cs="Times New Roman"/>
          <w:spacing w:val="2"/>
          <w:kern w:val="0"/>
          <w:sz w:val="27"/>
          <w:szCs w:val="27"/>
          <w:lang w:eastAsia="es-CO"/>
          <w14:ligatures w14:val="none"/>
        </w:rPr>
        <w:t>Por otro lado, el artículo 2.2.1.6.8.1 del Decreto 1079 de 2015, dispone:</w:t>
      </w:r>
    </w:p>
    <w:p w14:paraId="6B175697" w14:textId="77777777" w:rsidR="00E23F87" w:rsidRPr="00E23F87" w:rsidRDefault="00E23F87" w:rsidP="00E23F87">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E23F87">
        <w:rPr>
          <w:rFonts w:ascii="Roboto Condensed" w:eastAsia="Times New Roman" w:hAnsi="Roboto Condensed" w:cs="Times New Roman"/>
          <w:i/>
          <w:iCs/>
          <w:spacing w:val="2"/>
          <w:kern w:val="0"/>
          <w:sz w:val="27"/>
          <w:szCs w:val="27"/>
          <w:lang w:eastAsia="es-CO"/>
          <w14:ligatures w14:val="none"/>
        </w:rPr>
        <w:lastRenderedPageBreak/>
        <w:t>“El contrato de vinculación de flota es un contrato de naturaleza privada, por medio del cual la empresa habilitada para la prestación del Servicio Público de Transporte Terrestre Automotor Especial incorpora a su parque automotor los vehículos de propiedad de socios o de terceros y se compromete a utilizarlos en su operación en términos de rotación y remuneración equitativos. El contrato se perfecciona con su suscripción y la expedición de la tarjeta de operación por parte del Ministerio de Transporte y se termina con la autorización de desvinculación.”.</w:t>
      </w:r>
    </w:p>
    <w:p w14:paraId="536F8E54" w14:textId="77777777" w:rsidR="00E23F87" w:rsidRDefault="00E23F87" w:rsidP="00E23F87">
      <w:pPr>
        <w:spacing w:after="240" w:line="480" w:lineRule="atLeast"/>
        <w:jc w:val="both"/>
        <w:rPr>
          <w:rFonts w:ascii="Roboto Condensed" w:eastAsia="Times New Roman" w:hAnsi="Roboto Condensed" w:cs="Times New Roman"/>
          <w:spacing w:val="2"/>
          <w:kern w:val="0"/>
          <w:sz w:val="27"/>
          <w:szCs w:val="27"/>
          <w:lang w:eastAsia="es-CO"/>
          <w14:ligatures w14:val="none"/>
        </w:rPr>
      </w:pPr>
    </w:p>
    <w:p w14:paraId="7961D64A" w14:textId="333D5841" w:rsidR="00E23F87" w:rsidRPr="00E23F87" w:rsidRDefault="00E23F87" w:rsidP="00E23F87">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E23F87">
        <w:rPr>
          <w:rFonts w:ascii="Roboto Condensed" w:eastAsia="Times New Roman" w:hAnsi="Roboto Condensed" w:cs="Times New Roman"/>
          <w:spacing w:val="2"/>
          <w:kern w:val="0"/>
          <w:sz w:val="27"/>
          <w:szCs w:val="27"/>
          <w:lang w:eastAsia="es-CO"/>
          <w14:ligatures w14:val="none"/>
        </w:rPr>
        <w:t>Respecto de la vinculación de los conductores de vehículos de servicio público, la Corte Suprema de Justicia, Sala de Casación Laboral Magistrado Ponente Martín Emilio Beltrán Quintero en la Sentencia 90447 del 24 de mayo de 2023, afirmó:</w:t>
      </w:r>
    </w:p>
    <w:p w14:paraId="3966C367" w14:textId="77777777" w:rsidR="00E23F87" w:rsidRPr="00E23F87" w:rsidRDefault="00E23F87" w:rsidP="00E23F87">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E23F87">
        <w:rPr>
          <w:rFonts w:ascii="Roboto Condensed" w:eastAsia="Times New Roman" w:hAnsi="Roboto Condensed" w:cs="Times New Roman"/>
          <w:spacing w:val="2"/>
          <w:kern w:val="0"/>
          <w:sz w:val="27"/>
          <w:szCs w:val="27"/>
          <w:lang w:eastAsia="es-CO"/>
          <w14:ligatures w14:val="none"/>
        </w:rPr>
        <w:t>“</w:t>
      </w:r>
      <w:proofErr w:type="spellStart"/>
      <w:r w:rsidRPr="00E23F87">
        <w:rPr>
          <w:rFonts w:ascii="Roboto Condensed" w:eastAsia="Times New Roman" w:hAnsi="Roboto Condensed" w:cs="Times New Roman"/>
          <w:b/>
          <w:bCs/>
          <w:i/>
          <w:iCs/>
          <w:spacing w:val="2"/>
          <w:kern w:val="0"/>
          <w:sz w:val="27"/>
          <w:szCs w:val="27"/>
          <w:lang w:eastAsia="es-CO"/>
          <w14:ligatures w14:val="none"/>
        </w:rPr>
        <w:t>ii</w:t>
      </w:r>
      <w:proofErr w:type="spellEnd"/>
      <w:r w:rsidRPr="00E23F87">
        <w:rPr>
          <w:rFonts w:ascii="Roboto Condensed" w:eastAsia="Times New Roman" w:hAnsi="Roboto Condensed" w:cs="Times New Roman"/>
          <w:b/>
          <w:bCs/>
          <w:i/>
          <w:iCs/>
          <w:spacing w:val="2"/>
          <w:kern w:val="0"/>
          <w:sz w:val="27"/>
          <w:szCs w:val="27"/>
          <w:lang w:eastAsia="es-CO"/>
          <w14:ligatures w14:val="none"/>
        </w:rPr>
        <w:t>) La vinculación de las personas que ejecutan la actividad de conducción de vehículos de servicio público.</w:t>
      </w:r>
    </w:p>
    <w:p w14:paraId="0AC09E98" w14:textId="77777777" w:rsidR="00E23F87" w:rsidRDefault="00E23F87" w:rsidP="00E23F87">
      <w:pPr>
        <w:spacing w:after="0" w:line="480" w:lineRule="atLeast"/>
        <w:jc w:val="both"/>
        <w:rPr>
          <w:rFonts w:ascii="Roboto Condensed" w:eastAsia="Times New Roman" w:hAnsi="Roboto Condensed" w:cs="Times New Roman"/>
          <w:i/>
          <w:iCs/>
          <w:spacing w:val="2"/>
          <w:kern w:val="0"/>
          <w:sz w:val="27"/>
          <w:szCs w:val="27"/>
          <w:lang w:eastAsia="es-CO"/>
          <w14:ligatures w14:val="none"/>
        </w:rPr>
      </w:pPr>
    </w:p>
    <w:p w14:paraId="36631D43" w14:textId="79B408C0" w:rsidR="00E23F87" w:rsidRPr="00E23F87" w:rsidRDefault="00E23F87" w:rsidP="00E23F87">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E23F87">
        <w:rPr>
          <w:rFonts w:ascii="Roboto Condensed" w:eastAsia="Times New Roman" w:hAnsi="Roboto Condensed" w:cs="Times New Roman"/>
          <w:i/>
          <w:iCs/>
          <w:spacing w:val="2"/>
          <w:kern w:val="0"/>
          <w:sz w:val="27"/>
          <w:szCs w:val="27"/>
          <w:lang w:eastAsia="es-CO"/>
          <w14:ligatures w14:val="none"/>
        </w:rPr>
        <w:t>(...)</w:t>
      </w:r>
    </w:p>
    <w:p w14:paraId="4639399B" w14:textId="77777777" w:rsidR="00E23F87" w:rsidRDefault="00E23F87" w:rsidP="00E23F87">
      <w:pPr>
        <w:spacing w:after="0" w:line="480" w:lineRule="atLeast"/>
        <w:jc w:val="both"/>
        <w:rPr>
          <w:rFonts w:ascii="Roboto Condensed" w:eastAsia="Times New Roman" w:hAnsi="Roboto Condensed" w:cs="Times New Roman"/>
          <w:i/>
          <w:iCs/>
          <w:spacing w:val="2"/>
          <w:kern w:val="0"/>
          <w:sz w:val="27"/>
          <w:szCs w:val="27"/>
          <w:lang w:eastAsia="es-CO"/>
          <w14:ligatures w14:val="none"/>
        </w:rPr>
      </w:pPr>
    </w:p>
    <w:p w14:paraId="13665AD3" w14:textId="1A90F5FA" w:rsidR="00E23F87" w:rsidRPr="00E23F87" w:rsidRDefault="00E23F87" w:rsidP="00E23F87">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E23F87">
        <w:rPr>
          <w:rFonts w:ascii="Roboto Condensed" w:eastAsia="Times New Roman" w:hAnsi="Roboto Condensed" w:cs="Times New Roman"/>
          <w:i/>
          <w:iCs/>
          <w:spacing w:val="2"/>
          <w:kern w:val="0"/>
          <w:sz w:val="27"/>
          <w:szCs w:val="27"/>
          <w:lang w:eastAsia="es-CO"/>
          <w14:ligatures w14:val="none"/>
        </w:rPr>
        <w:t>A su vez, la Sala ha reiterado que, en virtud de las normas que regulan la materia, las Leyes 15 de 1959 y 336 de 1996, en consonancia con lo establecido en la sentencia de la Corte Constitucional CC C579-1999, establece que «Los conductores de los equipos destinados al servicio público de transporte serán contratados directamente por la empresa operadora de transporte, quien para todos los efectos será solidariamente responsable junto con el propietario del equipo», y deberán estar protegidos por los regímenes laborales y del sistema de seguridad social (CSJ, 2 oct. 2007, rad. 29809, CSJ, 22 jul. 2008 rad. 31647, CSJ SL8675-2017, CSJ SL14280-2017 y CSJ SL5698-2021).</w:t>
      </w:r>
    </w:p>
    <w:p w14:paraId="58B70F11" w14:textId="77777777" w:rsidR="00E23F87" w:rsidRPr="00E23F87" w:rsidRDefault="00E23F87" w:rsidP="00E23F87">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E23F87">
        <w:rPr>
          <w:rFonts w:ascii="Roboto Condensed" w:eastAsia="Times New Roman" w:hAnsi="Roboto Condensed" w:cs="Times New Roman"/>
          <w:i/>
          <w:iCs/>
          <w:spacing w:val="2"/>
          <w:kern w:val="0"/>
          <w:sz w:val="27"/>
          <w:szCs w:val="27"/>
          <w:lang w:eastAsia="es-CO"/>
          <w14:ligatures w14:val="none"/>
        </w:rPr>
        <w:lastRenderedPageBreak/>
        <w:t>Del mismo modo, para el caso de las personas que conducen vehículos de servicio público por cuenta de otro, existe la obligación que su vinculación se realice mediante contrato de trabajo, el cual debe celebrarse por la empresa operadora de transporte, sin embargo, no es imperativo ese mandato cuando la actividad se realiza con vehículos propios.</w:t>
      </w:r>
    </w:p>
    <w:p w14:paraId="3DEBA8AA" w14:textId="77777777" w:rsidR="00E23F87" w:rsidRDefault="00E23F87" w:rsidP="00E23F87">
      <w:pPr>
        <w:spacing w:after="0" w:line="480" w:lineRule="atLeast"/>
        <w:jc w:val="both"/>
        <w:rPr>
          <w:rFonts w:ascii="Roboto Condensed" w:eastAsia="Times New Roman" w:hAnsi="Roboto Condensed" w:cs="Times New Roman"/>
          <w:i/>
          <w:iCs/>
          <w:spacing w:val="2"/>
          <w:kern w:val="0"/>
          <w:sz w:val="27"/>
          <w:szCs w:val="27"/>
          <w:lang w:eastAsia="es-CO"/>
          <w14:ligatures w14:val="none"/>
        </w:rPr>
      </w:pPr>
    </w:p>
    <w:p w14:paraId="01C9E4C8" w14:textId="1C63DB95" w:rsidR="00E23F87" w:rsidRPr="00E23F87" w:rsidRDefault="00E23F87" w:rsidP="00E23F87">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E23F87">
        <w:rPr>
          <w:rFonts w:ascii="Roboto Condensed" w:eastAsia="Times New Roman" w:hAnsi="Roboto Condensed" w:cs="Times New Roman"/>
          <w:i/>
          <w:iCs/>
          <w:spacing w:val="2"/>
          <w:kern w:val="0"/>
          <w:sz w:val="27"/>
          <w:szCs w:val="27"/>
          <w:lang w:eastAsia="es-CO"/>
          <w14:ligatures w14:val="none"/>
        </w:rPr>
        <w:t>Así se dijo en la sentencia CSJ SL4302-2018, reiterada en la decisión CSJ SL5698-2021, en la que se puntualizó:</w:t>
      </w:r>
    </w:p>
    <w:p w14:paraId="16ECEB3A" w14:textId="77777777" w:rsidR="00E23F87" w:rsidRDefault="00E23F87" w:rsidP="00E23F87">
      <w:pPr>
        <w:spacing w:after="0" w:line="480" w:lineRule="atLeast"/>
        <w:jc w:val="both"/>
        <w:rPr>
          <w:rFonts w:ascii="Roboto Condensed" w:eastAsia="Times New Roman" w:hAnsi="Roboto Condensed" w:cs="Times New Roman"/>
          <w:i/>
          <w:iCs/>
          <w:spacing w:val="2"/>
          <w:kern w:val="0"/>
          <w:sz w:val="27"/>
          <w:szCs w:val="27"/>
          <w:lang w:eastAsia="es-CO"/>
          <w14:ligatures w14:val="none"/>
        </w:rPr>
      </w:pPr>
    </w:p>
    <w:p w14:paraId="395A8BD2" w14:textId="14B24AD1" w:rsidR="00E23F87" w:rsidRPr="00E23F87" w:rsidRDefault="00E23F87" w:rsidP="00E23F87">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E23F87">
        <w:rPr>
          <w:rFonts w:ascii="Roboto Condensed" w:eastAsia="Times New Roman" w:hAnsi="Roboto Condensed" w:cs="Times New Roman"/>
          <w:i/>
          <w:iCs/>
          <w:spacing w:val="2"/>
          <w:kern w:val="0"/>
          <w:sz w:val="27"/>
          <w:szCs w:val="27"/>
          <w:lang w:eastAsia="es-CO"/>
          <w14:ligatures w14:val="none"/>
        </w:rPr>
        <w:t>[...] para el caso de las personas que realizan la conducción de vehículos de servicio público por cuenta de otro existe la obligación que su vinculación se realice mediante contrato de trabajo, el cual debe celebrarse por la empresa operadora de transporte (CSJ SL4302-2018).</w:t>
      </w:r>
    </w:p>
    <w:p w14:paraId="5D8D602B" w14:textId="77777777" w:rsidR="00E23F87" w:rsidRDefault="00E23F87" w:rsidP="00E23F87">
      <w:pPr>
        <w:spacing w:after="0" w:line="480" w:lineRule="atLeast"/>
        <w:jc w:val="both"/>
        <w:rPr>
          <w:rFonts w:ascii="Roboto Condensed" w:eastAsia="Times New Roman" w:hAnsi="Roboto Condensed" w:cs="Times New Roman"/>
          <w:i/>
          <w:iCs/>
          <w:spacing w:val="2"/>
          <w:kern w:val="0"/>
          <w:sz w:val="27"/>
          <w:szCs w:val="27"/>
          <w:lang w:eastAsia="es-CO"/>
          <w14:ligatures w14:val="none"/>
        </w:rPr>
      </w:pPr>
    </w:p>
    <w:p w14:paraId="61B2D5D9" w14:textId="1A08C57F" w:rsidR="00E23F87" w:rsidRPr="00E23F87" w:rsidRDefault="00E23F87" w:rsidP="00E23F87">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E23F87">
        <w:rPr>
          <w:rFonts w:ascii="Roboto Condensed" w:eastAsia="Times New Roman" w:hAnsi="Roboto Condensed" w:cs="Times New Roman"/>
          <w:i/>
          <w:iCs/>
          <w:spacing w:val="2"/>
          <w:kern w:val="0"/>
          <w:sz w:val="27"/>
          <w:szCs w:val="27"/>
          <w:lang w:eastAsia="es-CO"/>
          <w14:ligatures w14:val="none"/>
        </w:rPr>
        <w:t>(...)”.</w:t>
      </w:r>
    </w:p>
    <w:p w14:paraId="4342929B" w14:textId="77777777" w:rsidR="00E23F87" w:rsidRDefault="00E23F87" w:rsidP="00E23F87">
      <w:pPr>
        <w:spacing w:after="240" w:line="480" w:lineRule="atLeast"/>
        <w:jc w:val="both"/>
        <w:rPr>
          <w:rFonts w:ascii="Roboto Condensed" w:eastAsia="Times New Roman" w:hAnsi="Roboto Condensed" w:cs="Times New Roman"/>
          <w:spacing w:val="2"/>
          <w:kern w:val="0"/>
          <w:sz w:val="27"/>
          <w:szCs w:val="27"/>
          <w:lang w:eastAsia="es-CO"/>
          <w14:ligatures w14:val="none"/>
        </w:rPr>
      </w:pPr>
    </w:p>
    <w:p w14:paraId="24C2DF84" w14:textId="13AF32F5" w:rsidR="00E23F87" w:rsidRPr="00E23F87" w:rsidRDefault="00E23F87" w:rsidP="00E23F87">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E23F87">
        <w:rPr>
          <w:rFonts w:ascii="Roboto Condensed" w:eastAsia="Times New Roman" w:hAnsi="Roboto Condensed" w:cs="Times New Roman"/>
          <w:spacing w:val="2"/>
          <w:kern w:val="0"/>
          <w:sz w:val="27"/>
          <w:szCs w:val="27"/>
          <w:lang w:eastAsia="es-CO"/>
          <w14:ligatures w14:val="none"/>
        </w:rPr>
        <w:t>Al respecto, el Ministerio de Transporte en el Concepto 20211340474981 del 13 de mayo de 2021, expresó:</w:t>
      </w:r>
    </w:p>
    <w:p w14:paraId="6305A431" w14:textId="77777777" w:rsidR="00E23F87" w:rsidRPr="00E23F87" w:rsidRDefault="00E23F87" w:rsidP="00E23F87">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E23F87">
        <w:rPr>
          <w:rFonts w:ascii="Roboto Condensed" w:eastAsia="Times New Roman" w:hAnsi="Roboto Condensed" w:cs="Times New Roman"/>
          <w:i/>
          <w:iCs/>
          <w:spacing w:val="2"/>
          <w:kern w:val="0"/>
          <w:sz w:val="27"/>
          <w:szCs w:val="27"/>
          <w:lang w:eastAsia="es-CO"/>
          <w14:ligatures w14:val="none"/>
        </w:rPr>
        <w:t xml:space="preserve">“De conformidad con lo anterior, es preciso indicar que a través de la Ley 336 de 1996 en concordancia con lo dispuesto por en el referido concepto del Ministerio de Trabajo, los conductores de los equipos destinados al servicio público de transporte serán contratados directamente por la empresa operadora de transporte. Las empresas de transporte serán los verdaderos empleadores de los conductores de los vehículos, sean </w:t>
      </w:r>
      <w:proofErr w:type="gramStart"/>
      <w:r w:rsidRPr="00E23F87">
        <w:rPr>
          <w:rFonts w:ascii="Roboto Condensed" w:eastAsia="Times New Roman" w:hAnsi="Roboto Condensed" w:cs="Times New Roman"/>
          <w:i/>
          <w:iCs/>
          <w:spacing w:val="2"/>
          <w:kern w:val="0"/>
          <w:sz w:val="27"/>
          <w:szCs w:val="27"/>
          <w:lang w:eastAsia="es-CO"/>
          <w14:ligatures w14:val="none"/>
        </w:rPr>
        <w:t>éstos</w:t>
      </w:r>
      <w:proofErr w:type="gramEnd"/>
      <w:r w:rsidRPr="00E23F87">
        <w:rPr>
          <w:rFonts w:ascii="Roboto Condensed" w:eastAsia="Times New Roman" w:hAnsi="Roboto Condensed" w:cs="Times New Roman"/>
          <w:i/>
          <w:iCs/>
          <w:spacing w:val="2"/>
          <w:kern w:val="0"/>
          <w:sz w:val="27"/>
          <w:szCs w:val="27"/>
          <w:lang w:eastAsia="es-CO"/>
          <w14:ligatures w14:val="none"/>
        </w:rPr>
        <w:t xml:space="preserve"> propietarios o no de los mismos y en consecuencia, serán los obligados al reconocimiento de todos los derechos y prerrogativas propias del contrato de trabajo, como lo es para el caso la afiliación al sistema General de </w:t>
      </w:r>
      <w:r w:rsidRPr="00E23F87">
        <w:rPr>
          <w:rFonts w:ascii="Roboto Condensed" w:eastAsia="Times New Roman" w:hAnsi="Roboto Condensed" w:cs="Times New Roman"/>
          <w:i/>
          <w:iCs/>
          <w:spacing w:val="2"/>
          <w:kern w:val="0"/>
          <w:sz w:val="27"/>
          <w:szCs w:val="27"/>
          <w:lang w:eastAsia="es-CO"/>
          <w14:ligatures w14:val="none"/>
        </w:rPr>
        <w:lastRenderedPageBreak/>
        <w:t>Seguridad Social, en Salud, Pensión y Riesgos Laborales en calidad de trabajadores dependientes.”.</w:t>
      </w:r>
    </w:p>
    <w:p w14:paraId="369E992F" w14:textId="77777777" w:rsidR="00E23F87" w:rsidRDefault="00E23F87" w:rsidP="00E23F87">
      <w:pPr>
        <w:spacing w:after="240" w:line="480" w:lineRule="atLeast"/>
        <w:jc w:val="both"/>
        <w:rPr>
          <w:rFonts w:ascii="Roboto Condensed" w:eastAsia="Times New Roman" w:hAnsi="Roboto Condensed" w:cs="Times New Roman"/>
          <w:spacing w:val="2"/>
          <w:kern w:val="0"/>
          <w:sz w:val="27"/>
          <w:szCs w:val="27"/>
          <w:lang w:eastAsia="es-CO"/>
          <w14:ligatures w14:val="none"/>
        </w:rPr>
      </w:pPr>
    </w:p>
    <w:p w14:paraId="6A78D273" w14:textId="6BFF2796" w:rsidR="00E23F87" w:rsidRPr="00E23F87" w:rsidRDefault="00E23F87" w:rsidP="00E23F87">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E23F87">
        <w:rPr>
          <w:rFonts w:ascii="Roboto Condensed" w:eastAsia="Times New Roman" w:hAnsi="Roboto Condensed" w:cs="Times New Roman"/>
          <w:spacing w:val="2"/>
          <w:kern w:val="0"/>
          <w:sz w:val="27"/>
          <w:szCs w:val="27"/>
          <w:highlight w:val="yellow"/>
          <w:lang w:eastAsia="es-CO"/>
          <w14:ligatures w14:val="none"/>
        </w:rPr>
        <w:t>Así las cosas, en el contrato de vinculación de flota la empresa habilitada para la prestación del servicio público de transporte terrestre automotor especial es la que realiza los pagos en virtud del vínculo laboral que tiene con el conductor, por lo que en el evento que ostente la calidad de contribuyente del impuesto sobre la renta y requiera soportar costos y deducciones, será el sujeto obligado a generar el documento soporte de pago de nómina</w:t>
      </w:r>
      <w:r w:rsidRPr="00E23F87">
        <w:rPr>
          <w:rFonts w:ascii="Roboto Condensed" w:eastAsia="Times New Roman" w:hAnsi="Roboto Condensed" w:cs="Times New Roman"/>
          <w:spacing w:val="2"/>
          <w:kern w:val="0"/>
          <w:sz w:val="27"/>
          <w:szCs w:val="27"/>
          <w:lang w:eastAsia="es-CO"/>
          <w14:ligatures w14:val="none"/>
        </w:rPr>
        <w:t>.</w:t>
      </w:r>
    </w:p>
    <w:p w14:paraId="382E8023" w14:textId="77777777" w:rsidR="00E23F87" w:rsidRDefault="00E23F87" w:rsidP="00E23F87">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E23F87">
        <w:rPr>
          <w:rFonts w:ascii="Roboto Condensed" w:eastAsia="Times New Roman" w:hAnsi="Roboto Condensed" w:cs="Times New Roman"/>
          <w:spacing w:val="2"/>
          <w:kern w:val="0"/>
          <w:sz w:val="27"/>
          <w:szCs w:val="27"/>
          <w:lang w:eastAsia="es-CO"/>
          <w14:ligatures w14:val="none"/>
        </w:rPr>
        <w:t>No obstante, en virtud de lo dispuesto en el artículo </w:t>
      </w:r>
      <w:hyperlink r:id="rId14" w:anchor="22" w:history="1">
        <w:r w:rsidRPr="00E23F87">
          <w:rPr>
            <w:rFonts w:ascii="Roboto Condensed" w:eastAsia="Times New Roman" w:hAnsi="Roboto Condensed" w:cs="Times New Roman"/>
            <w:color w:val="0000FF"/>
            <w:spacing w:val="2"/>
            <w:kern w:val="0"/>
            <w:sz w:val="27"/>
            <w:szCs w:val="27"/>
            <w:u w:val="single"/>
            <w:lang w:eastAsia="es-CO"/>
            <w14:ligatures w14:val="none"/>
          </w:rPr>
          <w:t>22</w:t>
        </w:r>
      </w:hyperlink>
      <w:r w:rsidRPr="00E23F87">
        <w:rPr>
          <w:rFonts w:ascii="Roboto Condensed" w:eastAsia="Times New Roman" w:hAnsi="Roboto Condensed" w:cs="Times New Roman"/>
          <w:spacing w:val="2"/>
          <w:kern w:val="0"/>
          <w:sz w:val="27"/>
          <w:szCs w:val="27"/>
          <w:lang w:eastAsia="es-CO"/>
          <w14:ligatures w14:val="none"/>
        </w:rPr>
        <w:t> de la Resolución 000013 de 2021 y de acuerdo a lo expuesto en el numeral </w:t>
      </w:r>
      <w:hyperlink r:id="rId15" w:anchor="4.2.3.4" w:history="1">
        <w:r w:rsidRPr="00E23F87">
          <w:rPr>
            <w:rFonts w:ascii="Roboto Condensed" w:eastAsia="Times New Roman" w:hAnsi="Roboto Condensed" w:cs="Times New Roman"/>
            <w:color w:val="0000FF"/>
            <w:spacing w:val="2"/>
            <w:kern w:val="0"/>
            <w:sz w:val="27"/>
            <w:szCs w:val="27"/>
            <w:u w:val="single"/>
            <w:lang w:eastAsia="es-CO"/>
            <w14:ligatures w14:val="none"/>
          </w:rPr>
          <w:t>4.2.3.4</w:t>
        </w:r>
      </w:hyperlink>
      <w:r w:rsidRPr="00E23F87">
        <w:rPr>
          <w:rFonts w:ascii="Roboto Condensed" w:eastAsia="Times New Roman" w:hAnsi="Roboto Condensed" w:cs="Times New Roman"/>
          <w:spacing w:val="2"/>
          <w:kern w:val="0"/>
          <w:sz w:val="27"/>
          <w:szCs w:val="27"/>
          <w:lang w:eastAsia="es-CO"/>
          <w14:ligatures w14:val="none"/>
        </w:rPr>
        <w:t xml:space="preserve">. de este concepto, es posible que el sujeto obligado a generar el documento soporte de pago de nómina electrónica pueda </w:t>
      </w:r>
      <w:r w:rsidRPr="00E23F87">
        <w:rPr>
          <w:rFonts w:ascii="Roboto Condensed" w:eastAsia="Times New Roman" w:hAnsi="Roboto Condensed" w:cs="Times New Roman"/>
          <w:spacing w:val="2"/>
          <w:kern w:val="0"/>
          <w:sz w:val="27"/>
          <w:szCs w:val="27"/>
          <w:highlight w:val="cyan"/>
          <w:lang w:eastAsia="es-CO"/>
          <w14:ligatures w14:val="none"/>
        </w:rPr>
        <w:t>cumplir con esta obligación a través de terceros quienes, a su vez, van a ser considerados por la administración tributaria como sus representantes.</w:t>
      </w:r>
    </w:p>
    <w:p w14:paraId="0297FBE5" w14:textId="77777777" w:rsidR="00E23F87" w:rsidRPr="00E23F87" w:rsidRDefault="00E23F87" w:rsidP="00E23F87">
      <w:pPr>
        <w:spacing w:after="0" w:line="480" w:lineRule="atLeast"/>
        <w:jc w:val="both"/>
        <w:rPr>
          <w:rFonts w:ascii="Roboto Condensed" w:eastAsia="Times New Roman" w:hAnsi="Roboto Condensed" w:cs="Times New Roman"/>
          <w:spacing w:val="2"/>
          <w:kern w:val="0"/>
          <w:sz w:val="27"/>
          <w:szCs w:val="27"/>
          <w:lang w:eastAsia="es-CO"/>
          <w14:ligatures w14:val="none"/>
        </w:rPr>
      </w:pPr>
    </w:p>
    <w:p w14:paraId="6AF689F1" w14:textId="77777777" w:rsidR="00E23F87" w:rsidRPr="00E23F87" w:rsidRDefault="00E23F87" w:rsidP="00E23F87">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E23F87">
        <w:rPr>
          <w:rFonts w:ascii="Roboto Condensed" w:eastAsia="Times New Roman" w:hAnsi="Roboto Condensed" w:cs="Times New Roman"/>
          <w:spacing w:val="2"/>
          <w:kern w:val="0"/>
          <w:sz w:val="27"/>
          <w:szCs w:val="27"/>
          <w:lang w:eastAsia="es-CO"/>
          <w14:ligatures w14:val="none"/>
        </w:rPr>
        <w:t>II. Se requiere adicionar al Descriptor 3.4.3 </w:t>
      </w:r>
      <w:r w:rsidRPr="00E23F87">
        <w:rPr>
          <w:rFonts w:ascii="Roboto Condensed" w:eastAsia="Times New Roman" w:hAnsi="Roboto Condensed" w:cs="Times New Roman"/>
          <w:i/>
          <w:iCs/>
          <w:spacing w:val="2"/>
          <w:kern w:val="0"/>
          <w:sz w:val="27"/>
          <w:szCs w:val="27"/>
          <w:lang w:eastAsia="es-CO"/>
          <w14:ligatures w14:val="none"/>
        </w:rPr>
        <w:t>“IMPLEMENTACION DOCUMENTO EQUIVALENTE ELECTRONICO”</w:t>
      </w:r>
      <w:r w:rsidRPr="00E23F87">
        <w:rPr>
          <w:rFonts w:ascii="Roboto Condensed" w:eastAsia="Times New Roman" w:hAnsi="Roboto Condensed" w:cs="Times New Roman"/>
          <w:spacing w:val="2"/>
          <w:kern w:val="0"/>
          <w:sz w:val="27"/>
          <w:szCs w:val="27"/>
          <w:lang w:eastAsia="es-CO"/>
          <w14:ligatures w14:val="none"/>
        </w:rPr>
        <w:t>, el numeral 3.4.1.1., así:</w:t>
      </w:r>
    </w:p>
    <w:p w14:paraId="6D37F531" w14:textId="77777777" w:rsidR="00E23F87" w:rsidRDefault="00E23F87" w:rsidP="00E23F87">
      <w:pPr>
        <w:spacing w:after="0" w:line="480" w:lineRule="atLeast"/>
        <w:jc w:val="both"/>
        <w:rPr>
          <w:rFonts w:ascii="Roboto Condensed" w:eastAsia="Times New Roman" w:hAnsi="Roboto Condensed" w:cs="Times New Roman"/>
          <w:spacing w:val="2"/>
          <w:kern w:val="0"/>
          <w:sz w:val="27"/>
          <w:szCs w:val="27"/>
          <w:lang w:eastAsia="es-CO"/>
          <w14:ligatures w14:val="none"/>
        </w:rPr>
      </w:pPr>
    </w:p>
    <w:p w14:paraId="0F16CA7B" w14:textId="798E9004" w:rsidR="00E23F87" w:rsidRPr="00E23F87" w:rsidRDefault="00E23F87" w:rsidP="00E23F87">
      <w:pPr>
        <w:spacing w:after="0" w:line="480" w:lineRule="atLeast"/>
        <w:jc w:val="both"/>
        <w:rPr>
          <w:rFonts w:ascii="Roboto Condensed" w:eastAsia="Times New Roman" w:hAnsi="Roboto Condensed" w:cs="Times New Roman"/>
          <w:spacing w:val="2"/>
          <w:kern w:val="0"/>
          <w:sz w:val="27"/>
          <w:szCs w:val="27"/>
          <w:lang w:eastAsia="es-CO"/>
          <w14:ligatures w14:val="none"/>
        </w:rPr>
      </w:pPr>
      <w:hyperlink r:id="rId16" w:anchor="3.4.1.1" w:history="1">
        <w:r w:rsidRPr="00E23F87">
          <w:rPr>
            <w:rFonts w:ascii="Roboto Condensed" w:eastAsia="Times New Roman" w:hAnsi="Roboto Condensed" w:cs="Times New Roman"/>
            <w:color w:val="0000FF"/>
            <w:spacing w:val="2"/>
            <w:kern w:val="0"/>
            <w:sz w:val="27"/>
            <w:szCs w:val="27"/>
            <w:highlight w:val="cyan"/>
            <w:u w:val="single"/>
            <w:lang w:eastAsia="es-CO"/>
            <w14:ligatures w14:val="none"/>
          </w:rPr>
          <w:t>3.4.1.1</w:t>
        </w:r>
      </w:hyperlink>
      <w:r w:rsidRPr="00E23F87">
        <w:rPr>
          <w:rFonts w:ascii="Roboto Condensed" w:eastAsia="Times New Roman" w:hAnsi="Roboto Condensed" w:cs="Times New Roman"/>
          <w:spacing w:val="2"/>
          <w:kern w:val="0"/>
          <w:sz w:val="27"/>
          <w:szCs w:val="27"/>
          <w:highlight w:val="cyan"/>
          <w:lang w:eastAsia="es-CO"/>
          <w14:ligatures w14:val="none"/>
        </w:rPr>
        <w:t>. ¿Cuáles son los juegos de suerte y azar que se encuentran cobijados con la excepción a la implementación electrónica de los documentos equivalentes que establece el parágrafo del artículo </w:t>
      </w:r>
      <w:hyperlink r:id="rId17" w:anchor="20" w:history="1">
        <w:r w:rsidRPr="00E23F87">
          <w:rPr>
            <w:rFonts w:ascii="Roboto Condensed" w:eastAsia="Times New Roman" w:hAnsi="Roboto Condensed" w:cs="Times New Roman"/>
            <w:color w:val="0000FF"/>
            <w:spacing w:val="2"/>
            <w:kern w:val="0"/>
            <w:sz w:val="27"/>
            <w:szCs w:val="27"/>
            <w:highlight w:val="cyan"/>
            <w:u w:val="single"/>
            <w:lang w:eastAsia="es-CO"/>
            <w14:ligatures w14:val="none"/>
          </w:rPr>
          <w:t>20</w:t>
        </w:r>
      </w:hyperlink>
      <w:r w:rsidRPr="00E23F87">
        <w:rPr>
          <w:rFonts w:ascii="Roboto Condensed" w:eastAsia="Times New Roman" w:hAnsi="Roboto Condensed" w:cs="Times New Roman"/>
          <w:spacing w:val="2"/>
          <w:kern w:val="0"/>
          <w:sz w:val="27"/>
          <w:szCs w:val="27"/>
          <w:highlight w:val="cyan"/>
          <w:lang w:eastAsia="es-CO"/>
          <w14:ligatures w14:val="none"/>
        </w:rPr>
        <w:t> de la Resolución 000165 de 2023?</w:t>
      </w:r>
    </w:p>
    <w:p w14:paraId="50F29CE3" w14:textId="77777777" w:rsidR="00E23F87" w:rsidRDefault="00E23F87" w:rsidP="00E23F87">
      <w:pPr>
        <w:spacing w:after="0" w:line="480" w:lineRule="atLeast"/>
        <w:jc w:val="both"/>
        <w:rPr>
          <w:rFonts w:ascii="Roboto Condensed" w:eastAsia="Times New Roman" w:hAnsi="Roboto Condensed" w:cs="Times New Roman"/>
          <w:spacing w:val="2"/>
          <w:kern w:val="0"/>
          <w:sz w:val="27"/>
          <w:szCs w:val="27"/>
          <w:lang w:eastAsia="es-CO"/>
          <w14:ligatures w14:val="none"/>
        </w:rPr>
      </w:pPr>
    </w:p>
    <w:p w14:paraId="786281C2" w14:textId="16C64FDD" w:rsidR="00E23F87" w:rsidRPr="00E23F87" w:rsidRDefault="00E23F87" w:rsidP="00E23F87">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E23F87">
        <w:rPr>
          <w:rFonts w:ascii="Roboto Condensed" w:eastAsia="Times New Roman" w:hAnsi="Roboto Condensed" w:cs="Times New Roman"/>
          <w:spacing w:val="2"/>
          <w:kern w:val="0"/>
          <w:sz w:val="27"/>
          <w:szCs w:val="27"/>
          <w:lang w:eastAsia="es-CO"/>
          <w14:ligatures w14:val="none"/>
        </w:rPr>
        <w:t xml:space="preserve">En virtud de las definiciones de juegos de suerte y azar y de juegos localizados consagradas en los artículos 5 y 32 de la Ley 643 de 2001 respectivamente, el Gobierno Nacional estableció para cada una de estas operaciones documentos </w:t>
      </w:r>
      <w:r w:rsidRPr="00E23F87">
        <w:rPr>
          <w:rFonts w:ascii="Roboto Condensed" w:eastAsia="Times New Roman" w:hAnsi="Roboto Condensed" w:cs="Times New Roman"/>
          <w:spacing w:val="2"/>
          <w:kern w:val="0"/>
          <w:sz w:val="27"/>
          <w:szCs w:val="27"/>
          <w:lang w:eastAsia="es-CO"/>
          <w14:ligatures w14:val="none"/>
        </w:rPr>
        <w:lastRenderedPageBreak/>
        <w:t>equivalentes diferentes en los numerales 6 y 7 del artículo </w:t>
      </w:r>
      <w:hyperlink r:id="rId18" w:anchor="1.6.1.4.6" w:history="1">
        <w:r w:rsidRPr="00E23F87">
          <w:rPr>
            <w:rFonts w:ascii="Roboto Condensed" w:eastAsia="Times New Roman" w:hAnsi="Roboto Condensed" w:cs="Times New Roman"/>
            <w:color w:val="0000FF"/>
            <w:spacing w:val="2"/>
            <w:kern w:val="0"/>
            <w:sz w:val="27"/>
            <w:szCs w:val="27"/>
            <w:u w:val="single"/>
            <w:lang w:eastAsia="es-CO"/>
            <w14:ligatures w14:val="none"/>
          </w:rPr>
          <w:t>1.6.1.4.6</w:t>
        </w:r>
      </w:hyperlink>
      <w:r w:rsidRPr="00E23F87">
        <w:rPr>
          <w:rFonts w:ascii="Roboto Condensed" w:eastAsia="Times New Roman" w:hAnsi="Roboto Condensed" w:cs="Times New Roman"/>
          <w:spacing w:val="2"/>
          <w:kern w:val="0"/>
          <w:sz w:val="27"/>
          <w:szCs w:val="27"/>
          <w:lang w:eastAsia="es-CO"/>
          <w14:ligatures w14:val="none"/>
        </w:rPr>
        <w:t>.del Decreto 1625 de 2016, así:</w:t>
      </w:r>
    </w:p>
    <w:p w14:paraId="0150F1C7" w14:textId="77777777" w:rsidR="00E23F87" w:rsidRDefault="00E23F87" w:rsidP="00E23F87">
      <w:pPr>
        <w:spacing w:after="0" w:line="480" w:lineRule="atLeast"/>
        <w:jc w:val="both"/>
        <w:rPr>
          <w:rFonts w:ascii="Roboto Condensed" w:eastAsia="Times New Roman" w:hAnsi="Roboto Condensed" w:cs="Times New Roman"/>
          <w:b/>
          <w:bCs/>
          <w:i/>
          <w:iCs/>
          <w:spacing w:val="2"/>
          <w:kern w:val="0"/>
          <w:sz w:val="27"/>
          <w:szCs w:val="27"/>
          <w:lang w:eastAsia="es-CO"/>
          <w14:ligatures w14:val="none"/>
        </w:rPr>
      </w:pPr>
    </w:p>
    <w:p w14:paraId="7618EEB4" w14:textId="067994DF" w:rsidR="00E23F87" w:rsidRPr="00E23F87" w:rsidRDefault="00E23F87" w:rsidP="00E23F87">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E23F87">
        <w:rPr>
          <w:rFonts w:ascii="Roboto Condensed" w:eastAsia="Times New Roman" w:hAnsi="Roboto Condensed" w:cs="Times New Roman"/>
          <w:b/>
          <w:bCs/>
          <w:i/>
          <w:iCs/>
          <w:spacing w:val="2"/>
          <w:kern w:val="0"/>
          <w:sz w:val="27"/>
          <w:szCs w:val="27"/>
          <w:lang w:eastAsia="es-CO"/>
          <w14:ligatures w14:val="none"/>
        </w:rPr>
        <w:t>“6. El documento en juegos localizados</w:t>
      </w:r>
      <w:r w:rsidRPr="00E23F87">
        <w:rPr>
          <w:rFonts w:ascii="Roboto Condensed" w:eastAsia="Times New Roman" w:hAnsi="Roboto Condensed" w:cs="Times New Roman"/>
          <w:i/>
          <w:iCs/>
          <w:spacing w:val="2"/>
          <w:kern w:val="0"/>
          <w:sz w:val="27"/>
          <w:szCs w:val="27"/>
          <w:lang w:eastAsia="es-CO"/>
          <w14:ligatures w14:val="none"/>
        </w:rPr>
        <w:t xml:space="preserve">. El documento en juegos localizados lo podrán expedir los sujetos obligados a facturar por los ingresos que obtengan como operadores en los juegos localizados tales como máquinas tragamonedas, bingos, video-bingos, </w:t>
      </w:r>
      <w:proofErr w:type="spellStart"/>
      <w:r w:rsidRPr="00E23F87">
        <w:rPr>
          <w:rFonts w:ascii="Roboto Condensed" w:eastAsia="Times New Roman" w:hAnsi="Roboto Condensed" w:cs="Times New Roman"/>
          <w:i/>
          <w:iCs/>
          <w:spacing w:val="2"/>
          <w:kern w:val="0"/>
          <w:sz w:val="27"/>
          <w:szCs w:val="27"/>
          <w:lang w:eastAsia="es-CO"/>
          <w14:ligatures w14:val="none"/>
        </w:rPr>
        <w:t>esferódromos</w:t>
      </w:r>
      <w:proofErr w:type="spellEnd"/>
      <w:r w:rsidRPr="00E23F87">
        <w:rPr>
          <w:rFonts w:ascii="Roboto Condensed" w:eastAsia="Times New Roman" w:hAnsi="Roboto Condensed" w:cs="Times New Roman"/>
          <w:i/>
          <w:iCs/>
          <w:spacing w:val="2"/>
          <w:kern w:val="0"/>
          <w:sz w:val="27"/>
          <w:szCs w:val="27"/>
          <w:lang w:eastAsia="es-CO"/>
          <w14:ligatures w14:val="none"/>
        </w:rPr>
        <w:t>, los operados en casino y similares;</w:t>
      </w:r>
    </w:p>
    <w:p w14:paraId="61EC0BB7" w14:textId="77777777" w:rsidR="00E23F87" w:rsidRDefault="00E23F87" w:rsidP="00E23F87">
      <w:pPr>
        <w:spacing w:after="0" w:line="480" w:lineRule="atLeast"/>
        <w:jc w:val="both"/>
        <w:rPr>
          <w:rFonts w:ascii="Roboto Condensed" w:eastAsia="Times New Roman" w:hAnsi="Roboto Condensed" w:cs="Times New Roman"/>
          <w:b/>
          <w:bCs/>
          <w:i/>
          <w:iCs/>
          <w:spacing w:val="2"/>
          <w:kern w:val="0"/>
          <w:sz w:val="27"/>
          <w:szCs w:val="27"/>
          <w:lang w:eastAsia="es-CO"/>
          <w14:ligatures w14:val="none"/>
        </w:rPr>
      </w:pPr>
    </w:p>
    <w:p w14:paraId="358A59B7" w14:textId="19580CB4" w:rsidR="00E23F87" w:rsidRPr="00E23F87" w:rsidRDefault="00E23F87" w:rsidP="00E23F87">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E23F87">
        <w:rPr>
          <w:rFonts w:ascii="Roboto Condensed" w:eastAsia="Times New Roman" w:hAnsi="Roboto Condensed" w:cs="Times New Roman"/>
          <w:b/>
          <w:bCs/>
          <w:i/>
          <w:iCs/>
          <w:spacing w:val="2"/>
          <w:kern w:val="0"/>
          <w:sz w:val="27"/>
          <w:szCs w:val="27"/>
          <w:lang w:eastAsia="es-CO"/>
          <w14:ligatures w14:val="none"/>
        </w:rPr>
        <w:t>7. La boleta, fracción, formulario, cartón, billete o instrumento en juegos de suerte y azar diferentes de los juegos localizados. </w:t>
      </w:r>
      <w:r w:rsidRPr="00E23F87">
        <w:rPr>
          <w:rFonts w:ascii="Roboto Condensed" w:eastAsia="Times New Roman" w:hAnsi="Roboto Condensed" w:cs="Times New Roman"/>
          <w:i/>
          <w:iCs/>
          <w:spacing w:val="2"/>
          <w:kern w:val="0"/>
          <w:sz w:val="27"/>
          <w:szCs w:val="27"/>
          <w:lang w:eastAsia="es-CO"/>
          <w14:ligatures w14:val="none"/>
        </w:rPr>
        <w:t>La boleta, fracción, formulario, cartón, billete o instrumento que constituye el documento equivalente en juegos de suerte y azar, diferentes de los juegos localizados lo podrán expedir los sujetos obligados a facturar por los ingresos que obtengan en la venta de los citados juegos efectuadas al público;”.</w:t>
      </w:r>
    </w:p>
    <w:p w14:paraId="4E825D22" w14:textId="77777777" w:rsidR="00E23F87" w:rsidRDefault="00E23F87" w:rsidP="00E23F87">
      <w:pPr>
        <w:spacing w:after="0" w:line="480" w:lineRule="atLeast"/>
        <w:jc w:val="both"/>
        <w:rPr>
          <w:rFonts w:ascii="Roboto Condensed" w:eastAsia="Times New Roman" w:hAnsi="Roboto Condensed" w:cs="Times New Roman"/>
          <w:spacing w:val="2"/>
          <w:kern w:val="0"/>
          <w:sz w:val="27"/>
          <w:szCs w:val="27"/>
          <w:lang w:eastAsia="es-CO"/>
          <w14:ligatures w14:val="none"/>
        </w:rPr>
      </w:pPr>
    </w:p>
    <w:p w14:paraId="17A091BB" w14:textId="378A44E9" w:rsidR="00E23F87" w:rsidRPr="00E23F87" w:rsidRDefault="00E23F87" w:rsidP="00E23F87">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E23F87">
        <w:rPr>
          <w:rFonts w:ascii="Roboto Condensed" w:eastAsia="Times New Roman" w:hAnsi="Roboto Condensed" w:cs="Times New Roman"/>
          <w:spacing w:val="2"/>
          <w:kern w:val="0"/>
          <w:sz w:val="27"/>
          <w:szCs w:val="27"/>
          <w:lang w:eastAsia="es-CO"/>
          <w14:ligatures w14:val="none"/>
        </w:rPr>
        <w:t>Por su parte, el artículo </w:t>
      </w:r>
      <w:hyperlink r:id="rId19" w:anchor="16" w:history="1">
        <w:r w:rsidRPr="00E23F87">
          <w:rPr>
            <w:rFonts w:ascii="Roboto Condensed" w:eastAsia="Times New Roman" w:hAnsi="Roboto Condensed" w:cs="Times New Roman"/>
            <w:color w:val="0000FF"/>
            <w:spacing w:val="2"/>
            <w:kern w:val="0"/>
            <w:sz w:val="27"/>
            <w:szCs w:val="27"/>
            <w:u w:val="single"/>
            <w:lang w:eastAsia="es-CO"/>
            <w14:ligatures w14:val="none"/>
          </w:rPr>
          <w:t>16</w:t>
        </w:r>
      </w:hyperlink>
      <w:r w:rsidRPr="00E23F87">
        <w:rPr>
          <w:rFonts w:ascii="Roboto Condensed" w:eastAsia="Times New Roman" w:hAnsi="Roboto Condensed" w:cs="Times New Roman"/>
          <w:spacing w:val="2"/>
          <w:kern w:val="0"/>
          <w:sz w:val="27"/>
          <w:szCs w:val="27"/>
          <w:lang w:eastAsia="es-CO"/>
          <w14:ligatures w14:val="none"/>
        </w:rPr>
        <w:t> de la Resolución 000165 de 2023 dispuso la implementación electrónica de los documentos equivalentes señalados en el artículo </w:t>
      </w:r>
      <w:hyperlink r:id="rId20" w:anchor="15" w:history="1">
        <w:r w:rsidRPr="00E23F87">
          <w:rPr>
            <w:rFonts w:ascii="Roboto Condensed" w:eastAsia="Times New Roman" w:hAnsi="Roboto Condensed" w:cs="Times New Roman"/>
            <w:color w:val="0000FF"/>
            <w:spacing w:val="2"/>
            <w:kern w:val="0"/>
            <w:sz w:val="27"/>
            <w:szCs w:val="27"/>
            <w:u w:val="single"/>
            <w:lang w:eastAsia="es-CO"/>
            <w14:ligatures w14:val="none"/>
          </w:rPr>
          <w:t>15</w:t>
        </w:r>
      </w:hyperlink>
      <w:r w:rsidRPr="00E23F87">
        <w:rPr>
          <w:rFonts w:ascii="Roboto Condensed" w:eastAsia="Times New Roman" w:hAnsi="Roboto Condensed" w:cs="Times New Roman"/>
          <w:spacing w:val="2"/>
          <w:kern w:val="0"/>
          <w:sz w:val="27"/>
          <w:szCs w:val="27"/>
          <w:lang w:eastAsia="es-CO"/>
          <w14:ligatures w14:val="none"/>
        </w:rPr>
        <w:t> de la mencionada resolución, dentro de los cuales se encuentran el documento en juegos localizados y la boleta, fracción, formulario, cartón, billete o instrumento en juegos de suerte y azar diferentes de los juegos localizados.</w:t>
      </w:r>
    </w:p>
    <w:p w14:paraId="6357B824" w14:textId="77777777" w:rsidR="00E23F87" w:rsidRDefault="00E23F87" w:rsidP="00E23F87">
      <w:pPr>
        <w:spacing w:after="0" w:line="480" w:lineRule="atLeast"/>
        <w:jc w:val="both"/>
        <w:rPr>
          <w:rFonts w:ascii="Roboto Condensed" w:eastAsia="Times New Roman" w:hAnsi="Roboto Condensed" w:cs="Times New Roman"/>
          <w:spacing w:val="2"/>
          <w:kern w:val="0"/>
          <w:sz w:val="27"/>
          <w:szCs w:val="27"/>
          <w:lang w:eastAsia="es-CO"/>
          <w14:ligatures w14:val="none"/>
        </w:rPr>
      </w:pPr>
    </w:p>
    <w:p w14:paraId="06037B05" w14:textId="7A3BCDEB" w:rsidR="00E23F87" w:rsidRPr="00E23F87" w:rsidRDefault="00E23F87" w:rsidP="00E23F87">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E23F87">
        <w:rPr>
          <w:rFonts w:ascii="Roboto Condensed" w:eastAsia="Times New Roman" w:hAnsi="Roboto Condensed" w:cs="Times New Roman"/>
          <w:spacing w:val="2"/>
          <w:kern w:val="0"/>
          <w:sz w:val="27"/>
          <w:szCs w:val="27"/>
          <w:lang w:eastAsia="es-CO"/>
          <w14:ligatures w14:val="none"/>
        </w:rPr>
        <w:t>No obstante, el artículo </w:t>
      </w:r>
      <w:hyperlink r:id="rId21" w:anchor="20" w:history="1">
        <w:r w:rsidRPr="00E23F87">
          <w:rPr>
            <w:rFonts w:ascii="Roboto Condensed" w:eastAsia="Times New Roman" w:hAnsi="Roboto Condensed" w:cs="Times New Roman"/>
            <w:color w:val="0000FF"/>
            <w:spacing w:val="2"/>
            <w:kern w:val="0"/>
            <w:sz w:val="27"/>
            <w:szCs w:val="27"/>
            <w:u w:val="single"/>
            <w:lang w:eastAsia="es-CO"/>
            <w14:ligatures w14:val="none"/>
          </w:rPr>
          <w:t>20</w:t>
        </w:r>
      </w:hyperlink>
      <w:r w:rsidRPr="00E23F87">
        <w:rPr>
          <w:rFonts w:ascii="Roboto Condensed" w:eastAsia="Times New Roman" w:hAnsi="Roboto Condensed" w:cs="Times New Roman"/>
          <w:spacing w:val="2"/>
          <w:kern w:val="0"/>
          <w:sz w:val="27"/>
          <w:szCs w:val="27"/>
          <w:lang w:eastAsia="es-CO"/>
          <w14:ligatures w14:val="none"/>
        </w:rPr>
        <w:t> </w:t>
      </w:r>
      <w:proofErr w:type="spellStart"/>
      <w:r w:rsidRPr="00E23F87">
        <w:rPr>
          <w:rFonts w:ascii="Roboto Condensed" w:eastAsia="Times New Roman" w:hAnsi="Roboto Condensed" w:cs="Times New Roman"/>
          <w:spacing w:val="2"/>
          <w:kern w:val="0"/>
          <w:sz w:val="27"/>
          <w:szCs w:val="27"/>
          <w:lang w:eastAsia="es-CO"/>
          <w14:ligatures w14:val="none"/>
        </w:rPr>
        <w:t>ibídem</w:t>
      </w:r>
      <w:proofErr w:type="spellEnd"/>
      <w:r w:rsidRPr="00E23F87">
        <w:rPr>
          <w:rFonts w:ascii="Roboto Condensed" w:eastAsia="Times New Roman" w:hAnsi="Roboto Condensed" w:cs="Times New Roman"/>
          <w:spacing w:val="2"/>
          <w:kern w:val="0"/>
          <w:sz w:val="27"/>
          <w:szCs w:val="27"/>
          <w:lang w:eastAsia="es-CO"/>
          <w14:ligatures w14:val="none"/>
        </w:rPr>
        <w:t xml:space="preserve"> además de establecer los requisitos específicos de cada uno de los documentos equivalentes electrónicos, en su parágrafo contempló de manera expresa a una excepción al deber de implementación electrónica para algunos de los documentos equivalentes, en los siguientes términos:</w:t>
      </w:r>
    </w:p>
    <w:p w14:paraId="4E931840" w14:textId="77777777" w:rsidR="00E23F87" w:rsidRPr="00E23F87" w:rsidRDefault="00E23F87" w:rsidP="00E23F87">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E23F87">
        <w:rPr>
          <w:rFonts w:ascii="Roboto Condensed" w:eastAsia="Times New Roman" w:hAnsi="Roboto Condensed" w:cs="Times New Roman"/>
          <w:i/>
          <w:iCs/>
          <w:spacing w:val="2"/>
          <w:kern w:val="0"/>
          <w:sz w:val="27"/>
          <w:szCs w:val="27"/>
          <w:highlight w:val="cyan"/>
          <w:lang w:eastAsia="es-CO"/>
          <w14:ligatures w14:val="none"/>
        </w:rPr>
        <w:lastRenderedPageBreak/>
        <w:t>“Los sujetos obligados a reportar a otras entidades estatales </w:t>
      </w:r>
      <w:r w:rsidRPr="00E23F87">
        <w:rPr>
          <w:rFonts w:ascii="Roboto Condensed" w:eastAsia="Times New Roman" w:hAnsi="Roboto Condensed" w:cs="Times New Roman"/>
          <w:b/>
          <w:bCs/>
          <w:i/>
          <w:iCs/>
          <w:spacing w:val="2"/>
          <w:kern w:val="0"/>
          <w:sz w:val="27"/>
          <w:szCs w:val="27"/>
          <w:highlight w:val="cyan"/>
          <w:lang w:eastAsia="es-CO"/>
          <w14:ligatures w14:val="none"/>
        </w:rPr>
        <w:t>las operaciones de venta de juegos de suerte y azar en los que se expida documento, boleta, fracción, formulario, cartones, billetes o instrumento que da derecho a participar en el juego, juegos localizados </w:t>
      </w:r>
      <w:r w:rsidRPr="00E23F87">
        <w:rPr>
          <w:rFonts w:ascii="Roboto Condensed" w:eastAsia="Times New Roman" w:hAnsi="Roboto Condensed" w:cs="Times New Roman"/>
          <w:i/>
          <w:iCs/>
          <w:spacing w:val="2"/>
          <w:kern w:val="0"/>
          <w:sz w:val="27"/>
          <w:szCs w:val="27"/>
          <w:highlight w:val="cyan"/>
          <w:lang w:eastAsia="es-CO"/>
          <w14:ligatures w14:val="none"/>
        </w:rPr>
        <w:t>y en los espectáculos públicos, no se encuentran en la obligación de implementar el documento equivalente electrónico de que trata el artículo </w:t>
      </w:r>
      <w:hyperlink r:id="rId22" w:anchor="19" w:history="1">
        <w:r w:rsidRPr="00E23F87">
          <w:rPr>
            <w:rFonts w:ascii="Roboto Condensed" w:eastAsia="Times New Roman" w:hAnsi="Roboto Condensed" w:cs="Times New Roman"/>
            <w:i/>
            <w:iCs/>
            <w:color w:val="0000FF"/>
            <w:spacing w:val="2"/>
            <w:kern w:val="0"/>
            <w:sz w:val="27"/>
            <w:szCs w:val="27"/>
            <w:highlight w:val="cyan"/>
            <w:u w:val="single"/>
            <w:lang w:eastAsia="es-CO"/>
            <w14:ligatures w14:val="none"/>
          </w:rPr>
          <w:t>19</w:t>
        </w:r>
      </w:hyperlink>
      <w:r w:rsidRPr="00E23F87">
        <w:rPr>
          <w:rFonts w:ascii="Roboto Condensed" w:eastAsia="Times New Roman" w:hAnsi="Roboto Condensed" w:cs="Times New Roman"/>
          <w:i/>
          <w:iCs/>
          <w:spacing w:val="2"/>
          <w:kern w:val="0"/>
          <w:sz w:val="27"/>
          <w:szCs w:val="27"/>
          <w:highlight w:val="cyan"/>
          <w:lang w:eastAsia="es-CO"/>
          <w14:ligatures w14:val="none"/>
        </w:rPr>
        <w:t> y los numerales 6, 7 y 12 del artículo </w:t>
      </w:r>
      <w:hyperlink r:id="rId23" w:anchor="20" w:history="1">
        <w:r w:rsidRPr="00E23F87">
          <w:rPr>
            <w:rFonts w:ascii="Roboto Condensed" w:eastAsia="Times New Roman" w:hAnsi="Roboto Condensed" w:cs="Times New Roman"/>
            <w:i/>
            <w:iCs/>
            <w:color w:val="0000FF"/>
            <w:spacing w:val="2"/>
            <w:kern w:val="0"/>
            <w:sz w:val="27"/>
            <w:szCs w:val="27"/>
            <w:highlight w:val="cyan"/>
            <w:u w:val="single"/>
            <w:lang w:eastAsia="es-CO"/>
            <w14:ligatures w14:val="none"/>
          </w:rPr>
          <w:t>20</w:t>
        </w:r>
      </w:hyperlink>
      <w:r w:rsidRPr="00E23F87">
        <w:rPr>
          <w:rFonts w:ascii="Roboto Condensed" w:eastAsia="Times New Roman" w:hAnsi="Roboto Condensed" w:cs="Times New Roman"/>
          <w:i/>
          <w:iCs/>
          <w:spacing w:val="2"/>
          <w:kern w:val="0"/>
          <w:sz w:val="27"/>
          <w:szCs w:val="27"/>
          <w:highlight w:val="cyan"/>
          <w:lang w:eastAsia="es-CO"/>
          <w14:ligatures w14:val="none"/>
        </w:rPr>
        <w:t> de esta Resolución</w:t>
      </w:r>
      <w:r w:rsidRPr="00E23F87">
        <w:rPr>
          <w:rFonts w:ascii="Roboto Condensed" w:eastAsia="Times New Roman" w:hAnsi="Roboto Condensed" w:cs="Times New Roman"/>
          <w:i/>
          <w:iCs/>
          <w:spacing w:val="2"/>
          <w:kern w:val="0"/>
          <w:sz w:val="27"/>
          <w:szCs w:val="27"/>
          <w:lang w:eastAsia="es-CO"/>
          <w14:ligatures w14:val="none"/>
        </w:rPr>
        <w:t xml:space="preserve">. </w:t>
      </w:r>
      <w:r w:rsidRPr="00E23F87">
        <w:rPr>
          <w:rFonts w:ascii="Roboto Condensed" w:eastAsia="Times New Roman" w:hAnsi="Roboto Condensed" w:cs="Times New Roman"/>
          <w:i/>
          <w:iCs/>
          <w:spacing w:val="2"/>
          <w:kern w:val="0"/>
          <w:sz w:val="27"/>
          <w:szCs w:val="27"/>
          <w:highlight w:val="yellow"/>
          <w:lang w:eastAsia="es-CO"/>
          <w14:ligatures w14:val="none"/>
        </w:rPr>
        <w:t>En este caso, deberán expedir los documentos equivalentes establecidos en los numerales 6, 7 y 12 del artículo </w:t>
      </w:r>
      <w:hyperlink r:id="rId24" w:anchor="1.6.1.4.6" w:history="1">
        <w:r w:rsidRPr="00E23F87">
          <w:rPr>
            <w:rFonts w:ascii="Roboto Condensed" w:eastAsia="Times New Roman" w:hAnsi="Roboto Condensed" w:cs="Times New Roman"/>
            <w:i/>
            <w:iCs/>
            <w:color w:val="0000FF"/>
            <w:spacing w:val="2"/>
            <w:kern w:val="0"/>
            <w:sz w:val="27"/>
            <w:szCs w:val="27"/>
            <w:highlight w:val="yellow"/>
            <w:u w:val="single"/>
            <w:lang w:eastAsia="es-CO"/>
            <w14:ligatures w14:val="none"/>
          </w:rPr>
          <w:t>1.6.1.4.6</w:t>
        </w:r>
      </w:hyperlink>
      <w:r w:rsidRPr="00E23F87">
        <w:rPr>
          <w:rFonts w:ascii="Roboto Condensed" w:eastAsia="Times New Roman" w:hAnsi="Roboto Condensed" w:cs="Times New Roman"/>
          <w:i/>
          <w:iCs/>
          <w:spacing w:val="2"/>
          <w:kern w:val="0"/>
          <w:sz w:val="27"/>
          <w:szCs w:val="27"/>
          <w:highlight w:val="yellow"/>
          <w:lang w:eastAsia="es-CO"/>
          <w14:ligatures w14:val="none"/>
        </w:rPr>
        <w:t>. del Decreto 1625 de 2016 con los requisitos previstos en el artículo </w:t>
      </w:r>
      <w:hyperlink r:id="rId25" w:anchor="1.6.1.4.14" w:history="1">
        <w:r w:rsidRPr="00E23F87">
          <w:rPr>
            <w:rFonts w:ascii="Roboto Condensed" w:eastAsia="Times New Roman" w:hAnsi="Roboto Condensed" w:cs="Times New Roman"/>
            <w:i/>
            <w:iCs/>
            <w:color w:val="0000FF"/>
            <w:spacing w:val="2"/>
            <w:kern w:val="0"/>
            <w:sz w:val="27"/>
            <w:szCs w:val="27"/>
            <w:highlight w:val="yellow"/>
            <w:u w:val="single"/>
            <w:lang w:eastAsia="es-CO"/>
            <w14:ligatures w14:val="none"/>
          </w:rPr>
          <w:t>1.6.1.4.14</w:t>
        </w:r>
      </w:hyperlink>
      <w:r w:rsidRPr="00E23F87">
        <w:rPr>
          <w:rFonts w:ascii="Roboto Condensed" w:eastAsia="Times New Roman" w:hAnsi="Roboto Condensed" w:cs="Times New Roman"/>
          <w:i/>
          <w:iCs/>
          <w:spacing w:val="2"/>
          <w:kern w:val="0"/>
          <w:sz w:val="27"/>
          <w:szCs w:val="27"/>
          <w:highlight w:val="yellow"/>
          <w:lang w:eastAsia="es-CO"/>
          <w14:ligatures w14:val="none"/>
        </w:rPr>
        <w:t>. del mismo decreto.</w:t>
      </w:r>
      <w:r w:rsidRPr="00E23F87">
        <w:rPr>
          <w:rFonts w:ascii="Roboto Condensed" w:eastAsia="Times New Roman" w:hAnsi="Roboto Condensed" w:cs="Times New Roman"/>
          <w:i/>
          <w:iCs/>
          <w:spacing w:val="2"/>
          <w:kern w:val="0"/>
          <w:sz w:val="27"/>
          <w:szCs w:val="27"/>
          <w:lang w:eastAsia="es-CO"/>
          <w14:ligatures w14:val="none"/>
        </w:rPr>
        <w:t xml:space="preserve"> </w:t>
      </w:r>
      <w:r w:rsidRPr="00E23F87">
        <w:rPr>
          <w:rFonts w:ascii="Roboto Condensed" w:eastAsia="Times New Roman" w:hAnsi="Roboto Condensed" w:cs="Times New Roman"/>
          <w:i/>
          <w:iCs/>
          <w:spacing w:val="2"/>
          <w:kern w:val="0"/>
          <w:sz w:val="27"/>
          <w:szCs w:val="27"/>
          <w:highlight w:val="cyan"/>
          <w:lang w:eastAsia="es-CO"/>
          <w14:ligatures w14:val="none"/>
        </w:rPr>
        <w:t>Cuando no se cumpla lo previsto en el inciso anterior, deberán implementar el documento equivalente electrónico en los términos establecidos en la presente Resolución.”</w:t>
      </w:r>
      <w:r w:rsidRPr="00E23F87">
        <w:rPr>
          <w:rFonts w:ascii="Roboto Condensed" w:eastAsia="Times New Roman" w:hAnsi="Roboto Condensed" w:cs="Times New Roman"/>
          <w:spacing w:val="2"/>
          <w:kern w:val="0"/>
          <w:sz w:val="27"/>
          <w:szCs w:val="27"/>
          <w:highlight w:val="cyan"/>
          <w:lang w:eastAsia="es-CO"/>
          <w14:ligatures w14:val="none"/>
        </w:rPr>
        <w:t> (Resaltado fuera de texto)</w:t>
      </w:r>
    </w:p>
    <w:p w14:paraId="705F7EE3" w14:textId="77777777" w:rsidR="00E23F87" w:rsidRDefault="00E23F87" w:rsidP="00E23F87">
      <w:pPr>
        <w:spacing w:after="240" w:line="480" w:lineRule="atLeast"/>
        <w:jc w:val="both"/>
        <w:rPr>
          <w:rFonts w:ascii="Roboto Condensed" w:eastAsia="Times New Roman" w:hAnsi="Roboto Condensed" w:cs="Times New Roman"/>
          <w:spacing w:val="2"/>
          <w:kern w:val="0"/>
          <w:sz w:val="27"/>
          <w:szCs w:val="27"/>
          <w:lang w:eastAsia="es-CO"/>
          <w14:ligatures w14:val="none"/>
        </w:rPr>
      </w:pPr>
    </w:p>
    <w:p w14:paraId="7C163A3F" w14:textId="04C0B800" w:rsidR="00E23F87" w:rsidRPr="00E23F87" w:rsidRDefault="00E23F87" w:rsidP="00E23F87">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E23F87">
        <w:rPr>
          <w:rFonts w:ascii="Roboto Condensed" w:eastAsia="Times New Roman" w:hAnsi="Roboto Condensed" w:cs="Times New Roman"/>
          <w:spacing w:val="2"/>
          <w:kern w:val="0"/>
          <w:sz w:val="27"/>
          <w:szCs w:val="27"/>
          <w:lang w:eastAsia="es-CO"/>
          <w14:ligatures w14:val="none"/>
        </w:rPr>
        <w:t>Así las cosas, tratándose de juegos de suerte y azar la excepción a la obligación de implementación electrónica de los documentos equivalentes, aplica de manera indistinta tanto para el documento dispuesto para los juegos de suerte y azar diferentes a los localizados y para el documento de juegos localizados.</w:t>
      </w:r>
    </w:p>
    <w:p w14:paraId="7BC56B69" w14:textId="77777777" w:rsidR="00E23F87" w:rsidRPr="00E23F87" w:rsidRDefault="00E23F87" w:rsidP="00E23F87">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E23F87">
        <w:rPr>
          <w:rFonts w:ascii="Roboto Condensed" w:eastAsia="Times New Roman" w:hAnsi="Roboto Condensed" w:cs="Times New Roman"/>
          <w:spacing w:val="2"/>
          <w:kern w:val="0"/>
          <w:sz w:val="27"/>
          <w:szCs w:val="27"/>
          <w:lang w:eastAsia="es-CO"/>
          <w14:ligatures w14:val="none"/>
        </w:rPr>
        <w:t xml:space="preserve">En este sentido, en el caso que exista la obligación de reportar las operaciones de venta de juegos de suerte y azar diferentes a los localizados en los que se expida documento, boleta, fracción, formulario, cartones, billetes o instrumento que da derecho a participar en el juego y las operaciones de juegos localizados a otras entidades estatales, </w:t>
      </w:r>
      <w:r w:rsidRPr="00E23F87">
        <w:rPr>
          <w:rFonts w:ascii="Roboto Condensed" w:eastAsia="Times New Roman" w:hAnsi="Roboto Condensed" w:cs="Times New Roman"/>
          <w:spacing w:val="2"/>
          <w:kern w:val="0"/>
          <w:sz w:val="27"/>
          <w:szCs w:val="27"/>
          <w:highlight w:val="cyan"/>
          <w:lang w:eastAsia="es-CO"/>
          <w14:ligatures w14:val="none"/>
        </w:rPr>
        <w:t>el sujeto que opte por expedir documento equivalente en reemplazo de la factura de venta no se encuentra obligado a realizar su implementación electrónica.</w:t>
      </w:r>
    </w:p>
    <w:p w14:paraId="5FB683F8" w14:textId="77777777" w:rsidR="00E23F87" w:rsidRPr="00E23F87" w:rsidRDefault="00E23F87" w:rsidP="00E23F87">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E23F87">
        <w:rPr>
          <w:rFonts w:ascii="Roboto Condensed" w:eastAsia="Times New Roman" w:hAnsi="Roboto Condensed" w:cs="Times New Roman"/>
          <w:spacing w:val="2"/>
          <w:kern w:val="0"/>
          <w:sz w:val="27"/>
          <w:szCs w:val="27"/>
          <w:highlight w:val="cyan"/>
          <w:lang w:eastAsia="es-CO"/>
          <w14:ligatures w14:val="none"/>
        </w:rPr>
        <w:lastRenderedPageBreak/>
        <w:t>En consecuencia, los juegos de suerte y azar diferentes de los juegos localizados se encuentran inmersos dentro de la excepción contemplada en el parágrafo del artículo </w:t>
      </w:r>
      <w:hyperlink r:id="rId26" w:anchor="20" w:history="1">
        <w:r w:rsidRPr="00E23F87">
          <w:rPr>
            <w:rFonts w:ascii="Roboto Condensed" w:eastAsia="Times New Roman" w:hAnsi="Roboto Condensed" w:cs="Times New Roman"/>
            <w:color w:val="0000FF"/>
            <w:spacing w:val="2"/>
            <w:kern w:val="0"/>
            <w:sz w:val="27"/>
            <w:szCs w:val="27"/>
            <w:highlight w:val="cyan"/>
            <w:u w:val="single"/>
            <w:lang w:eastAsia="es-CO"/>
            <w14:ligatures w14:val="none"/>
          </w:rPr>
          <w:t>20</w:t>
        </w:r>
      </w:hyperlink>
      <w:r w:rsidRPr="00E23F87">
        <w:rPr>
          <w:rFonts w:ascii="Roboto Condensed" w:eastAsia="Times New Roman" w:hAnsi="Roboto Condensed" w:cs="Times New Roman"/>
          <w:spacing w:val="2"/>
          <w:kern w:val="0"/>
          <w:sz w:val="27"/>
          <w:szCs w:val="27"/>
          <w:highlight w:val="cyan"/>
          <w:lang w:eastAsia="es-CO"/>
          <w14:ligatures w14:val="none"/>
        </w:rPr>
        <w:t> de la Resolución 000165 de 2023.</w:t>
      </w:r>
    </w:p>
    <w:p w14:paraId="2EA2A42F" w14:textId="77777777" w:rsidR="00E23F87" w:rsidRDefault="00E23F87" w:rsidP="00E23F87">
      <w:pPr>
        <w:spacing w:after="240" w:line="480" w:lineRule="atLeast"/>
        <w:jc w:val="both"/>
        <w:rPr>
          <w:rFonts w:ascii="Roboto Condensed" w:eastAsia="Times New Roman" w:hAnsi="Roboto Condensed" w:cs="Times New Roman"/>
          <w:spacing w:val="2"/>
          <w:kern w:val="0"/>
          <w:sz w:val="27"/>
          <w:szCs w:val="27"/>
          <w:lang w:eastAsia="es-CO"/>
          <w14:ligatures w14:val="none"/>
        </w:rPr>
      </w:pPr>
    </w:p>
    <w:p w14:paraId="77F19F6D" w14:textId="1A93AEB9" w:rsidR="00E23F87" w:rsidRDefault="00E23F87" w:rsidP="00E23F87">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E23F87">
        <w:rPr>
          <w:rFonts w:ascii="Roboto Condensed" w:eastAsia="Times New Roman" w:hAnsi="Roboto Condensed" w:cs="Times New Roman"/>
          <w:spacing w:val="2"/>
          <w:kern w:val="0"/>
          <w:sz w:val="27"/>
          <w:szCs w:val="27"/>
          <w:lang w:eastAsia="es-CO"/>
          <w14:ligatures w14:val="none"/>
        </w:rPr>
        <w:t>En los anteriores términos se adiciona el Concepto Unificado No. 0106 del 19 de agosto de 2022 - Obligación de facturar y Sistema de Factura Electrónica.</w:t>
      </w:r>
    </w:p>
    <w:p w14:paraId="6EB2C116" w14:textId="7D7023A3" w:rsidR="00E23F87" w:rsidRPr="00E23F87" w:rsidRDefault="00E23F87" w:rsidP="00E23F87">
      <w:pPr>
        <w:spacing w:after="240" w:line="480" w:lineRule="atLeast"/>
        <w:jc w:val="both"/>
        <w:rPr>
          <w:rFonts w:ascii="Roboto Condensed" w:eastAsia="Times New Roman" w:hAnsi="Roboto Condensed" w:cs="Times New Roman"/>
          <w:spacing w:val="2"/>
          <w:kern w:val="0"/>
          <w:sz w:val="27"/>
          <w:szCs w:val="27"/>
          <w:lang w:eastAsia="es-CO"/>
          <w14:ligatures w14:val="none"/>
        </w:rPr>
      </w:pPr>
      <w:r>
        <w:rPr>
          <w:rFonts w:ascii="Roboto Condensed" w:eastAsia="Times New Roman" w:hAnsi="Roboto Condensed" w:cs="Times New Roman"/>
          <w:spacing w:val="2"/>
          <w:kern w:val="0"/>
          <w:sz w:val="27"/>
          <w:szCs w:val="27"/>
          <w:lang w:eastAsia="es-CO"/>
          <w14:ligatures w14:val="none"/>
        </w:rPr>
        <w:t>_______________________________________________________________________________</w:t>
      </w:r>
    </w:p>
    <w:p w14:paraId="0B7E0CBD" w14:textId="77777777" w:rsidR="00E23F87" w:rsidRPr="00E23F87" w:rsidRDefault="00E23F87" w:rsidP="00E23F87">
      <w:pPr>
        <w:spacing w:after="0" w:line="240" w:lineRule="auto"/>
        <w:jc w:val="both"/>
        <w:rPr>
          <w:rFonts w:ascii="Roboto Condensed" w:eastAsia="Times New Roman" w:hAnsi="Roboto Condensed" w:cs="Times New Roman"/>
          <w:color w:val="454545"/>
          <w:kern w:val="0"/>
          <w:sz w:val="27"/>
          <w:szCs w:val="27"/>
          <w:lang w:eastAsia="es-CO"/>
          <w14:ligatures w14:val="none"/>
        </w:rPr>
      </w:pPr>
      <w:r w:rsidRPr="00E23F87">
        <w:rPr>
          <w:rFonts w:ascii="Roboto Condensed" w:eastAsia="Times New Roman" w:hAnsi="Roboto Condensed" w:cs="Times New Roman"/>
          <w:noProof/>
          <w:color w:val="0000FF"/>
          <w:kern w:val="0"/>
          <w:sz w:val="27"/>
          <w:szCs w:val="27"/>
          <w:lang w:eastAsia="es-CO"/>
          <w14:ligatures w14:val="none"/>
        </w:rPr>
        <mc:AlternateContent>
          <mc:Choice Requires="wps">
            <w:drawing>
              <wp:inline distT="0" distB="0" distL="0" distR="0" wp14:anchorId="7DBB771D" wp14:editId="1BD5862E">
                <wp:extent cx="304800" cy="304800"/>
                <wp:effectExtent l="0" t="0" r="0" b="0"/>
                <wp:docPr id="1784179674" name="AutoShape 1" descr="Ir al inicio">
                  <a:hlinkClick xmlns:a="http://schemas.openxmlformats.org/drawingml/2006/main" r:id="rId27" tooltip="&quot;Ir al inicio&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756D1F" id="AutoShape 1" o:spid="_x0000_s1026" alt="Ir al inicio" href="https://normograma.dian.gov.co/dian/compilacion/docs/oficio_dian_13703_2024.htm#documento_top" title="&quot;Ir al inicio&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365E7C5C" w14:textId="77777777" w:rsidR="000B7A68" w:rsidRDefault="000B7A68"/>
    <w:sectPr w:rsidR="000B7A6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Roboto Condensed">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F87"/>
    <w:rsid w:val="000B7A68"/>
    <w:rsid w:val="0046606E"/>
    <w:rsid w:val="00E23F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F2E9E"/>
  <w15:chartTrackingRefBased/>
  <w15:docId w15:val="{5502BC83-177F-4D77-A10C-C102E9AD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23F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23F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23F8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23F8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E23F87"/>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E23F87"/>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E23F87"/>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E23F87"/>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E23F87"/>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23F8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23F8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23F87"/>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23F87"/>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E23F87"/>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E23F87"/>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E23F87"/>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E23F87"/>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E23F87"/>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E23F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23F8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23F8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23F87"/>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E23F87"/>
    <w:pPr>
      <w:spacing w:before="160"/>
      <w:jc w:val="center"/>
    </w:pPr>
    <w:rPr>
      <w:i/>
      <w:iCs/>
      <w:color w:val="404040" w:themeColor="text1" w:themeTint="BF"/>
    </w:rPr>
  </w:style>
  <w:style w:type="character" w:customStyle="1" w:styleId="CitaCar">
    <w:name w:val="Cita Car"/>
    <w:basedOn w:val="Fuentedeprrafopredeter"/>
    <w:link w:val="Cita"/>
    <w:uiPriority w:val="29"/>
    <w:rsid w:val="00E23F87"/>
    <w:rPr>
      <w:i/>
      <w:iCs/>
      <w:color w:val="404040" w:themeColor="text1" w:themeTint="BF"/>
    </w:rPr>
  </w:style>
  <w:style w:type="paragraph" w:styleId="Prrafodelista">
    <w:name w:val="List Paragraph"/>
    <w:basedOn w:val="Normal"/>
    <w:uiPriority w:val="34"/>
    <w:qFormat/>
    <w:rsid w:val="00E23F87"/>
    <w:pPr>
      <w:ind w:left="720"/>
      <w:contextualSpacing/>
    </w:pPr>
  </w:style>
  <w:style w:type="character" w:styleId="nfasisintenso">
    <w:name w:val="Intense Emphasis"/>
    <w:basedOn w:val="Fuentedeprrafopredeter"/>
    <w:uiPriority w:val="21"/>
    <w:qFormat/>
    <w:rsid w:val="00E23F87"/>
    <w:rPr>
      <w:i/>
      <w:iCs/>
      <w:color w:val="0F4761" w:themeColor="accent1" w:themeShade="BF"/>
    </w:rPr>
  </w:style>
  <w:style w:type="paragraph" w:styleId="Citadestacada">
    <w:name w:val="Intense Quote"/>
    <w:basedOn w:val="Normal"/>
    <w:next w:val="Normal"/>
    <w:link w:val="CitadestacadaCar"/>
    <w:uiPriority w:val="30"/>
    <w:qFormat/>
    <w:rsid w:val="00E23F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23F87"/>
    <w:rPr>
      <w:i/>
      <w:iCs/>
      <w:color w:val="0F4761" w:themeColor="accent1" w:themeShade="BF"/>
    </w:rPr>
  </w:style>
  <w:style w:type="character" w:styleId="Referenciaintensa">
    <w:name w:val="Intense Reference"/>
    <w:basedOn w:val="Fuentedeprrafopredeter"/>
    <w:uiPriority w:val="32"/>
    <w:qFormat/>
    <w:rsid w:val="00E23F8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05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ograma.dian.gov.co/dian/compilacion/docs/concepto_tributario_dian_0000106_2022.htm" TargetMode="External"/><Relationship Id="rId13" Type="http://schemas.openxmlformats.org/officeDocument/2006/relationships/hyperlink" Target="https://normograma.dian.gov.co/dian/compilacion/docs/resolucion_dian_0013_2021.htm" TargetMode="External"/><Relationship Id="rId18" Type="http://schemas.openxmlformats.org/officeDocument/2006/relationships/hyperlink" Target="https://normograma.dian.gov.co/dian/compilacion/docs/decreto_1625_2016.htm" TargetMode="External"/><Relationship Id="rId26" Type="http://schemas.openxmlformats.org/officeDocument/2006/relationships/hyperlink" Target="https://normograma.dian.gov.co/dian/compilacion/docs/resolucion_dian_0165_2023.htm" TargetMode="External"/><Relationship Id="rId3" Type="http://schemas.openxmlformats.org/officeDocument/2006/relationships/webSettings" Target="webSettings.xml"/><Relationship Id="rId21" Type="http://schemas.openxmlformats.org/officeDocument/2006/relationships/hyperlink" Target="https://normograma.dian.gov.co/dian/compilacion/docs/resolucion_dian_0165_2023.htm" TargetMode="External"/><Relationship Id="rId7" Type="http://schemas.openxmlformats.org/officeDocument/2006/relationships/hyperlink" Target="https://normograma.dian.gov.co/dian/compilacion/docs/resolucion_dian_0091_2021.htm" TargetMode="External"/><Relationship Id="rId12" Type="http://schemas.openxmlformats.org/officeDocument/2006/relationships/hyperlink" Target="https://normograma.dian.gov.co/dian/compilacion/docs/concepto_tributario_dian_0000106_2022.htm" TargetMode="External"/><Relationship Id="rId17" Type="http://schemas.openxmlformats.org/officeDocument/2006/relationships/hyperlink" Target="https://normograma.dian.gov.co/dian/compilacion/docs/resolucion_dian_0165_2023.htm" TargetMode="External"/><Relationship Id="rId25" Type="http://schemas.openxmlformats.org/officeDocument/2006/relationships/hyperlink" Target="https://normograma.dian.gov.co/dian/compilacion/docs/decreto_1625_2016.htm" TargetMode="External"/><Relationship Id="rId2" Type="http://schemas.openxmlformats.org/officeDocument/2006/relationships/settings" Target="settings.xml"/><Relationship Id="rId16" Type="http://schemas.openxmlformats.org/officeDocument/2006/relationships/hyperlink" Target="https://normograma.dian.gov.co/dian/compilacion/docs/concepto_tributario_dian_0000106_2022.htm" TargetMode="External"/><Relationship Id="rId20" Type="http://schemas.openxmlformats.org/officeDocument/2006/relationships/hyperlink" Target="https://normograma.dian.gov.co/dian/compilacion/docs/resolucion_dian_0165_2023.htm"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normograma.dian.gov.co/dian/compilacion/docs/resolucion_dian_0091_2021.htm" TargetMode="External"/><Relationship Id="rId11" Type="http://schemas.openxmlformats.org/officeDocument/2006/relationships/hyperlink" Target="https://normograma.dian.gov.co/dian/compilacion/docs/decreto_1742_2020.htm" TargetMode="External"/><Relationship Id="rId24" Type="http://schemas.openxmlformats.org/officeDocument/2006/relationships/hyperlink" Target="https://normograma.dian.gov.co/dian/compilacion/docs/decreto_1625_2016.htm" TargetMode="External"/><Relationship Id="rId5" Type="http://schemas.openxmlformats.org/officeDocument/2006/relationships/hyperlink" Target="https://normograma.dian.gov.co/dian/compilacion/docs/decreto_1742_2020.htm" TargetMode="External"/><Relationship Id="rId15" Type="http://schemas.openxmlformats.org/officeDocument/2006/relationships/hyperlink" Target="https://normograma.dian.gov.co/dian/compilacion/docs/concepto_tributario_dian_0000106_2022.htm" TargetMode="External"/><Relationship Id="rId23" Type="http://schemas.openxmlformats.org/officeDocument/2006/relationships/hyperlink" Target="https://normograma.dian.gov.co/dian/compilacion/docs/resolucion_dian_0165_2023.htm" TargetMode="External"/><Relationship Id="rId28" Type="http://schemas.openxmlformats.org/officeDocument/2006/relationships/fontTable" Target="fontTable.xml"/><Relationship Id="rId10" Type="http://schemas.openxmlformats.org/officeDocument/2006/relationships/hyperlink" Target="https://normograma.dian.gov.co/dian/compilacion/docs/concepto_tributario_dian_0000106_2022.htm" TargetMode="External"/><Relationship Id="rId19" Type="http://schemas.openxmlformats.org/officeDocument/2006/relationships/hyperlink" Target="https://normograma.dian.gov.co/dian/compilacion/docs/resolucion_dian_0165_2023.htm" TargetMode="External"/><Relationship Id="rId4" Type="http://schemas.openxmlformats.org/officeDocument/2006/relationships/hyperlink" Target="https://normograma.dian.gov.co/dian/compilacion/docs/concepto_tributario_dian_0000106_2022.htm" TargetMode="External"/><Relationship Id="rId9" Type="http://schemas.openxmlformats.org/officeDocument/2006/relationships/hyperlink" Target="https://normograma.dian.gov.co/dian/compilacion/docs/resolucion_dian_0165_2023.htm" TargetMode="External"/><Relationship Id="rId14" Type="http://schemas.openxmlformats.org/officeDocument/2006/relationships/hyperlink" Target="https://normograma.dian.gov.co/dian/compilacion/docs/resolucion_dian_0013_2021.htm" TargetMode="External"/><Relationship Id="rId22" Type="http://schemas.openxmlformats.org/officeDocument/2006/relationships/hyperlink" Target="https://normograma.dian.gov.co/dian/compilacion/docs/resolucion_dian_0165_2023.htm" TargetMode="External"/><Relationship Id="rId27" Type="http://schemas.openxmlformats.org/officeDocument/2006/relationships/hyperlink" Target="https://normograma.dian.gov.co/dian/compilacion/docs/oficio_dian_13703_2024.htm#documento_to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2105</Words>
  <Characters>11578</Characters>
  <Application>Microsoft Office Word</Application>
  <DocSecurity>0</DocSecurity>
  <Lines>96</Lines>
  <Paragraphs>27</Paragraphs>
  <ScaleCrop>false</ScaleCrop>
  <Company/>
  <LinksUpToDate>false</LinksUpToDate>
  <CharactersWithSpaces>13656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2024-08-23T22:17:00Z</dcterms:created>
  <dcterms:modified xsi:type="dcterms:W3CDTF">2024-08-23T22:22:00Z</dcterms:modified>
</cp:coreProperties>
</file>