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4B057" w14:textId="77777777" w:rsidR="00EE6505" w:rsidRPr="00EE6505" w:rsidRDefault="00EE6505" w:rsidP="00EE6505">
      <w:pPr>
        <w:spacing w:line="240" w:lineRule="auto"/>
        <w:jc w:val="center"/>
        <w:rPr>
          <w:rFonts w:eastAsia="Times New Roman" w:cs="Times New Roman"/>
          <w:szCs w:val="24"/>
          <w:lang w:eastAsia="es-ES"/>
        </w:rPr>
      </w:pPr>
      <w:r w:rsidRPr="00EE6505">
        <w:rPr>
          <w:rFonts w:eastAsia="Times New Roman" w:cs="Times New Roman"/>
          <w:b/>
          <w:bCs/>
          <w:szCs w:val="24"/>
          <w:lang w:val="es-CO" w:eastAsia="es-ES"/>
        </w:rPr>
        <w:t xml:space="preserve">CONCEPTO </w:t>
      </w:r>
      <w:proofErr w:type="spellStart"/>
      <w:r w:rsidRPr="00EE6505">
        <w:rPr>
          <w:rFonts w:eastAsia="Times New Roman" w:cs="Times New Roman"/>
          <w:b/>
          <w:bCs/>
          <w:szCs w:val="24"/>
          <w:lang w:val="es-CO" w:eastAsia="es-ES"/>
        </w:rPr>
        <w:t>Nº</w:t>
      </w:r>
      <w:proofErr w:type="spellEnd"/>
      <w:r w:rsidRPr="00EE6505">
        <w:rPr>
          <w:rFonts w:eastAsia="Times New Roman" w:cs="Times New Roman"/>
          <w:b/>
          <w:bCs/>
          <w:szCs w:val="24"/>
          <w:lang w:val="es-CO" w:eastAsia="es-ES"/>
        </w:rPr>
        <w:t xml:space="preserve"> 0080 [001505]</w:t>
      </w:r>
    </w:p>
    <w:p w14:paraId="258D9C99" w14:textId="77777777" w:rsidR="00EE6505" w:rsidRPr="00EE6505" w:rsidRDefault="00EE6505" w:rsidP="00EE6505">
      <w:pPr>
        <w:spacing w:line="240" w:lineRule="auto"/>
        <w:jc w:val="center"/>
        <w:rPr>
          <w:rFonts w:eastAsia="Times New Roman" w:cs="Times New Roman"/>
          <w:szCs w:val="24"/>
          <w:lang w:eastAsia="es-ES"/>
        </w:rPr>
      </w:pPr>
      <w:r w:rsidRPr="00EE6505">
        <w:rPr>
          <w:rFonts w:eastAsia="Times New Roman" w:cs="Times New Roman"/>
          <w:b/>
          <w:bCs/>
          <w:szCs w:val="24"/>
          <w:lang w:val="es-CO" w:eastAsia="es-ES"/>
        </w:rPr>
        <w:t>24-01-2020</w:t>
      </w:r>
    </w:p>
    <w:p w14:paraId="44BD6CC1" w14:textId="77777777" w:rsidR="00EE6505" w:rsidRPr="00EE6505" w:rsidRDefault="00EE6505" w:rsidP="00EE6505">
      <w:pPr>
        <w:spacing w:line="240" w:lineRule="auto"/>
        <w:jc w:val="center"/>
        <w:rPr>
          <w:rFonts w:eastAsia="Times New Roman" w:cs="Times New Roman"/>
          <w:szCs w:val="24"/>
          <w:lang w:eastAsia="es-ES"/>
        </w:rPr>
      </w:pPr>
      <w:r w:rsidRPr="00EE6505">
        <w:rPr>
          <w:rFonts w:eastAsia="Times New Roman" w:cs="Times New Roman"/>
          <w:b/>
          <w:bCs/>
          <w:szCs w:val="24"/>
          <w:lang w:val="es-CO" w:eastAsia="es-ES"/>
        </w:rPr>
        <w:t>DIAN</w:t>
      </w:r>
    </w:p>
    <w:p w14:paraId="3201F36B"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0FE41868"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3C88FAAA" w14:textId="77777777" w:rsidR="00EE6505" w:rsidRPr="00EE6505" w:rsidRDefault="00EE6505" w:rsidP="00EE6505">
      <w:pPr>
        <w:spacing w:line="240" w:lineRule="auto"/>
        <w:jc w:val="center"/>
        <w:rPr>
          <w:rFonts w:eastAsia="Times New Roman" w:cs="Times New Roman"/>
          <w:szCs w:val="24"/>
          <w:lang w:eastAsia="es-ES"/>
        </w:rPr>
      </w:pPr>
      <w:r w:rsidRPr="00EE6505">
        <w:rPr>
          <w:rFonts w:eastAsia="Times New Roman" w:cs="Times New Roman"/>
          <w:b/>
          <w:bCs/>
          <w:szCs w:val="24"/>
          <w:lang w:val="es-CO" w:eastAsia="es-ES"/>
        </w:rPr>
        <w:t>ADICIÓN DEL CONCEPTO GENERAL UNIFICADO NO. 0481 DEL 27 DE ABRIL DE 2018</w:t>
      </w:r>
    </w:p>
    <w:p w14:paraId="6E051E07" w14:textId="77777777" w:rsidR="00EE6505" w:rsidRPr="00EE6505" w:rsidRDefault="00EE6505" w:rsidP="00EE6505">
      <w:pPr>
        <w:spacing w:line="240" w:lineRule="auto"/>
        <w:jc w:val="center"/>
        <w:rPr>
          <w:rFonts w:eastAsia="Times New Roman" w:cs="Times New Roman"/>
          <w:szCs w:val="24"/>
          <w:lang w:eastAsia="es-ES"/>
        </w:rPr>
      </w:pPr>
      <w:r w:rsidRPr="00EE6505">
        <w:rPr>
          <w:rFonts w:eastAsia="Times New Roman" w:cs="Times New Roman"/>
          <w:b/>
          <w:bCs/>
          <w:szCs w:val="24"/>
          <w:lang w:val="es-CO" w:eastAsia="es-ES"/>
        </w:rPr>
        <w:t>ENTIDADES SIN ÁNIMO DE LUCRO Y DONACIONES</w:t>
      </w:r>
    </w:p>
    <w:p w14:paraId="555DDD51"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b/>
          <w:bCs/>
          <w:szCs w:val="24"/>
          <w:lang w:val="es-CO" w:eastAsia="es-ES"/>
        </w:rPr>
        <w:t> </w:t>
      </w:r>
    </w:p>
    <w:p w14:paraId="0D004020"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De conformidad con los artículos 19 y 38 del Decreto 4048 de 2008, en concordancia con el artículo 7 de la Resolución No. 204 de 2014, se avoca el conocimiento para expedir el presente concepto unificado.</w:t>
      </w:r>
    </w:p>
    <w:p w14:paraId="5DA8BAFA"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2D1A013B"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La presente doctrina se emite en consideración a los cambios que introdujo el Decreto Ley 2106 de 2019, mediante el cual se estableció que las donaciones efectuadas por una entidad del régimen tributario especial del impuesto sobre la renta a otra entidad del mismo régimen pueden ser reconocidas como egreso procedente.</w:t>
      </w:r>
    </w:p>
    <w:p w14:paraId="59AE0A4D"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04CE0BF6"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En esta oportunidad resulta necesario realizar la siguiente modificación al Concepto General Unificado No. 0912 del 19 de julio de 2018:</w:t>
      </w:r>
    </w:p>
    <w:p w14:paraId="6FAD83A1"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6E9F9838" w14:textId="77777777" w:rsidR="00EE6505" w:rsidRPr="00EE6505" w:rsidRDefault="00EE6505" w:rsidP="00EE6505">
      <w:pPr>
        <w:spacing w:line="240" w:lineRule="auto"/>
        <w:ind w:left="284"/>
        <w:rPr>
          <w:rFonts w:eastAsia="Times New Roman" w:cs="Times New Roman"/>
          <w:szCs w:val="24"/>
          <w:lang w:eastAsia="es-ES"/>
        </w:rPr>
      </w:pPr>
      <w:r w:rsidRPr="00EE6505">
        <w:rPr>
          <w:rFonts w:eastAsia="Times New Roman" w:cs="Times New Roman"/>
          <w:szCs w:val="24"/>
          <w:lang w:val="es-CO" w:eastAsia="es-ES"/>
        </w:rPr>
        <w:t>a. Modificar el Título 2 y el siguiente problema jurídico:</w:t>
      </w:r>
    </w:p>
    <w:p w14:paraId="7B9F895C"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326599B7" w14:textId="77777777" w:rsidR="00EE6505" w:rsidRPr="00EE6505" w:rsidRDefault="00EE6505" w:rsidP="00EE6505">
      <w:pPr>
        <w:spacing w:line="240" w:lineRule="auto"/>
        <w:ind w:left="284"/>
        <w:rPr>
          <w:rFonts w:eastAsia="Times New Roman" w:cs="Times New Roman"/>
          <w:szCs w:val="24"/>
          <w:lang w:eastAsia="es-ES"/>
        </w:rPr>
      </w:pPr>
      <w:r w:rsidRPr="00EE6505">
        <w:rPr>
          <w:rFonts w:eastAsia="Times New Roman" w:cs="Times New Roman"/>
          <w:b/>
          <w:bCs/>
          <w:szCs w:val="24"/>
          <w:lang w:val="es-CO" w:eastAsia="es-ES"/>
        </w:rPr>
        <w:t>2.18. DESCRIPTOR:</w:t>
      </w:r>
      <w:r w:rsidRPr="00EE6505">
        <w:rPr>
          <w:rFonts w:eastAsia="Times New Roman" w:cs="Times New Roman"/>
          <w:szCs w:val="24"/>
          <w:lang w:val="es-CO" w:eastAsia="es-ES"/>
        </w:rPr>
        <w:t> Donaciones</w:t>
      </w:r>
    </w:p>
    <w:p w14:paraId="7EC6CEBA" w14:textId="77777777" w:rsidR="00EE6505" w:rsidRPr="00EE6505" w:rsidRDefault="00EE6505" w:rsidP="00EE6505">
      <w:pPr>
        <w:spacing w:line="240" w:lineRule="auto"/>
        <w:ind w:left="284"/>
        <w:rPr>
          <w:rFonts w:eastAsia="Times New Roman" w:cs="Times New Roman"/>
          <w:szCs w:val="24"/>
          <w:lang w:eastAsia="es-ES"/>
        </w:rPr>
      </w:pPr>
      <w:r w:rsidRPr="00EE6505">
        <w:rPr>
          <w:rFonts w:eastAsia="Times New Roman" w:cs="Times New Roman"/>
          <w:szCs w:val="24"/>
          <w:lang w:val="es-CO" w:eastAsia="es-ES"/>
        </w:rPr>
        <w:t> </w:t>
      </w:r>
    </w:p>
    <w:p w14:paraId="2BF5C030" w14:textId="77777777" w:rsidR="00EE6505" w:rsidRPr="00EE6505" w:rsidRDefault="00EE6505" w:rsidP="00EE6505">
      <w:pPr>
        <w:spacing w:line="240" w:lineRule="auto"/>
        <w:ind w:left="284"/>
        <w:rPr>
          <w:rFonts w:eastAsia="Times New Roman" w:cs="Times New Roman"/>
          <w:szCs w:val="24"/>
          <w:lang w:eastAsia="es-ES"/>
        </w:rPr>
      </w:pPr>
      <w:r w:rsidRPr="00EE6505">
        <w:rPr>
          <w:rFonts w:eastAsia="Times New Roman" w:cs="Times New Roman"/>
          <w:szCs w:val="24"/>
          <w:lang w:val="es-CO" w:eastAsia="es-ES"/>
        </w:rPr>
        <w:t>¿Puede una entidad del Régimen Tributario Especial realizar donaciones a otras entidades del mismo régimen o a entidades No Contribuyentes del Impuesto sobre la Renta?</w:t>
      </w:r>
    </w:p>
    <w:p w14:paraId="0DDACCC7"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1DEEB1E1"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De acuerdo con el artículo 1.2.1.4.1. del Decreto 1625 de 2016, se indica que el descuento tributario de que trata el </w:t>
      </w:r>
      <w:hyperlink r:id="rId4" w:tooltip="Estatuto Tributario CETA" w:history="1">
        <w:r w:rsidRPr="00EE6505">
          <w:rPr>
            <w:rFonts w:eastAsia="Times New Roman" w:cs="Times New Roman"/>
            <w:szCs w:val="24"/>
            <w:u w:val="single"/>
            <w:lang w:val="es-CO" w:eastAsia="es-ES"/>
          </w:rPr>
          <w:t>artículo 257</w:t>
        </w:r>
      </w:hyperlink>
      <w:r w:rsidRPr="00EE6505">
        <w:rPr>
          <w:rFonts w:eastAsia="Times New Roman" w:cs="Times New Roman"/>
          <w:szCs w:val="24"/>
          <w:lang w:val="es-CO" w:eastAsia="es-ES"/>
        </w:rPr>
        <w:t> del E.T. aplica para todos los contribuyentes del impuesto sobre la renta y complementario. En tal sentido, al ser consideradas las entidades sin ánimo lucro contribuyentes del impuesto sobre la renta del R.T.E, por regla general, en caso de realizar una donación, esta, puede obtener el beneficio fiscal del descuento tributario, en los mismos términos de los artículos </w:t>
      </w:r>
      <w:hyperlink r:id="rId5" w:tooltip="Estatuto Tributario CETA" w:history="1">
        <w:r w:rsidRPr="00EE6505">
          <w:rPr>
            <w:rFonts w:eastAsia="Times New Roman" w:cs="Times New Roman"/>
            <w:szCs w:val="24"/>
            <w:u w:val="single"/>
            <w:lang w:val="es-CO" w:eastAsia="es-ES"/>
          </w:rPr>
          <w:t>257 </w:t>
        </w:r>
      </w:hyperlink>
      <w:r w:rsidRPr="00EE6505">
        <w:rPr>
          <w:rFonts w:eastAsia="Times New Roman" w:cs="Times New Roman"/>
          <w:szCs w:val="24"/>
          <w:lang w:val="es-CO" w:eastAsia="es-ES"/>
        </w:rPr>
        <w:t>del E.T., </w:t>
      </w:r>
      <w:hyperlink r:id="rId6" w:tooltip="Estatuto Tributario CETA" w:history="1">
        <w:r w:rsidRPr="00EE6505">
          <w:rPr>
            <w:rFonts w:eastAsia="Times New Roman" w:cs="Times New Roman"/>
            <w:szCs w:val="24"/>
            <w:u w:val="single"/>
            <w:lang w:val="es-CO" w:eastAsia="es-ES"/>
          </w:rPr>
          <w:t>258</w:t>
        </w:r>
      </w:hyperlink>
      <w:r w:rsidRPr="00EE6505">
        <w:rPr>
          <w:rFonts w:eastAsia="Times New Roman" w:cs="Times New Roman"/>
          <w:szCs w:val="24"/>
          <w:lang w:val="es-CO" w:eastAsia="es-ES"/>
        </w:rPr>
        <w:t> del E.T. y demás, siempre que haya determinado impuesto sobre la renta líquida gravable en el período que se realiza la donación.</w:t>
      </w:r>
    </w:p>
    <w:p w14:paraId="692AD86E"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2BBDF00B"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Por otro lado, en caso que una entidad sin ánimo de lucro realice donaciones a otra entidad de su misma naturaleza y/o a entidades no contribuyentes del Impuesto sobre la renta, podrá excepcionalmente dar aplicación exclusiva a lo mencionado en el parágrafo 2 del artículo 1.2.1.5.1.27. del Decreto 1625 de 2016, Único Reglamentario en Materia Tributaria, donde permite que dicha donación sea tratada como beneficio neto o excedente para el donante, en el entendido que se está cumpliendo con el presupuesto de la reinversión para el desarrollo de una actividad meritoria.</w:t>
      </w:r>
    </w:p>
    <w:p w14:paraId="30AEA80B"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377183DD"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Todo lo anterior, sin perjuicio del deber legal de cumplir lo señalado en el artículo 1.2.1.4.3. del Decreto 1625 de 2016. para que aplique alguno de los tratamientos enunciados en los párrafos anteriores.</w:t>
      </w:r>
    </w:p>
    <w:p w14:paraId="18DC9545"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615745B1"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Finalmente, el artículo 42 del Decreto Ley 2106 de 2019 estableció el tratamiento tributario de las donaciones que realicen entidades del régimen tributario especial del impuesto sobre la renta, cuyo objeto social y actividad meritoria corresponda a la establecida en el numeral 12 del </w:t>
      </w:r>
      <w:hyperlink r:id="rId7" w:tooltip="Estatuto Tributario CETA" w:history="1">
        <w:r w:rsidRPr="00EE6505">
          <w:rPr>
            <w:rFonts w:eastAsia="Times New Roman" w:cs="Times New Roman"/>
            <w:szCs w:val="24"/>
            <w:u w:val="single"/>
            <w:lang w:val="es-CO" w:eastAsia="es-ES"/>
          </w:rPr>
          <w:t>artículo 359</w:t>
        </w:r>
      </w:hyperlink>
      <w:r w:rsidRPr="00EE6505">
        <w:rPr>
          <w:rFonts w:eastAsia="Times New Roman" w:cs="Times New Roman"/>
          <w:szCs w:val="24"/>
          <w:lang w:val="es-CO" w:eastAsia="es-ES"/>
        </w:rPr>
        <w:t> del E.T, a otras entidades del mismo régimen.</w:t>
      </w:r>
    </w:p>
    <w:p w14:paraId="6C197808"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281EB7DB" w14:textId="77777777" w:rsidR="00EE6505" w:rsidRPr="00EE6505" w:rsidRDefault="00EE6505" w:rsidP="00EE6505">
      <w:pPr>
        <w:spacing w:line="240" w:lineRule="auto"/>
        <w:ind w:left="284"/>
        <w:rPr>
          <w:rFonts w:eastAsia="Times New Roman" w:cs="Times New Roman"/>
          <w:szCs w:val="24"/>
          <w:lang w:eastAsia="es-ES"/>
        </w:rPr>
      </w:pPr>
      <w:r w:rsidRPr="00EE6505">
        <w:rPr>
          <w:rFonts w:eastAsia="Times New Roman" w:cs="Times New Roman"/>
          <w:szCs w:val="24"/>
          <w:lang w:val="es-CO" w:eastAsia="es-ES"/>
        </w:rPr>
        <w:t>b. Modificar el Título 2 y el siguiente problema jurídico:</w:t>
      </w:r>
    </w:p>
    <w:p w14:paraId="3D80043B" w14:textId="77777777" w:rsidR="00EE6505" w:rsidRPr="00EE6505" w:rsidRDefault="00EE6505" w:rsidP="00EE6505">
      <w:pPr>
        <w:spacing w:line="240" w:lineRule="auto"/>
        <w:ind w:left="142"/>
        <w:rPr>
          <w:rFonts w:eastAsia="Times New Roman" w:cs="Times New Roman"/>
          <w:szCs w:val="24"/>
          <w:lang w:eastAsia="es-ES"/>
        </w:rPr>
      </w:pPr>
      <w:r w:rsidRPr="00EE6505">
        <w:rPr>
          <w:rFonts w:eastAsia="Times New Roman" w:cs="Times New Roman"/>
          <w:szCs w:val="24"/>
          <w:lang w:val="es-CO" w:eastAsia="es-ES"/>
        </w:rPr>
        <w:t> </w:t>
      </w:r>
    </w:p>
    <w:p w14:paraId="732F23B2" w14:textId="77777777" w:rsidR="00EE6505" w:rsidRPr="00EE6505" w:rsidRDefault="00EE6505" w:rsidP="00EE6505">
      <w:pPr>
        <w:spacing w:line="240" w:lineRule="auto"/>
        <w:ind w:left="284"/>
        <w:rPr>
          <w:rFonts w:eastAsia="Times New Roman" w:cs="Times New Roman"/>
          <w:szCs w:val="24"/>
          <w:lang w:eastAsia="es-ES"/>
        </w:rPr>
      </w:pPr>
      <w:r w:rsidRPr="00EE6505">
        <w:rPr>
          <w:rFonts w:eastAsia="Times New Roman" w:cs="Times New Roman"/>
          <w:b/>
          <w:bCs/>
          <w:szCs w:val="24"/>
          <w:lang w:val="es-CO" w:eastAsia="es-ES"/>
        </w:rPr>
        <w:t>2.19. DESCRIPTOR:</w:t>
      </w:r>
      <w:r w:rsidRPr="00EE6505">
        <w:rPr>
          <w:rFonts w:eastAsia="Times New Roman" w:cs="Times New Roman"/>
          <w:szCs w:val="24"/>
          <w:lang w:val="es-CO" w:eastAsia="es-ES"/>
        </w:rPr>
        <w:t> Donaciones</w:t>
      </w:r>
    </w:p>
    <w:p w14:paraId="727962D1" w14:textId="77777777" w:rsidR="00EE6505" w:rsidRPr="00EE6505" w:rsidRDefault="00EE6505" w:rsidP="00EE6505">
      <w:pPr>
        <w:spacing w:line="240" w:lineRule="auto"/>
        <w:ind w:left="284"/>
        <w:rPr>
          <w:rFonts w:eastAsia="Times New Roman" w:cs="Times New Roman"/>
          <w:szCs w:val="24"/>
          <w:lang w:eastAsia="es-ES"/>
        </w:rPr>
      </w:pPr>
      <w:r w:rsidRPr="00EE6505">
        <w:rPr>
          <w:rFonts w:eastAsia="Times New Roman" w:cs="Times New Roman"/>
          <w:szCs w:val="24"/>
          <w:lang w:val="es-CO" w:eastAsia="es-ES"/>
        </w:rPr>
        <w:t> </w:t>
      </w:r>
    </w:p>
    <w:p w14:paraId="35D0CF35" w14:textId="77777777" w:rsidR="00EE6505" w:rsidRPr="00EE6505" w:rsidRDefault="00EE6505" w:rsidP="00EE6505">
      <w:pPr>
        <w:spacing w:line="240" w:lineRule="auto"/>
        <w:ind w:left="284"/>
        <w:rPr>
          <w:rFonts w:eastAsia="Times New Roman" w:cs="Times New Roman"/>
          <w:szCs w:val="24"/>
          <w:lang w:eastAsia="es-ES"/>
        </w:rPr>
      </w:pPr>
      <w:proofErr w:type="gramStart"/>
      <w:r w:rsidRPr="00EE6505">
        <w:rPr>
          <w:rFonts w:eastAsia="Times New Roman" w:cs="Times New Roman"/>
          <w:szCs w:val="24"/>
          <w:lang w:val="es-CO" w:eastAsia="es-ES"/>
        </w:rPr>
        <w:t>¿Es posible tratar como egreso aquellas donaciones realizadas por una entidad del régimen tributario especial que tiene como actividad meritoria no.</w:t>
      </w:r>
      <w:proofErr w:type="gramEnd"/>
      <w:r w:rsidRPr="00EE6505">
        <w:rPr>
          <w:rFonts w:eastAsia="Times New Roman" w:cs="Times New Roman"/>
          <w:szCs w:val="24"/>
          <w:lang w:val="es-CO" w:eastAsia="es-ES"/>
        </w:rPr>
        <w:t xml:space="preserve"> 12 del </w:t>
      </w:r>
      <w:hyperlink r:id="rId8" w:tooltip="Estatuto Tributario CETA" w:history="1">
        <w:r w:rsidRPr="00EE6505">
          <w:rPr>
            <w:rFonts w:eastAsia="Times New Roman" w:cs="Times New Roman"/>
            <w:szCs w:val="24"/>
            <w:u w:val="single"/>
            <w:lang w:val="es-CO" w:eastAsia="es-ES"/>
          </w:rPr>
          <w:t>Artículo 359</w:t>
        </w:r>
      </w:hyperlink>
      <w:r w:rsidRPr="00EE6505">
        <w:rPr>
          <w:rFonts w:eastAsia="Times New Roman" w:cs="Times New Roman"/>
          <w:szCs w:val="24"/>
          <w:lang w:val="es-CO" w:eastAsia="es-ES"/>
        </w:rPr>
        <w:t> del E.T.?</w:t>
      </w:r>
    </w:p>
    <w:p w14:paraId="26A9F1A8"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lastRenderedPageBreak/>
        <w:t> </w:t>
      </w:r>
    </w:p>
    <w:p w14:paraId="60A885DB"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El parágrafo del </w:t>
      </w:r>
      <w:hyperlink r:id="rId9" w:tooltip="Estatuto Tributario CETA" w:history="1">
        <w:r w:rsidRPr="00EE6505">
          <w:rPr>
            <w:rFonts w:eastAsia="Times New Roman" w:cs="Times New Roman"/>
            <w:szCs w:val="24"/>
            <w:u w:val="single"/>
            <w:lang w:val="es-CO" w:eastAsia="es-ES"/>
          </w:rPr>
          <w:t>artículo 357</w:t>
        </w:r>
      </w:hyperlink>
      <w:r w:rsidRPr="00EE6505">
        <w:rPr>
          <w:rFonts w:eastAsia="Times New Roman" w:cs="Times New Roman"/>
          <w:szCs w:val="24"/>
          <w:lang w:val="es-CO" w:eastAsia="es-ES"/>
        </w:rPr>
        <w:t> del E.T establece que los valores donados en el respetivo período gravable por parte de una entidad del régimen tributario especial del impuesto sobre la renta a otra entidad de la misma naturaleza, podrán ser tratados como egresos procedentes.</w:t>
      </w:r>
    </w:p>
    <w:p w14:paraId="3C241BDE"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504DF069"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De acuerdo con la norma, dicho tratamiento está condicionado al cumplimiento de los siguientes requisitos:</w:t>
      </w:r>
    </w:p>
    <w:p w14:paraId="590CC109"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59566EC1" w14:textId="77777777" w:rsidR="00EE6505" w:rsidRPr="00EE6505" w:rsidRDefault="00EE6505" w:rsidP="00EE6505">
      <w:pPr>
        <w:spacing w:line="240" w:lineRule="auto"/>
        <w:ind w:left="284"/>
        <w:rPr>
          <w:rFonts w:eastAsia="Times New Roman" w:cs="Times New Roman"/>
          <w:szCs w:val="24"/>
          <w:lang w:eastAsia="es-ES"/>
        </w:rPr>
      </w:pPr>
      <w:r w:rsidRPr="00EE6505">
        <w:rPr>
          <w:rFonts w:eastAsia="Times New Roman" w:cs="Times New Roman"/>
          <w:szCs w:val="24"/>
          <w:lang w:val="es-CO" w:eastAsia="es-ES"/>
        </w:rPr>
        <w:t>1. Que la entidad que realiza la donación pertenezca al régimen tributario especial del impuesto sobre la renta y cuyo objeto social y actividad meritoria corresponda a la establecida en el numeral 12 del </w:t>
      </w:r>
      <w:hyperlink r:id="rId10" w:tooltip="Estatuto Tributario CETA" w:history="1">
        <w:r w:rsidRPr="00EE6505">
          <w:rPr>
            <w:rFonts w:eastAsia="Times New Roman" w:cs="Times New Roman"/>
            <w:szCs w:val="24"/>
            <w:u w:val="single"/>
            <w:lang w:val="es-CO" w:eastAsia="es-ES"/>
          </w:rPr>
          <w:t>artículo 359</w:t>
        </w:r>
      </w:hyperlink>
      <w:r w:rsidRPr="00EE6505">
        <w:rPr>
          <w:rFonts w:eastAsia="Times New Roman" w:cs="Times New Roman"/>
          <w:szCs w:val="24"/>
          <w:lang w:val="es-CO" w:eastAsia="es-ES"/>
        </w:rPr>
        <w:t> del E.T.</w:t>
      </w:r>
    </w:p>
    <w:p w14:paraId="63E3BEF3" w14:textId="77777777" w:rsidR="00EE6505" w:rsidRPr="00EE6505" w:rsidRDefault="00EE6505" w:rsidP="00EE6505">
      <w:pPr>
        <w:spacing w:line="240" w:lineRule="auto"/>
        <w:ind w:left="284"/>
        <w:rPr>
          <w:rFonts w:eastAsia="Times New Roman" w:cs="Times New Roman"/>
          <w:szCs w:val="24"/>
          <w:lang w:eastAsia="es-ES"/>
        </w:rPr>
      </w:pPr>
      <w:r w:rsidRPr="00EE6505">
        <w:rPr>
          <w:rFonts w:eastAsia="Times New Roman" w:cs="Times New Roman"/>
          <w:szCs w:val="24"/>
          <w:lang w:val="es-CO" w:eastAsia="es-ES"/>
        </w:rPr>
        <w:t> </w:t>
      </w:r>
    </w:p>
    <w:p w14:paraId="33214C24" w14:textId="77777777" w:rsidR="00EE6505" w:rsidRPr="00EE6505" w:rsidRDefault="00EE6505" w:rsidP="00EE6505">
      <w:pPr>
        <w:spacing w:line="240" w:lineRule="auto"/>
        <w:ind w:left="284"/>
        <w:rPr>
          <w:rFonts w:eastAsia="Times New Roman" w:cs="Times New Roman"/>
          <w:szCs w:val="24"/>
          <w:lang w:eastAsia="es-ES"/>
        </w:rPr>
      </w:pPr>
      <w:r w:rsidRPr="00EE6505">
        <w:rPr>
          <w:rFonts w:eastAsia="Times New Roman" w:cs="Times New Roman"/>
          <w:szCs w:val="24"/>
          <w:lang w:val="es-CO" w:eastAsia="es-ES"/>
        </w:rPr>
        <w:t>2. Que la entidad beneficiaria también pertenezca al régimen tributario especial del impuesto sobre la renta de que trata el </w:t>
      </w:r>
      <w:hyperlink r:id="rId11" w:tooltip="Estatuto Tributario CETA" w:history="1">
        <w:r w:rsidRPr="00EE6505">
          <w:rPr>
            <w:rFonts w:eastAsia="Times New Roman" w:cs="Times New Roman"/>
            <w:szCs w:val="24"/>
            <w:u w:val="single"/>
            <w:lang w:val="es-CO" w:eastAsia="es-ES"/>
          </w:rPr>
          <w:t>artículo 19</w:t>
        </w:r>
      </w:hyperlink>
      <w:r w:rsidRPr="00EE6505">
        <w:rPr>
          <w:rFonts w:eastAsia="Times New Roman" w:cs="Times New Roman"/>
          <w:szCs w:val="24"/>
          <w:lang w:val="es-CO" w:eastAsia="es-ES"/>
        </w:rPr>
        <w:t> del E.T. y, con la donación, dicha entidad beneficiaria ejecute acciones directas en el territorio nacional de cualquier actividad meritoria, de que tratan los numerales 1 al 11 del </w:t>
      </w:r>
      <w:hyperlink r:id="rId12" w:tooltip="Estatuto Tributario CETA" w:history="1">
        <w:r w:rsidRPr="00EE6505">
          <w:rPr>
            <w:rFonts w:eastAsia="Times New Roman" w:cs="Times New Roman"/>
            <w:szCs w:val="24"/>
            <w:u w:val="single"/>
            <w:lang w:val="es-CO" w:eastAsia="es-ES"/>
          </w:rPr>
          <w:t>artículo 359</w:t>
        </w:r>
      </w:hyperlink>
      <w:r w:rsidRPr="00EE6505">
        <w:rPr>
          <w:rFonts w:eastAsia="Times New Roman" w:cs="Times New Roman"/>
          <w:szCs w:val="24"/>
          <w:lang w:val="es-CO" w:eastAsia="es-ES"/>
        </w:rPr>
        <w:t> del Estatuto Tributario.</w:t>
      </w:r>
    </w:p>
    <w:p w14:paraId="1F72CF15"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127F0F7B"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Por otra parte, la norma dispone que el incumplimiento de los requisitos señalados en el parágrafo del </w:t>
      </w:r>
      <w:hyperlink r:id="rId13" w:tooltip="Estatuto Tributario CETA" w:history="1">
        <w:r w:rsidRPr="00EE6505">
          <w:rPr>
            <w:rFonts w:eastAsia="Times New Roman" w:cs="Times New Roman"/>
            <w:szCs w:val="24"/>
            <w:u w:val="single"/>
            <w:lang w:val="es-CO" w:eastAsia="es-ES"/>
          </w:rPr>
          <w:t>artículo 357</w:t>
        </w:r>
      </w:hyperlink>
      <w:r w:rsidRPr="00EE6505">
        <w:rPr>
          <w:rFonts w:eastAsia="Times New Roman" w:cs="Times New Roman"/>
          <w:szCs w:val="24"/>
          <w:lang w:val="es-CO" w:eastAsia="es-ES"/>
        </w:rPr>
        <w:t> del Estatuto Tributario dará lugar a considerar el egreso como improcedente o como renta líquida por recuperación de deducciones, según corresponda.</w:t>
      </w:r>
    </w:p>
    <w:p w14:paraId="2F8193A9"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190A9A28"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Por último, en la medida que las donaciones realizadas por parte de una entidad del régimen tributario especial del impuesto sobre la renta a otra entidad de la misma naturaleza sean tratadas como egreso procedente, dichos valores no otorgarán derecho a la aplicación del descuento tributario de que trata el </w:t>
      </w:r>
      <w:hyperlink r:id="rId14" w:tooltip="Estatuto Tributario CETA" w:history="1">
        <w:r w:rsidRPr="00EE6505">
          <w:rPr>
            <w:rFonts w:eastAsia="Times New Roman" w:cs="Times New Roman"/>
            <w:szCs w:val="24"/>
            <w:u w:val="single"/>
            <w:lang w:val="es-CO" w:eastAsia="es-ES"/>
          </w:rPr>
          <w:t>artículo 257 </w:t>
        </w:r>
      </w:hyperlink>
      <w:r w:rsidRPr="00EE6505">
        <w:rPr>
          <w:rFonts w:eastAsia="Times New Roman" w:cs="Times New Roman"/>
          <w:szCs w:val="24"/>
          <w:lang w:val="es-CO" w:eastAsia="es-ES"/>
        </w:rPr>
        <w:t>del Estatuto Tributario, ni a (sic) sobre deducciones.</w:t>
      </w:r>
    </w:p>
    <w:p w14:paraId="46C8A940"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1B11E959" w14:textId="77777777" w:rsidR="00EE6505" w:rsidRPr="00EE6505" w:rsidRDefault="00EE6505" w:rsidP="00EE6505">
      <w:pPr>
        <w:spacing w:line="240" w:lineRule="auto"/>
        <w:jc w:val="center"/>
        <w:rPr>
          <w:rFonts w:eastAsia="Times New Roman" w:cs="Times New Roman"/>
          <w:szCs w:val="24"/>
          <w:lang w:eastAsia="es-ES"/>
        </w:rPr>
      </w:pPr>
      <w:r w:rsidRPr="00EE6505">
        <w:rPr>
          <w:rFonts w:eastAsia="Times New Roman" w:cs="Times New Roman"/>
          <w:b/>
          <w:bCs/>
          <w:szCs w:val="24"/>
          <w:lang w:val="es-CO" w:eastAsia="es-ES"/>
        </w:rPr>
        <w:t>ACLARACIONES Y DEROGATORIAS</w:t>
      </w:r>
    </w:p>
    <w:p w14:paraId="1931C0CB"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24BDEDD6"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El presente concepto aclara la tesis jurídica y la argumentación expuesta en el oficio 030909 de 23 de octubre de 2018.</w:t>
      </w:r>
    </w:p>
    <w:p w14:paraId="2559E62A"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04DF8E50"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 </w:t>
      </w:r>
    </w:p>
    <w:p w14:paraId="0F633742"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b/>
          <w:bCs/>
          <w:szCs w:val="24"/>
          <w:lang w:val="es-CO" w:eastAsia="es-ES"/>
        </w:rPr>
        <w:t>LILIANA ANDREA FORERO GÓMEZ</w:t>
      </w:r>
    </w:p>
    <w:p w14:paraId="6C4B882F"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Directora de Gestión Jurídica</w:t>
      </w:r>
    </w:p>
    <w:p w14:paraId="28B46F88" w14:textId="77777777" w:rsidR="00EE6505" w:rsidRPr="00EE6505" w:rsidRDefault="00EE6505" w:rsidP="00EE6505">
      <w:pPr>
        <w:spacing w:line="240" w:lineRule="auto"/>
        <w:rPr>
          <w:rFonts w:eastAsia="Times New Roman" w:cs="Times New Roman"/>
          <w:szCs w:val="24"/>
          <w:lang w:eastAsia="es-ES"/>
        </w:rPr>
      </w:pPr>
      <w:r w:rsidRPr="00EE6505">
        <w:rPr>
          <w:rFonts w:eastAsia="Times New Roman" w:cs="Times New Roman"/>
          <w:szCs w:val="24"/>
          <w:lang w:val="es-CO" w:eastAsia="es-ES"/>
        </w:rPr>
        <w:t>UAE-DIAN</w:t>
      </w:r>
    </w:p>
    <w:p w14:paraId="2D278302" w14:textId="77777777" w:rsidR="007F5CC8" w:rsidRPr="00EE6505" w:rsidRDefault="007F5CC8">
      <w:pPr>
        <w:rPr>
          <w:rFonts w:cs="Times New Roman"/>
          <w:szCs w:val="24"/>
        </w:rPr>
      </w:pPr>
    </w:p>
    <w:sectPr w:rsidR="007F5CC8" w:rsidRPr="00EE6505"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05"/>
    <w:rsid w:val="001E2180"/>
    <w:rsid w:val="001E311E"/>
    <w:rsid w:val="00434AE6"/>
    <w:rsid w:val="007F5CC8"/>
    <w:rsid w:val="008779BE"/>
    <w:rsid w:val="00EE650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B3BD"/>
  <w15:chartTrackingRefBased/>
  <w15:docId w15:val="{B9501977-BD45-4889-A866-D27CA307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39" TargetMode="External"/><Relationship Id="rId13" Type="http://schemas.openxmlformats.org/officeDocument/2006/relationships/hyperlink" Target="https://www.ceta.org.co/html/vista_de_un_articulo.asp?Norma=437"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39" TargetMode="External"/><Relationship Id="rId12" Type="http://schemas.openxmlformats.org/officeDocument/2006/relationships/hyperlink" Target="https://www.ceta.org.co/html/vista_de_un_articulo.asp?Norma=43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331" TargetMode="External"/><Relationship Id="rId11" Type="http://schemas.openxmlformats.org/officeDocument/2006/relationships/hyperlink" Target="https://www.ceta.org.co/html/vista_de_un_articulo.asp?Norma=44" TargetMode="External"/><Relationship Id="rId5" Type="http://schemas.openxmlformats.org/officeDocument/2006/relationships/hyperlink" Target="https://www.ceta.org.co/html/vista_de_un_articulo.asp?Norma=330"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439" TargetMode="External"/><Relationship Id="rId4" Type="http://schemas.openxmlformats.org/officeDocument/2006/relationships/hyperlink" Target="https://www.ceta.org.co/html/vista_de_un_articulo.asp?Norma=330" TargetMode="External"/><Relationship Id="rId9" Type="http://schemas.openxmlformats.org/officeDocument/2006/relationships/hyperlink" Target="https://www.ceta.org.co/html/vista_de_un_articulo.asp?Norma=437" TargetMode="External"/><Relationship Id="rId14" Type="http://schemas.openxmlformats.org/officeDocument/2006/relationships/hyperlink" Target="https://www.ceta.org.co/html/vista_de_un_articulo.asp?Norma=3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5246</Characters>
  <Application>Microsoft Office Word</Application>
  <DocSecurity>0</DocSecurity>
  <Lines>43</Lines>
  <Paragraphs>12</Paragraphs>
  <ScaleCrop>false</ScaleCrop>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2020-04-21T17:08:00Z</dcterms:created>
  <dcterms:modified xsi:type="dcterms:W3CDTF">2020-04-21T17:08:00Z</dcterms:modified>
</cp:coreProperties>
</file>