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CD863" w14:textId="77777777" w:rsidR="0073593F" w:rsidRDefault="0073593F" w:rsidP="0073593F">
      <w:pPr>
        <w:pStyle w:val="centrado"/>
        <w:spacing w:before="0" w:beforeAutospacing="0" w:after="0" w:afterAutospacing="0" w:line="480" w:lineRule="atLeast"/>
        <w:jc w:val="center"/>
        <w:rPr>
          <w:rFonts w:ascii="Roboto Condensed" w:hAnsi="Roboto Condensed"/>
          <w:spacing w:val="2"/>
          <w:sz w:val="27"/>
          <w:szCs w:val="27"/>
        </w:rPr>
      </w:pPr>
      <w:r>
        <w:rPr>
          <w:rStyle w:val="baj"/>
          <w:rFonts w:ascii="Roboto Condensed" w:eastAsiaTheme="majorEastAsia" w:hAnsi="Roboto Condensed"/>
          <w:b/>
          <w:bCs/>
          <w:spacing w:val="2"/>
          <w:sz w:val="36"/>
          <w:szCs w:val="36"/>
        </w:rPr>
        <w:t xml:space="preserve">CONCEPTO 000302 </w:t>
      </w:r>
      <w:proofErr w:type="spellStart"/>
      <w:r>
        <w:rPr>
          <w:rStyle w:val="baj"/>
          <w:rFonts w:ascii="Roboto Condensed" w:eastAsiaTheme="majorEastAsia" w:hAnsi="Roboto Condensed"/>
          <w:b/>
          <w:bCs/>
          <w:spacing w:val="2"/>
          <w:sz w:val="36"/>
          <w:szCs w:val="36"/>
        </w:rPr>
        <w:t>int</w:t>
      </w:r>
      <w:proofErr w:type="spellEnd"/>
      <w:r>
        <w:rPr>
          <w:rStyle w:val="baj"/>
          <w:rFonts w:ascii="Roboto Condensed" w:eastAsiaTheme="majorEastAsia" w:hAnsi="Roboto Condensed"/>
          <w:b/>
          <w:bCs/>
          <w:spacing w:val="2"/>
          <w:sz w:val="36"/>
          <w:szCs w:val="36"/>
        </w:rPr>
        <w:t xml:space="preserve"> 95 DE 2024</w:t>
      </w:r>
    </w:p>
    <w:p w14:paraId="5A362EB2" w14:textId="77777777" w:rsidR="0073593F" w:rsidRDefault="0073593F" w:rsidP="0073593F">
      <w:pPr>
        <w:pStyle w:val="centrado"/>
        <w:spacing w:before="0" w:beforeAutospacing="0" w:after="240" w:afterAutospacing="0" w:line="480" w:lineRule="atLeast"/>
        <w:jc w:val="center"/>
        <w:rPr>
          <w:rFonts w:ascii="Roboto Condensed" w:hAnsi="Roboto Condensed"/>
          <w:spacing w:val="2"/>
          <w:sz w:val="27"/>
          <w:szCs w:val="27"/>
        </w:rPr>
      </w:pPr>
      <w:r>
        <w:rPr>
          <w:rFonts w:ascii="Roboto Condensed" w:hAnsi="Roboto Condensed"/>
          <w:spacing w:val="2"/>
          <w:sz w:val="27"/>
          <w:szCs w:val="27"/>
        </w:rPr>
        <w:t>(enero 25)</w:t>
      </w:r>
    </w:p>
    <w:p w14:paraId="6BAA4F9C" w14:textId="77777777" w:rsidR="0073593F" w:rsidRDefault="0073593F" w:rsidP="0073593F">
      <w:pPr>
        <w:pStyle w:val="centrado"/>
        <w:spacing w:before="0" w:beforeAutospacing="0" w:after="240" w:afterAutospacing="0" w:line="480" w:lineRule="atLeast"/>
        <w:jc w:val="center"/>
        <w:rPr>
          <w:rFonts w:ascii="Roboto Condensed" w:hAnsi="Roboto Condensed"/>
          <w:spacing w:val="2"/>
          <w:sz w:val="27"/>
          <w:szCs w:val="27"/>
        </w:rPr>
      </w:pPr>
      <w:r>
        <w:rPr>
          <w:rFonts w:ascii="Roboto Condensed" w:hAnsi="Roboto Condensed"/>
          <w:spacing w:val="2"/>
          <w:sz w:val="27"/>
          <w:szCs w:val="27"/>
        </w:rPr>
        <w:t>&lt;Fuente: Archivo interno entidad emisora&gt;</w:t>
      </w:r>
    </w:p>
    <w:p w14:paraId="7FBCF18E" w14:textId="77777777" w:rsidR="0073593F" w:rsidRDefault="0073593F" w:rsidP="0073593F">
      <w:pPr>
        <w:pStyle w:val="centrado"/>
        <w:spacing w:before="0" w:beforeAutospacing="0" w:after="240" w:afterAutospacing="0" w:line="480" w:lineRule="atLeast"/>
        <w:jc w:val="center"/>
        <w:rPr>
          <w:rFonts w:ascii="Roboto Condensed" w:hAnsi="Roboto Condensed"/>
          <w:spacing w:val="2"/>
          <w:sz w:val="27"/>
          <w:szCs w:val="27"/>
        </w:rPr>
      </w:pPr>
      <w:r>
        <w:rPr>
          <w:rFonts w:ascii="Roboto Condensed" w:hAnsi="Roboto Condensed"/>
          <w:spacing w:val="2"/>
          <w:sz w:val="27"/>
          <w:szCs w:val="27"/>
        </w:rPr>
        <w:t>&lt;Publicado en la página web de la DIAN: 20 de febrero de 2024&gt;</w:t>
      </w:r>
    </w:p>
    <w:p w14:paraId="0E8BC55B" w14:textId="77777777" w:rsidR="0073593F" w:rsidRDefault="0073593F" w:rsidP="0073593F">
      <w:pPr>
        <w:pStyle w:val="centrado"/>
        <w:spacing w:before="0" w:beforeAutospacing="0" w:after="0" w:afterAutospacing="0" w:line="480" w:lineRule="atLeast"/>
        <w:jc w:val="center"/>
        <w:rPr>
          <w:rFonts w:ascii="Roboto Condensed" w:hAnsi="Roboto Condensed"/>
          <w:spacing w:val="2"/>
          <w:sz w:val="27"/>
          <w:szCs w:val="27"/>
        </w:rPr>
      </w:pPr>
      <w:r>
        <w:rPr>
          <w:rStyle w:val="baj"/>
          <w:rFonts w:ascii="Roboto Condensed" w:eastAsiaTheme="majorEastAsia" w:hAnsi="Roboto Condensed"/>
          <w:b/>
          <w:bCs/>
          <w:spacing w:val="2"/>
          <w:sz w:val="27"/>
          <w:szCs w:val="27"/>
        </w:rPr>
        <w:t>DIRECCIÓN DE IMPUESTOS Y ADUANAS NACIONALES</w:t>
      </w:r>
    </w:p>
    <w:p w14:paraId="231EF5C6" w14:textId="77777777" w:rsidR="0073593F" w:rsidRDefault="0073593F" w:rsidP="0073593F">
      <w:pPr>
        <w:pStyle w:val="centrado"/>
        <w:spacing w:before="0" w:beforeAutospacing="0" w:after="0" w:afterAutospacing="0" w:line="480" w:lineRule="atLeast"/>
        <w:jc w:val="center"/>
        <w:rPr>
          <w:rFonts w:ascii="Roboto Condensed" w:hAnsi="Roboto Condensed"/>
          <w:spacing w:val="2"/>
          <w:sz w:val="27"/>
          <w:szCs w:val="27"/>
        </w:rPr>
      </w:pPr>
      <w:r>
        <w:rPr>
          <w:rStyle w:val="baj"/>
          <w:rFonts w:ascii="Roboto Condensed" w:eastAsiaTheme="majorEastAsia" w:hAnsi="Roboto Condensed"/>
          <w:b/>
          <w:bCs/>
          <w:spacing w:val="2"/>
          <w:sz w:val="27"/>
          <w:szCs w:val="27"/>
        </w:rPr>
        <w:t>Unidad Informática de Doctrina</w:t>
      </w:r>
    </w:p>
    <w:p w14:paraId="75C76BDE" w14:textId="77777777" w:rsidR="0073593F" w:rsidRDefault="0073593F" w:rsidP="0073593F">
      <w:pPr>
        <w:pStyle w:val="NormalWeb"/>
        <w:spacing w:before="0" w:beforeAutospacing="0" w:after="240" w:afterAutospacing="0" w:line="480" w:lineRule="atLeast"/>
        <w:jc w:val="both"/>
        <w:rPr>
          <w:rFonts w:ascii="Roboto Condensed" w:hAnsi="Roboto Condensed"/>
          <w:spacing w:val="2"/>
          <w:sz w:val="27"/>
          <w:szCs w:val="27"/>
        </w:rPr>
      </w:pPr>
      <w:r>
        <w:rPr>
          <w:rFonts w:ascii="Roboto Condensed" w:hAnsi="Roboto Condensed"/>
          <w:spacing w:val="2"/>
          <w:sz w:val="27"/>
          <w:szCs w:val="27"/>
        </w:rPr>
        <w:t>Área del Derecho</w:t>
      </w:r>
    </w:p>
    <w:p w14:paraId="7E8213AA" w14:textId="77777777"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Pr>
          <w:rStyle w:val="baj"/>
          <w:rFonts w:ascii="Roboto Condensed" w:eastAsiaTheme="majorEastAsia" w:hAnsi="Roboto Condensed"/>
          <w:b/>
          <w:bCs/>
          <w:spacing w:val="2"/>
          <w:sz w:val="27"/>
          <w:szCs w:val="27"/>
        </w:rPr>
        <w:t>Tributario</w:t>
      </w:r>
    </w:p>
    <w:p w14:paraId="5F394FE0" w14:textId="77777777" w:rsidR="0073593F" w:rsidRDefault="0073593F" w:rsidP="0073593F">
      <w:pPr>
        <w:pStyle w:val="NormalWeb"/>
        <w:spacing w:before="0" w:beforeAutospacing="0" w:after="240" w:afterAutospacing="0" w:line="480" w:lineRule="atLeast"/>
        <w:jc w:val="both"/>
        <w:rPr>
          <w:rFonts w:ascii="Roboto Condensed" w:hAnsi="Roboto Condensed"/>
          <w:spacing w:val="2"/>
          <w:sz w:val="27"/>
          <w:szCs w:val="27"/>
        </w:rPr>
      </w:pPr>
      <w:r>
        <w:rPr>
          <w:rFonts w:ascii="Roboto Condensed" w:hAnsi="Roboto Condensed"/>
          <w:spacing w:val="2"/>
          <w:sz w:val="27"/>
          <w:szCs w:val="27"/>
        </w:rPr>
        <w:t>Banco de Datos</w:t>
      </w:r>
    </w:p>
    <w:p w14:paraId="34BA2C9A" w14:textId="77777777"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Pr>
          <w:rStyle w:val="baj"/>
          <w:rFonts w:ascii="Roboto Condensed" w:eastAsiaTheme="majorEastAsia" w:hAnsi="Roboto Condensed"/>
          <w:b/>
          <w:bCs/>
          <w:spacing w:val="2"/>
          <w:sz w:val="27"/>
          <w:szCs w:val="27"/>
        </w:rPr>
        <w:t>Impuesto de Timbre</w:t>
      </w:r>
    </w:p>
    <w:p w14:paraId="654DDCD2" w14:textId="77777777" w:rsidR="0073593F" w:rsidRDefault="0073593F" w:rsidP="0073593F">
      <w:pPr>
        <w:pStyle w:val="NormalWeb"/>
        <w:spacing w:before="0" w:beforeAutospacing="0" w:after="240" w:afterAutospacing="0" w:line="480" w:lineRule="atLeast"/>
        <w:jc w:val="both"/>
        <w:rPr>
          <w:rFonts w:ascii="Roboto Condensed" w:hAnsi="Roboto Condensed"/>
          <w:spacing w:val="2"/>
          <w:sz w:val="27"/>
          <w:szCs w:val="27"/>
        </w:rPr>
      </w:pPr>
      <w:r>
        <w:rPr>
          <w:rFonts w:ascii="Roboto Condensed" w:hAnsi="Roboto Condensed"/>
          <w:spacing w:val="2"/>
          <w:sz w:val="27"/>
          <w:szCs w:val="27"/>
        </w:rPr>
        <w:t>Descriptores</w:t>
      </w:r>
    </w:p>
    <w:p w14:paraId="771D4C10" w14:textId="77777777" w:rsidR="0073593F" w:rsidRDefault="0073593F" w:rsidP="0073593F">
      <w:pPr>
        <w:pStyle w:val="NormalWeb"/>
        <w:spacing w:before="0" w:beforeAutospacing="0" w:after="240" w:afterAutospacing="0" w:line="480" w:lineRule="atLeast"/>
        <w:jc w:val="both"/>
        <w:rPr>
          <w:rFonts w:ascii="Roboto Condensed" w:hAnsi="Roboto Condensed"/>
          <w:spacing w:val="2"/>
          <w:sz w:val="27"/>
          <w:szCs w:val="27"/>
        </w:rPr>
      </w:pPr>
      <w:r>
        <w:rPr>
          <w:rFonts w:ascii="Roboto Condensed" w:hAnsi="Roboto Condensed"/>
          <w:spacing w:val="2"/>
          <w:sz w:val="27"/>
          <w:szCs w:val="27"/>
        </w:rPr>
        <w:t>Causación, sucesiones por causa de muerte ante notario</w:t>
      </w:r>
    </w:p>
    <w:p w14:paraId="39FBF19B" w14:textId="77777777" w:rsidR="0073593F" w:rsidRDefault="0073593F" w:rsidP="0073593F">
      <w:pPr>
        <w:pStyle w:val="NormalWeb"/>
        <w:spacing w:before="0" w:beforeAutospacing="0" w:after="240" w:afterAutospacing="0" w:line="480" w:lineRule="atLeast"/>
        <w:jc w:val="both"/>
        <w:rPr>
          <w:rFonts w:ascii="Roboto Condensed" w:hAnsi="Roboto Condensed"/>
          <w:spacing w:val="2"/>
          <w:sz w:val="27"/>
          <w:szCs w:val="27"/>
        </w:rPr>
      </w:pPr>
      <w:r>
        <w:rPr>
          <w:rFonts w:ascii="Roboto Condensed" w:hAnsi="Roboto Condensed"/>
          <w:spacing w:val="2"/>
          <w:sz w:val="27"/>
          <w:szCs w:val="27"/>
        </w:rPr>
        <w:t>Fuentes Formales</w:t>
      </w:r>
    </w:p>
    <w:p w14:paraId="1170A173" w14:textId="77777777"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Pr>
          <w:rFonts w:ascii="Roboto Condensed" w:hAnsi="Roboto Condensed"/>
          <w:spacing w:val="2"/>
          <w:sz w:val="27"/>
          <w:szCs w:val="27"/>
        </w:rPr>
        <w:t>ESTATUTO TRIBUTARIO DECRETO 624 DE 1989 ART. </w:t>
      </w:r>
      <w:hyperlink r:id="rId4" w:anchor="519" w:history="1">
        <w:r>
          <w:rPr>
            <w:rStyle w:val="Hipervnculo"/>
            <w:rFonts w:ascii="Roboto Condensed" w:eastAsiaTheme="majorEastAsia" w:hAnsi="Roboto Condensed"/>
            <w:spacing w:val="2"/>
            <w:sz w:val="27"/>
            <w:szCs w:val="27"/>
          </w:rPr>
          <w:t>519</w:t>
        </w:r>
      </w:hyperlink>
    </w:p>
    <w:p w14:paraId="28EE7FF6" w14:textId="77777777"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Pr>
          <w:rFonts w:ascii="Roboto Condensed" w:hAnsi="Roboto Condensed"/>
          <w:spacing w:val="2"/>
          <w:sz w:val="27"/>
          <w:szCs w:val="27"/>
        </w:rPr>
        <w:t>ESTATUTO TRIBUTARIO DECRETO 624 DE 1989 ART. </w:t>
      </w:r>
      <w:hyperlink r:id="rId5" w:anchor="530" w:history="1">
        <w:r>
          <w:rPr>
            <w:rStyle w:val="Hipervnculo"/>
            <w:rFonts w:ascii="Roboto Condensed" w:eastAsiaTheme="majorEastAsia" w:hAnsi="Roboto Condensed"/>
            <w:spacing w:val="2"/>
            <w:sz w:val="27"/>
            <w:szCs w:val="27"/>
          </w:rPr>
          <w:t>530</w:t>
        </w:r>
      </w:hyperlink>
    </w:p>
    <w:p w14:paraId="60AFC945" w14:textId="77777777"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Pr>
          <w:rFonts w:ascii="Roboto Condensed" w:hAnsi="Roboto Condensed"/>
          <w:spacing w:val="2"/>
          <w:sz w:val="27"/>
          <w:szCs w:val="27"/>
        </w:rPr>
        <w:t>ESTATUTO TRIBUTARIO DECRETO 624 DE 1989 ART. </w:t>
      </w:r>
      <w:hyperlink r:id="rId6" w:anchor="530-1" w:history="1">
        <w:r>
          <w:rPr>
            <w:rStyle w:val="Hipervnculo"/>
            <w:rFonts w:ascii="Roboto Condensed" w:eastAsiaTheme="majorEastAsia" w:hAnsi="Roboto Condensed"/>
            <w:spacing w:val="2"/>
            <w:sz w:val="27"/>
            <w:szCs w:val="27"/>
          </w:rPr>
          <w:t>530-1</w:t>
        </w:r>
      </w:hyperlink>
      <w:r>
        <w:rPr>
          <w:rFonts w:ascii="Roboto Condensed" w:hAnsi="Roboto Condensed"/>
          <w:spacing w:val="2"/>
          <w:sz w:val="27"/>
          <w:szCs w:val="27"/>
        </w:rPr>
        <w:t>.</w:t>
      </w:r>
    </w:p>
    <w:p w14:paraId="52C95227" w14:textId="77777777" w:rsidR="0073593F" w:rsidRDefault="0073593F" w:rsidP="0073593F">
      <w:pPr>
        <w:pStyle w:val="NormalWeb"/>
        <w:spacing w:before="0" w:beforeAutospacing="0" w:after="240" w:afterAutospacing="0" w:line="480" w:lineRule="atLeast"/>
        <w:jc w:val="both"/>
        <w:rPr>
          <w:rFonts w:ascii="Roboto Condensed" w:hAnsi="Roboto Condensed"/>
          <w:spacing w:val="2"/>
          <w:sz w:val="27"/>
          <w:szCs w:val="27"/>
        </w:rPr>
      </w:pPr>
      <w:r>
        <w:rPr>
          <w:rFonts w:ascii="Roboto Condensed" w:hAnsi="Roboto Condensed"/>
          <w:spacing w:val="2"/>
          <w:sz w:val="27"/>
          <w:szCs w:val="27"/>
        </w:rPr>
        <w:t>Extracto</w:t>
      </w:r>
    </w:p>
    <w:p w14:paraId="10618633" w14:textId="77777777"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Pr>
          <w:rFonts w:ascii="Roboto Condensed" w:hAnsi="Roboto Condensed"/>
          <w:spacing w:val="2"/>
          <w:sz w:val="27"/>
          <w:szCs w:val="27"/>
        </w:rPr>
        <w:t>Este Despacho es competente para resolver las solicitudes de reconsideración de </w:t>
      </w:r>
      <w:r>
        <w:rPr>
          <w:rStyle w:val="baj"/>
          <w:rFonts w:ascii="Roboto Condensed" w:eastAsiaTheme="majorEastAsia" w:hAnsi="Roboto Condensed"/>
          <w:b/>
          <w:bCs/>
          <w:spacing w:val="2"/>
          <w:sz w:val="27"/>
          <w:szCs w:val="27"/>
        </w:rPr>
        <w:t>concepto</w:t>
      </w:r>
      <w:r>
        <w:rPr>
          <w:rFonts w:ascii="Roboto Condensed" w:hAnsi="Roboto Condensed"/>
          <w:spacing w:val="2"/>
          <w:sz w:val="27"/>
          <w:szCs w:val="27"/>
        </w:rPr>
        <w:t>s expedidos por la Subdirección de Normativa y Doctrina</w:t>
      </w:r>
      <w:hyperlink r:id="rId7" w:anchor="NF1" w:history="1">
        <w:r>
          <w:rPr>
            <w:rStyle w:val="baj"/>
            <w:rFonts w:ascii="Roboto Condensed" w:eastAsiaTheme="majorEastAsia" w:hAnsi="Roboto Condensed"/>
            <w:b/>
            <w:bCs/>
            <w:color w:val="0000FF"/>
            <w:spacing w:val="2"/>
            <w:sz w:val="27"/>
            <w:szCs w:val="27"/>
            <w:u w:val="single"/>
            <w:vertAlign w:val="superscript"/>
          </w:rPr>
          <w:t>[1]</w:t>
        </w:r>
      </w:hyperlink>
      <w:r>
        <w:rPr>
          <w:rFonts w:ascii="Roboto Condensed" w:hAnsi="Roboto Condensed"/>
          <w:spacing w:val="2"/>
          <w:sz w:val="27"/>
          <w:szCs w:val="27"/>
        </w:rPr>
        <w:t>.</w:t>
      </w:r>
    </w:p>
    <w:p w14:paraId="086618D0" w14:textId="77777777" w:rsidR="0073593F" w:rsidRDefault="0073593F" w:rsidP="0073593F">
      <w:pPr>
        <w:pStyle w:val="NormalWeb"/>
        <w:spacing w:before="0" w:beforeAutospacing="0" w:after="240" w:afterAutospacing="0" w:line="480" w:lineRule="atLeast"/>
        <w:jc w:val="both"/>
        <w:rPr>
          <w:rFonts w:ascii="Roboto Condensed" w:hAnsi="Roboto Condensed"/>
          <w:spacing w:val="2"/>
          <w:sz w:val="27"/>
          <w:szCs w:val="27"/>
        </w:rPr>
      </w:pPr>
      <w:r>
        <w:rPr>
          <w:rFonts w:ascii="Roboto Condensed" w:hAnsi="Roboto Condensed"/>
          <w:spacing w:val="2"/>
          <w:sz w:val="27"/>
          <w:szCs w:val="27"/>
        </w:rPr>
        <w:t>A) Solicitud de reconsideración.</w:t>
      </w:r>
    </w:p>
    <w:p w14:paraId="4FD2A593" w14:textId="77777777"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Pr>
          <w:rFonts w:ascii="Roboto Condensed" w:hAnsi="Roboto Condensed"/>
          <w:spacing w:val="2"/>
          <w:sz w:val="27"/>
          <w:szCs w:val="27"/>
        </w:rPr>
        <w:t>Mediante radicado No. 000717 de 21/06/2023 el señor  solicitó a este Despacho reconsiderar el </w:t>
      </w:r>
      <w:r>
        <w:rPr>
          <w:rStyle w:val="baj"/>
          <w:rFonts w:ascii="Roboto Condensed" w:eastAsiaTheme="majorEastAsia" w:hAnsi="Roboto Condensed"/>
          <w:b/>
          <w:bCs/>
          <w:spacing w:val="2"/>
          <w:sz w:val="27"/>
          <w:szCs w:val="27"/>
        </w:rPr>
        <w:t>Concepto </w:t>
      </w:r>
      <w:r>
        <w:rPr>
          <w:rFonts w:ascii="Roboto Condensed" w:hAnsi="Roboto Condensed"/>
          <w:spacing w:val="2"/>
          <w:sz w:val="27"/>
          <w:szCs w:val="27"/>
        </w:rPr>
        <w:t>00</w:t>
      </w:r>
      <w:hyperlink r:id="rId8" w:anchor="0" w:history="1">
        <w:r>
          <w:rPr>
            <w:rStyle w:val="Hipervnculo"/>
            <w:rFonts w:ascii="Roboto Condensed" w:eastAsiaTheme="majorEastAsia" w:hAnsi="Roboto Condensed"/>
            <w:spacing w:val="2"/>
            <w:sz w:val="27"/>
            <w:szCs w:val="27"/>
          </w:rPr>
          <w:t>6453</w:t>
        </w:r>
      </w:hyperlink>
      <w:r>
        <w:rPr>
          <w:rFonts w:ascii="Roboto Condensed" w:hAnsi="Roboto Condensed"/>
          <w:spacing w:val="2"/>
          <w:sz w:val="27"/>
          <w:szCs w:val="27"/>
        </w:rPr>
        <w:t> - interno 622 del 30 de mayo de 2023 (Adición al </w:t>
      </w:r>
      <w:r>
        <w:rPr>
          <w:rStyle w:val="baj"/>
          <w:rFonts w:ascii="Roboto Condensed" w:eastAsiaTheme="majorEastAsia" w:hAnsi="Roboto Condensed"/>
          <w:b/>
          <w:bCs/>
          <w:spacing w:val="2"/>
          <w:sz w:val="27"/>
          <w:szCs w:val="27"/>
        </w:rPr>
        <w:t>Concepto </w:t>
      </w:r>
      <w:r>
        <w:rPr>
          <w:rFonts w:ascii="Roboto Condensed" w:hAnsi="Roboto Condensed"/>
          <w:spacing w:val="2"/>
          <w:sz w:val="27"/>
          <w:szCs w:val="27"/>
        </w:rPr>
        <w:t>General sobre el impuesto de timbre nacional con motivo de la Ley </w:t>
      </w:r>
      <w:hyperlink r:id="rId9" w:anchor="0" w:history="1">
        <w:r>
          <w:rPr>
            <w:rStyle w:val="Hipervnculo"/>
            <w:rFonts w:ascii="Roboto Condensed" w:eastAsiaTheme="majorEastAsia" w:hAnsi="Roboto Condensed"/>
            <w:spacing w:val="2"/>
            <w:sz w:val="27"/>
            <w:szCs w:val="27"/>
          </w:rPr>
          <w:t>2277</w:t>
        </w:r>
      </w:hyperlink>
      <w:r>
        <w:rPr>
          <w:rFonts w:ascii="Roboto Condensed" w:hAnsi="Roboto Condensed"/>
          <w:spacing w:val="2"/>
          <w:sz w:val="27"/>
          <w:szCs w:val="27"/>
        </w:rPr>
        <w:t> de 2022 &lt;Concepto </w:t>
      </w:r>
      <w:hyperlink r:id="rId10" w:anchor="3.2-I" w:history="1">
        <w:r>
          <w:rPr>
            <w:rStyle w:val="Hipervnculo"/>
            <w:rFonts w:ascii="Roboto Condensed" w:eastAsiaTheme="majorEastAsia" w:hAnsi="Roboto Condensed"/>
            <w:spacing w:val="2"/>
            <w:sz w:val="27"/>
            <w:szCs w:val="27"/>
          </w:rPr>
          <w:t>2211</w:t>
        </w:r>
      </w:hyperlink>
      <w:r>
        <w:rPr>
          <w:rFonts w:ascii="Roboto Condensed" w:hAnsi="Roboto Condensed"/>
          <w:spacing w:val="2"/>
          <w:sz w:val="27"/>
          <w:szCs w:val="27"/>
        </w:rPr>
        <w:t> de 2023&gt;), concretamente, el siguiente aparte:</w:t>
      </w:r>
    </w:p>
    <w:p w14:paraId="1B6C420C" w14:textId="77777777" w:rsidR="00CB7978" w:rsidRDefault="00CB7978" w:rsidP="0073593F">
      <w:pPr>
        <w:pStyle w:val="NormalWeb"/>
        <w:spacing w:before="0" w:beforeAutospacing="0" w:after="0" w:afterAutospacing="0" w:line="480" w:lineRule="atLeast"/>
        <w:jc w:val="both"/>
        <w:rPr>
          <w:rFonts w:ascii="Roboto Condensed" w:hAnsi="Roboto Condensed"/>
          <w:spacing w:val="2"/>
          <w:sz w:val="27"/>
          <w:szCs w:val="27"/>
        </w:rPr>
      </w:pPr>
    </w:p>
    <w:p w14:paraId="5F26D337" w14:textId="3BDCA9D6"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Pr>
          <w:rFonts w:ascii="Roboto Condensed" w:hAnsi="Roboto Condensed"/>
          <w:spacing w:val="2"/>
          <w:sz w:val="27"/>
          <w:szCs w:val="27"/>
        </w:rPr>
        <w:t>"(...) </w:t>
      </w:r>
      <w:hyperlink r:id="rId11" w:anchor="3.2-I" w:history="1">
        <w:r>
          <w:rPr>
            <w:rStyle w:val="Hipervnculo"/>
            <w:rFonts w:ascii="Roboto Condensed" w:eastAsiaTheme="majorEastAsia" w:hAnsi="Roboto Condensed"/>
            <w:spacing w:val="2"/>
            <w:sz w:val="27"/>
            <w:szCs w:val="27"/>
          </w:rPr>
          <w:t>3.2</w:t>
        </w:r>
      </w:hyperlink>
      <w:r>
        <w:rPr>
          <w:rFonts w:ascii="Roboto Condensed" w:hAnsi="Roboto Condensed"/>
          <w:spacing w:val="2"/>
          <w:sz w:val="27"/>
          <w:szCs w:val="27"/>
        </w:rPr>
        <w:t>. ¿Se causa el Impuesto cuando el bien inmueble es transferido como consecuencia de una sucesión por causa de muerte? En caso de ser así ¿la causación del Impuesto se debe analizar en relación con cada bien inmueble que conforme el acervo o masa de bienes que el difunto ha dejado?</w:t>
      </w:r>
    </w:p>
    <w:p w14:paraId="6F81C483" w14:textId="77777777"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Pr>
          <w:rFonts w:ascii="Roboto Condensed" w:hAnsi="Roboto Condensed"/>
          <w:spacing w:val="2"/>
          <w:sz w:val="27"/>
          <w:szCs w:val="27"/>
        </w:rPr>
        <w:lastRenderedPageBreak/>
        <w:t>El artículo 673 del Código Civil señala que la sucesión por causa de muerte es uno de los modos de adquirir el dominio; por ende, teniendo en cuenta lo indicado en los puntos #3 y #3.1. de este título, es de colegir que, para efectos del Impuesto, el </w:t>
      </w:r>
      <w:r>
        <w:rPr>
          <w:rStyle w:val="baj"/>
          <w:rFonts w:ascii="Roboto Condensed" w:eastAsiaTheme="majorEastAsia" w:hAnsi="Roboto Condensed"/>
          <w:b/>
          <w:bCs/>
          <w:spacing w:val="2"/>
          <w:sz w:val="27"/>
          <w:szCs w:val="27"/>
        </w:rPr>
        <w:t>concepto </w:t>
      </w:r>
      <w:r>
        <w:rPr>
          <w:rFonts w:ascii="Roboto Condensed" w:hAnsi="Roboto Condensed"/>
          <w:spacing w:val="2"/>
          <w:sz w:val="27"/>
          <w:szCs w:val="27"/>
        </w:rPr>
        <w:t>de “enajenación a cualquier título” comprende la transferencia de la propiedad de un bien inmueble como consecuencia de dicha sucesión.</w:t>
      </w:r>
    </w:p>
    <w:p w14:paraId="4C2C9413" w14:textId="77777777" w:rsidR="00CB7978" w:rsidRDefault="00CB7978" w:rsidP="0073593F">
      <w:pPr>
        <w:pStyle w:val="NormalWeb"/>
        <w:spacing w:before="0" w:beforeAutospacing="0" w:after="240" w:afterAutospacing="0" w:line="480" w:lineRule="atLeast"/>
        <w:jc w:val="both"/>
        <w:rPr>
          <w:rFonts w:ascii="Roboto Condensed" w:hAnsi="Roboto Condensed"/>
          <w:spacing w:val="2"/>
          <w:sz w:val="27"/>
          <w:szCs w:val="27"/>
        </w:rPr>
      </w:pPr>
    </w:p>
    <w:p w14:paraId="605CC621" w14:textId="232E8EE4" w:rsidR="0073593F" w:rsidRDefault="0073593F" w:rsidP="0073593F">
      <w:pPr>
        <w:pStyle w:val="NormalWeb"/>
        <w:spacing w:before="0" w:beforeAutospacing="0" w:after="240" w:afterAutospacing="0" w:line="480" w:lineRule="atLeast"/>
        <w:jc w:val="both"/>
        <w:rPr>
          <w:rFonts w:ascii="Roboto Condensed" w:hAnsi="Roboto Condensed"/>
          <w:spacing w:val="2"/>
          <w:sz w:val="27"/>
          <w:szCs w:val="27"/>
        </w:rPr>
      </w:pPr>
      <w:r>
        <w:rPr>
          <w:rFonts w:ascii="Roboto Condensed" w:hAnsi="Roboto Condensed"/>
          <w:spacing w:val="2"/>
          <w:sz w:val="27"/>
          <w:szCs w:val="27"/>
        </w:rPr>
        <w:t>Ahora bien, sin desconocer que la sucesión puede darse a título universal o singular (cfr. artículo 1008 del Código Civil), la verificación sobre la causación del Impuesto deberá llevarse a cabo considerando la totalidad de los bienes inmuebles que conforman el acervo que el difunto ha dejado y que son objeto de transferencia (adjudicación). Esto, por cuanto, del numeral 3 del artículo 3 del Decreto 902 de 1988 (por el cual se autoriza la liquidación de herencias y sociedades conyugales vinculadas a ellas ante notario público y se dictan otras disposiciones) se desprende que, con la liquidación de la herencia, se extiende una sola escritura pública:</w:t>
      </w:r>
    </w:p>
    <w:p w14:paraId="6229D998" w14:textId="77777777" w:rsidR="0073593F" w:rsidRDefault="0073593F" w:rsidP="0073593F">
      <w:pPr>
        <w:pStyle w:val="NormalWeb"/>
        <w:spacing w:before="0" w:beforeAutospacing="0" w:after="240" w:afterAutospacing="0" w:line="480" w:lineRule="atLeast"/>
        <w:jc w:val="both"/>
        <w:rPr>
          <w:rFonts w:ascii="Roboto Condensed" w:hAnsi="Roboto Condensed"/>
          <w:spacing w:val="2"/>
          <w:sz w:val="27"/>
          <w:szCs w:val="27"/>
        </w:rPr>
      </w:pPr>
      <w:r>
        <w:rPr>
          <w:rFonts w:ascii="Roboto Condensed" w:hAnsi="Roboto Condensed"/>
          <w:spacing w:val="2"/>
          <w:sz w:val="27"/>
          <w:szCs w:val="27"/>
        </w:rPr>
        <w:t>“Artículo 3° Para la liquidación de la herencia y de la sociedad conyugal cuando fuere el caso, se procederá así: (...)</w:t>
      </w:r>
    </w:p>
    <w:p w14:paraId="7A8D94DA" w14:textId="77777777" w:rsidR="0073593F" w:rsidRDefault="0073593F" w:rsidP="0073593F">
      <w:pPr>
        <w:pStyle w:val="NormalWeb"/>
        <w:spacing w:before="0" w:beforeAutospacing="0" w:after="240" w:afterAutospacing="0" w:line="480" w:lineRule="atLeast"/>
        <w:jc w:val="both"/>
        <w:rPr>
          <w:rFonts w:ascii="Roboto Condensed" w:hAnsi="Roboto Condensed"/>
          <w:spacing w:val="2"/>
          <w:sz w:val="27"/>
          <w:szCs w:val="27"/>
        </w:rPr>
      </w:pPr>
      <w:r>
        <w:rPr>
          <w:rFonts w:ascii="Roboto Condensed" w:hAnsi="Roboto Condensed"/>
          <w:spacing w:val="2"/>
          <w:sz w:val="27"/>
          <w:szCs w:val="27"/>
        </w:rPr>
        <w:t>3. Diez (10) días después de publicado el edicto sin que se hubiere formulado oposición por algún interesado y cumplida la intervención de las autoridades tributarias en los términos establecidos por las disposiciones correspondientes, siempre que los impuestos a cargo del causante hubieren sido cancelados o se hubiere celebrado acuerdo de pago con los respectiva autoridad, procederá el notario a extender escritura pública, con la cual quedará solemnizada y perfeccionada la partición o adjudicación de la herencia (...). Dicha escritura deberá ser suscrita por los asignatarios (...) o por sus apoderados.</w:t>
      </w:r>
    </w:p>
    <w:p w14:paraId="249459F8" w14:textId="77777777" w:rsidR="0073593F" w:rsidRDefault="0073593F" w:rsidP="0073593F">
      <w:pPr>
        <w:pStyle w:val="NormalWeb"/>
        <w:spacing w:before="0" w:beforeAutospacing="0" w:after="240" w:afterAutospacing="0" w:line="480" w:lineRule="atLeast"/>
        <w:jc w:val="both"/>
        <w:rPr>
          <w:rFonts w:ascii="Roboto Condensed" w:hAnsi="Roboto Condensed"/>
          <w:spacing w:val="2"/>
          <w:sz w:val="27"/>
          <w:szCs w:val="27"/>
        </w:rPr>
      </w:pPr>
      <w:r>
        <w:rPr>
          <w:rFonts w:ascii="Roboto Condensed" w:hAnsi="Roboto Condensed"/>
          <w:spacing w:val="2"/>
          <w:sz w:val="27"/>
          <w:szCs w:val="27"/>
        </w:rPr>
        <w:t>(...)</w:t>
      </w:r>
    </w:p>
    <w:p w14:paraId="6A4C52C9" w14:textId="77777777" w:rsidR="0073593F" w:rsidRDefault="0073593F" w:rsidP="0073593F">
      <w:pPr>
        <w:pStyle w:val="NormalWeb"/>
        <w:spacing w:before="0" w:beforeAutospacing="0" w:after="240" w:afterAutospacing="0" w:line="480" w:lineRule="atLeast"/>
        <w:jc w:val="both"/>
        <w:rPr>
          <w:rFonts w:ascii="Roboto Condensed" w:hAnsi="Roboto Condensed"/>
          <w:spacing w:val="2"/>
          <w:sz w:val="27"/>
          <w:szCs w:val="27"/>
        </w:rPr>
      </w:pPr>
      <w:r>
        <w:rPr>
          <w:rFonts w:ascii="Roboto Condensed" w:hAnsi="Roboto Condensed"/>
          <w:spacing w:val="2"/>
          <w:sz w:val="27"/>
          <w:szCs w:val="27"/>
        </w:rPr>
        <w:t>El notario no podrá extender la respectiva escritura, sin el lleno de los requisitos exigidos por el presente numeral.” (énfasis propio)</w:t>
      </w:r>
    </w:p>
    <w:p w14:paraId="0D10E51B" w14:textId="77777777"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Pr>
          <w:rFonts w:ascii="Roboto Condensed" w:hAnsi="Roboto Condensed"/>
          <w:spacing w:val="2"/>
          <w:sz w:val="27"/>
          <w:szCs w:val="27"/>
        </w:rPr>
        <w:t>Al respecto, es menester recordar que, de conformidad con el inciso 3° del artículo </w:t>
      </w:r>
      <w:hyperlink r:id="rId12" w:anchor="519" w:history="1">
        <w:r>
          <w:rPr>
            <w:rStyle w:val="Hipervnculo"/>
            <w:rFonts w:ascii="Roboto Condensed" w:eastAsiaTheme="majorEastAsia" w:hAnsi="Roboto Condensed"/>
            <w:spacing w:val="2"/>
            <w:sz w:val="27"/>
            <w:szCs w:val="27"/>
          </w:rPr>
          <w:t>519</w:t>
        </w:r>
      </w:hyperlink>
      <w:r>
        <w:rPr>
          <w:rFonts w:ascii="Roboto Condensed" w:hAnsi="Roboto Condensed"/>
          <w:spacing w:val="2"/>
          <w:sz w:val="27"/>
          <w:szCs w:val="27"/>
        </w:rPr>
        <w:t xml:space="preserve"> del Estatuto Tributario, la causación del Impuesto se materializa cuando el documento que involucra la enajenación a cualquier título (adjudicación para el caso de la sucesión por causa de muerte) de bienes inmuebles -cuyo valor en conjunto sea </w:t>
      </w:r>
      <w:r>
        <w:rPr>
          <w:rFonts w:ascii="Roboto Condensed" w:hAnsi="Roboto Condensed"/>
          <w:spacing w:val="2"/>
          <w:sz w:val="27"/>
          <w:szCs w:val="27"/>
        </w:rPr>
        <w:lastRenderedPageBreak/>
        <w:t>mayor a 20.000 UVT y no hayan sido objeto de este Impuesto- se eleva a escritura pública.</w:t>
      </w:r>
    </w:p>
    <w:p w14:paraId="676AD5C1" w14:textId="77777777" w:rsidR="00CB7978" w:rsidRDefault="00CB7978" w:rsidP="0073593F">
      <w:pPr>
        <w:pStyle w:val="NormalWeb"/>
        <w:spacing w:before="0" w:beforeAutospacing="0" w:after="240" w:afterAutospacing="0" w:line="480" w:lineRule="atLeast"/>
        <w:jc w:val="both"/>
        <w:rPr>
          <w:rFonts w:ascii="Roboto Condensed" w:hAnsi="Roboto Condensed"/>
          <w:spacing w:val="2"/>
          <w:sz w:val="27"/>
          <w:szCs w:val="27"/>
        </w:rPr>
      </w:pPr>
    </w:p>
    <w:p w14:paraId="5C31E87E" w14:textId="65396F2C" w:rsidR="0073593F" w:rsidRDefault="0073593F" w:rsidP="0073593F">
      <w:pPr>
        <w:pStyle w:val="NormalWeb"/>
        <w:spacing w:before="0" w:beforeAutospacing="0" w:after="240" w:afterAutospacing="0" w:line="480" w:lineRule="atLeast"/>
        <w:jc w:val="both"/>
        <w:rPr>
          <w:rFonts w:ascii="Roboto Condensed" w:hAnsi="Roboto Condensed"/>
          <w:spacing w:val="2"/>
          <w:sz w:val="27"/>
          <w:szCs w:val="27"/>
        </w:rPr>
      </w:pPr>
      <w:r>
        <w:rPr>
          <w:rFonts w:ascii="Roboto Condensed" w:hAnsi="Roboto Condensed"/>
          <w:spacing w:val="2"/>
          <w:sz w:val="27"/>
          <w:szCs w:val="27"/>
        </w:rPr>
        <w:t>De allí que, con el propósito de determinar la respectiva carga impositiva, no resulte viable examinar por separado cada uno de los bienes inmuebles adjudicados ni tener en cuenta las respectivas asignaciones realizadas a los herederos.</w:t>
      </w:r>
    </w:p>
    <w:p w14:paraId="01B0FFA5" w14:textId="77777777"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Pr>
          <w:rFonts w:ascii="Roboto Condensed" w:hAnsi="Roboto Condensed"/>
          <w:spacing w:val="2"/>
          <w:sz w:val="27"/>
          <w:szCs w:val="27"/>
        </w:rPr>
        <w:t>En este punto, es importante igualmente señalar que, a la luz del artículo </w:t>
      </w:r>
      <w:hyperlink r:id="rId13" w:anchor="515" w:history="1">
        <w:r>
          <w:rPr>
            <w:rStyle w:val="Hipervnculo"/>
            <w:rFonts w:ascii="Roboto Condensed" w:eastAsiaTheme="majorEastAsia" w:hAnsi="Roboto Condensed"/>
            <w:spacing w:val="2"/>
            <w:sz w:val="27"/>
            <w:szCs w:val="27"/>
          </w:rPr>
          <w:t>515</w:t>
        </w:r>
      </w:hyperlink>
      <w:r>
        <w:rPr>
          <w:rFonts w:ascii="Roboto Condensed" w:hAnsi="Roboto Condensed"/>
          <w:spacing w:val="2"/>
          <w:sz w:val="27"/>
          <w:szCs w:val="27"/>
        </w:rPr>
        <w:t> del Estatuto Tributario, los sujetos pasivos serán todas aquellas «personas naturales o jurídicas, sus asimiladas, y las entidades públicas no exceptuadas expresamente» que intervengan como suscriptores de la escritura pública mediante la cual se solemniza y perfecciona la partición o adjudicación de la herencia. (...)"</w:t>
      </w:r>
    </w:p>
    <w:p w14:paraId="2E8F58D5" w14:textId="77777777" w:rsidR="00CB7978" w:rsidRDefault="00CB7978" w:rsidP="0073593F">
      <w:pPr>
        <w:pStyle w:val="NormalWeb"/>
        <w:spacing w:before="0" w:beforeAutospacing="0" w:after="0" w:afterAutospacing="0" w:line="480" w:lineRule="atLeast"/>
        <w:jc w:val="both"/>
        <w:rPr>
          <w:rFonts w:ascii="Roboto Condensed" w:hAnsi="Roboto Condensed"/>
          <w:spacing w:val="2"/>
          <w:sz w:val="27"/>
          <w:szCs w:val="27"/>
        </w:rPr>
      </w:pPr>
    </w:p>
    <w:p w14:paraId="7E4C168F" w14:textId="0897471A"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Pr>
          <w:rFonts w:ascii="Roboto Condensed" w:hAnsi="Roboto Condensed"/>
          <w:spacing w:val="2"/>
          <w:sz w:val="27"/>
          <w:szCs w:val="27"/>
        </w:rPr>
        <w:t>Al respecto, el peticionario argumenta lo siguiente: “(...) «enajenar» y «suceder» son </w:t>
      </w:r>
      <w:r>
        <w:rPr>
          <w:rStyle w:val="baj"/>
          <w:rFonts w:ascii="Roboto Condensed" w:eastAsiaTheme="majorEastAsia" w:hAnsi="Roboto Condensed"/>
          <w:b/>
          <w:bCs/>
          <w:spacing w:val="2"/>
          <w:sz w:val="27"/>
          <w:szCs w:val="27"/>
        </w:rPr>
        <w:t>concepto</w:t>
      </w:r>
      <w:r>
        <w:rPr>
          <w:rFonts w:ascii="Roboto Condensed" w:hAnsi="Roboto Condensed"/>
          <w:spacing w:val="2"/>
          <w:sz w:val="27"/>
          <w:szCs w:val="27"/>
        </w:rPr>
        <w:t>s jurídicos distintos que no pueden asimilarse entre sí. La transferencia voluntaria de bienes en una enajenación difiere en su naturaleza y consecuencias de la transferencia automática de bienes en una sucesión por causa de muerte. Por lo tanto, aplicar el impuesto de timbre a la escritura pública que asigna o reparte los bienes de una sucesión por causa de muerte, no tiene una base jurídica sólida y sería contrario a los principios fundamentales de nuestro sistema legal, al aplicar un impuesto por vía de interpretación extensiva o analógica.”</w:t>
      </w:r>
    </w:p>
    <w:p w14:paraId="298E055B" w14:textId="77777777" w:rsidR="00CB7978" w:rsidRDefault="00CB7978" w:rsidP="0073593F">
      <w:pPr>
        <w:pStyle w:val="NormalWeb"/>
        <w:spacing w:before="0" w:beforeAutospacing="0" w:after="0" w:afterAutospacing="0" w:line="480" w:lineRule="atLeast"/>
        <w:jc w:val="both"/>
        <w:rPr>
          <w:rFonts w:ascii="Roboto Condensed" w:hAnsi="Roboto Condensed"/>
          <w:spacing w:val="2"/>
          <w:sz w:val="27"/>
          <w:szCs w:val="27"/>
        </w:rPr>
      </w:pPr>
    </w:p>
    <w:p w14:paraId="480A5FF1" w14:textId="4C4FB98C"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Pr>
          <w:rFonts w:ascii="Roboto Condensed" w:hAnsi="Roboto Condensed"/>
          <w:spacing w:val="2"/>
          <w:sz w:val="27"/>
          <w:szCs w:val="27"/>
        </w:rPr>
        <w:t>En ese orden de ideas, el peticionario solicita la reconsideración del </w:t>
      </w:r>
      <w:r>
        <w:rPr>
          <w:rStyle w:val="baj"/>
          <w:rFonts w:ascii="Roboto Condensed" w:eastAsiaTheme="majorEastAsia" w:hAnsi="Roboto Condensed"/>
          <w:b/>
          <w:bCs/>
          <w:spacing w:val="2"/>
          <w:sz w:val="27"/>
          <w:szCs w:val="27"/>
        </w:rPr>
        <w:t>concepto </w:t>
      </w:r>
      <w:r>
        <w:rPr>
          <w:rFonts w:ascii="Roboto Condensed" w:hAnsi="Roboto Condensed"/>
          <w:spacing w:val="2"/>
          <w:sz w:val="27"/>
          <w:szCs w:val="27"/>
        </w:rPr>
        <w:t>en los siguientes términos: “Por todo lo anterior, considero que no existe razón válida para equiparar el modo de adquirir por sucesión al de adquirir por enajenación, ante lo cual solicito respetuosamente la reconsideración del </w:t>
      </w:r>
      <w:r>
        <w:rPr>
          <w:rStyle w:val="baj"/>
          <w:rFonts w:ascii="Roboto Condensed" w:eastAsiaTheme="majorEastAsia" w:hAnsi="Roboto Condensed"/>
          <w:b/>
          <w:bCs/>
          <w:spacing w:val="2"/>
          <w:sz w:val="27"/>
          <w:szCs w:val="27"/>
        </w:rPr>
        <w:t>concepto </w:t>
      </w:r>
      <w:r>
        <w:rPr>
          <w:rFonts w:ascii="Roboto Condensed" w:hAnsi="Roboto Condensed"/>
          <w:spacing w:val="2"/>
          <w:sz w:val="27"/>
          <w:szCs w:val="27"/>
        </w:rPr>
        <w:t>de la referencia en el sentido de que la escritura pública de sucesión ante notario no está gravada con el impuesto de timbre.”</w:t>
      </w:r>
    </w:p>
    <w:p w14:paraId="131C53C3" w14:textId="77777777" w:rsidR="00CB7978" w:rsidRDefault="00CB7978" w:rsidP="0073593F">
      <w:pPr>
        <w:pStyle w:val="NormalWeb"/>
        <w:spacing w:before="0" w:beforeAutospacing="0" w:after="240" w:afterAutospacing="0" w:line="480" w:lineRule="atLeast"/>
        <w:jc w:val="both"/>
        <w:rPr>
          <w:rFonts w:ascii="Roboto Condensed" w:hAnsi="Roboto Condensed"/>
          <w:spacing w:val="2"/>
          <w:sz w:val="27"/>
          <w:szCs w:val="27"/>
        </w:rPr>
      </w:pPr>
    </w:p>
    <w:p w14:paraId="510F71FF" w14:textId="48703133" w:rsidR="0073593F" w:rsidRDefault="0073593F" w:rsidP="0073593F">
      <w:pPr>
        <w:pStyle w:val="NormalWeb"/>
        <w:spacing w:before="0" w:beforeAutospacing="0" w:after="240" w:afterAutospacing="0" w:line="480" w:lineRule="atLeast"/>
        <w:jc w:val="both"/>
        <w:rPr>
          <w:rFonts w:ascii="Roboto Condensed" w:hAnsi="Roboto Condensed"/>
          <w:spacing w:val="2"/>
          <w:sz w:val="27"/>
          <w:szCs w:val="27"/>
        </w:rPr>
      </w:pPr>
      <w:r>
        <w:rPr>
          <w:rFonts w:ascii="Roboto Condensed" w:hAnsi="Roboto Condensed"/>
          <w:spacing w:val="2"/>
          <w:sz w:val="27"/>
          <w:szCs w:val="27"/>
        </w:rPr>
        <w:t>Mediante Radicado No. 001233 de 14/11/2023, el señor Eduardo Durán Gómez, en su calidad de presidente de la Unión Colegiada del Notariado Colombiano, presenta coadyuvancia a la solicitud de reconsideración realizada por el señor Luis Fernando Jaramillo Duque.</w:t>
      </w:r>
    </w:p>
    <w:p w14:paraId="58952E7C" w14:textId="77777777" w:rsidR="0073593F" w:rsidRDefault="0073593F" w:rsidP="0073593F">
      <w:pPr>
        <w:pStyle w:val="NormalWeb"/>
        <w:spacing w:before="0" w:beforeAutospacing="0" w:after="240" w:afterAutospacing="0" w:line="480" w:lineRule="atLeast"/>
        <w:jc w:val="both"/>
        <w:rPr>
          <w:rFonts w:ascii="Roboto Condensed" w:hAnsi="Roboto Condensed"/>
          <w:spacing w:val="2"/>
          <w:sz w:val="27"/>
          <w:szCs w:val="27"/>
        </w:rPr>
      </w:pPr>
      <w:r>
        <w:rPr>
          <w:rFonts w:ascii="Roboto Condensed" w:hAnsi="Roboto Condensed"/>
          <w:spacing w:val="2"/>
          <w:sz w:val="27"/>
          <w:szCs w:val="27"/>
        </w:rPr>
        <w:lastRenderedPageBreak/>
        <w:t>B) Pronunciamiento de este Despacho.</w:t>
      </w:r>
    </w:p>
    <w:p w14:paraId="6E2525A2" w14:textId="77777777"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Pr>
          <w:rFonts w:ascii="Roboto Condensed" w:hAnsi="Roboto Condensed"/>
          <w:spacing w:val="2"/>
          <w:sz w:val="27"/>
          <w:szCs w:val="27"/>
        </w:rPr>
        <w:t>Como es posible ver, la discusión que plantean los peticionarios gira alrededor del </w:t>
      </w:r>
      <w:r>
        <w:rPr>
          <w:rStyle w:val="baj"/>
          <w:rFonts w:ascii="Roboto Condensed" w:eastAsiaTheme="majorEastAsia" w:hAnsi="Roboto Condensed"/>
          <w:b/>
          <w:bCs/>
          <w:spacing w:val="2"/>
          <w:sz w:val="27"/>
          <w:szCs w:val="27"/>
        </w:rPr>
        <w:t>concepto </w:t>
      </w:r>
      <w:r>
        <w:rPr>
          <w:rFonts w:ascii="Roboto Condensed" w:hAnsi="Roboto Condensed"/>
          <w:spacing w:val="2"/>
          <w:sz w:val="27"/>
          <w:szCs w:val="27"/>
        </w:rPr>
        <w:t>de “enajenación a cualquier título” previsto en el inciso 3 y en el parágrafo 3 del artículo </w:t>
      </w:r>
      <w:hyperlink r:id="rId14" w:anchor="519" w:history="1">
        <w:r>
          <w:rPr>
            <w:rStyle w:val="Hipervnculo"/>
            <w:rFonts w:ascii="Roboto Condensed" w:eastAsiaTheme="majorEastAsia" w:hAnsi="Roboto Condensed"/>
            <w:spacing w:val="2"/>
            <w:sz w:val="27"/>
            <w:szCs w:val="27"/>
          </w:rPr>
          <w:t>519</w:t>
        </w:r>
      </w:hyperlink>
      <w:r>
        <w:rPr>
          <w:rFonts w:ascii="Roboto Condensed" w:hAnsi="Roboto Condensed"/>
          <w:spacing w:val="2"/>
          <w:sz w:val="27"/>
          <w:szCs w:val="27"/>
        </w:rPr>
        <w:t> del Estatuto Tributario (ET).</w:t>
      </w:r>
    </w:p>
    <w:p w14:paraId="0AA07370" w14:textId="77777777" w:rsidR="00CB7978" w:rsidRDefault="00CB7978" w:rsidP="0073593F">
      <w:pPr>
        <w:pStyle w:val="NormalWeb"/>
        <w:spacing w:before="0" w:beforeAutospacing="0" w:after="0" w:afterAutospacing="0" w:line="480" w:lineRule="atLeast"/>
        <w:jc w:val="both"/>
        <w:rPr>
          <w:rFonts w:ascii="Roboto Condensed" w:hAnsi="Roboto Condensed"/>
          <w:spacing w:val="2"/>
          <w:sz w:val="27"/>
          <w:szCs w:val="27"/>
        </w:rPr>
      </w:pPr>
    </w:p>
    <w:p w14:paraId="2221A8D8" w14:textId="40C61856"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Pr>
          <w:rFonts w:ascii="Roboto Condensed" w:hAnsi="Roboto Condensed"/>
          <w:spacing w:val="2"/>
          <w:sz w:val="27"/>
          <w:szCs w:val="27"/>
        </w:rPr>
        <w:t>En la Sentencia C-</w:t>
      </w:r>
      <w:hyperlink r:id="rId15" w:anchor="0" w:history="1">
        <w:r>
          <w:rPr>
            <w:rStyle w:val="Hipervnculo"/>
            <w:rFonts w:ascii="Roboto Condensed" w:eastAsiaTheme="majorEastAsia" w:hAnsi="Roboto Condensed"/>
            <w:spacing w:val="2"/>
            <w:sz w:val="27"/>
            <w:szCs w:val="27"/>
          </w:rPr>
          <w:t>405</w:t>
        </w:r>
      </w:hyperlink>
      <w:r>
        <w:rPr>
          <w:rFonts w:ascii="Roboto Condensed" w:hAnsi="Roboto Condensed"/>
          <w:spacing w:val="2"/>
          <w:sz w:val="27"/>
          <w:szCs w:val="27"/>
        </w:rPr>
        <w:t> de 2023, la Corte Constitucional explicó que el hecho generador del impuesto de timbre está regulado en términos generales en el artículo </w:t>
      </w:r>
      <w:hyperlink r:id="rId16" w:anchor="519" w:history="1">
        <w:r>
          <w:rPr>
            <w:rStyle w:val="Hipervnculo"/>
            <w:rFonts w:ascii="Roboto Condensed" w:eastAsiaTheme="majorEastAsia" w:hAnsi="Roboto Condensed"/>
            <w:spacing w:val="2"/>
            <w:sz w:val="27"/>
            <w:szCs w:val="27"/>
          </w:rPr>
          <w:t>519</w:t>
        </w:r>
      </w:hyperlink>
      <w:r>
        <w:rPr>
          <w:rFonts w:ascii="Roboto Condensed" w:hAnsi="Roboto Condensed"/>
          <w:spacing w:val="2"/>
          <w:sz w:val="27"/>
          <w:szCs w:val="27"/>
        </w:rPr>
        <w:t> del ET y que el artículo </w:t>
      </w:r>
      <w:hyperlink r:id="rId17" w:anchor="530" w:history="1">
        <w:r>
          <w:rPr>
            <w:rStyle w:val="Hipervnculo"/>
            <w:rFonts w:ascii="Roboto Condensed" w:eastAsiaTheme="majorEastAsia" w:hAnsi="Roboto Condensed"/>
            <w:spacing w:val="2"/>
            <w:sz w:val="27"/>
            <w:szCs w:val="27"/>
          </w:rPr>
          <w:t>530</w:t>
        </w:r>
      </w:hyperlink>
      <w:r>
        <w:rPr>
          <w:rFonts w:ascii="Roboto Condensed" w:hAnsi="Roboto Condensed"/>
          <w:spacing w:val="2"/>
          <w:sz w:val="27"/>
          <w:szCs w:val="27"/>
        </w:rPr>
        <w:t> del ET contempla cincuentas y seis exenciones a este</w:t>
      </w:r>
      <w:hyperlink r:id="rId18" w:anchor="NF2" w:history="1">
        <w:r>
          <w:rPr>
            <w:rStyle w:val="baj"/>
            <w:rFonts w:ascii="Roboto Condensed" w:eastAsiaTheme="majorEastAsia" w:hAnsi="Roboto Condensed"/>
            <w:b/>
            <w:bCs/>
            <w:color w:val="0000FF"/>
            <w:spacing w:val="2"/>
            <w:sz w:val="27"/>
            <w:szCs w:val="27"/>
            <w:u w:val="single"/>
            <w:vertAlign w:val="superscript"/>
          </w:rPr>
          <w:t>[2]</w:t>
        </w:r>
      </w:hyperlink>
      <w:r>
        <w:rPr>
          <w:rFonts w:ascii="Roboto Condensed" w:hAnsi="Roboto Condensed"/>
          <w:spacing w:val="2"/>
          <w:sz w:val="27"/>
          <w:szCs w:val="27"/>
        </w:rPr>
        <w:t>. Esta primera aproximación de la Corte al hecho generador del impuesto de timbre muestra que este debe ser interpretado de una manera amplia y las exenciones de manera restrictiva.</w:t>
      </w:r>
    </w:p>
    <w:p w14:paraId="6DDEE1C4" w14:textId="77777777" w:rsidR="00CB7978" w:rsidRDefault="00CB7978" w:rsidP="0073593F">
      <w:pPr>
        <w:pStyle w:val="NormalWeb"/>
        <w:spacing w:before="0" w:beforeAutospacing="0" w:after="0" w:afterAutospacing="0" w:line="480" w:lineRule="atLeast"/>
        <w:jc w:val="both"/>
        <w:rPr>
          <w:rFonts w:ascii="Roboto Condensed" w:hAnsi="Roboto Condensed"/>
          <w:spacing w:val="2"/>
          <w:sz w:val="27"/>
          <w:szCs w:val="27"/>
        </w:rPr>
      </w:pPr>
    </w:p>
    <w:p w14:paraId="00573D04" w14:textId="48793B25"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Pr>
          <w:rFonts w:ascii="Roboto Condensed" w:hAnsi="Roboto Condensed"/>
          <w:spacing w:val="2"/>
          <w:sz w:val="27"/>
          <w:szCs w:val="27"/>
        </w:rPr>
        <w:t>Bajo ese entendimiento, la Corte Constitucional indicó que “el hecho gravable hace referencia a la elevación a escritura pública de documentos en los que se haya realizado enajenación de inmuebles </w:t>
      </w:r>
      <w:r>
        <w:rPr>
          <w:rStyle w:val="iaj"/>
          <w:rFonts w:ascii="Roboto Condensed" w:eastAsiaTheme="majorEastAsia" w:hAnsi="Roboto Condensed"/>
          <w:i/>
          <w:iCs/>
          <w:spacing w:val="2"/>
          <w:sz w:val="27"/>
          <w:szCs w:val="27"/>
        </w:rPr>
        <w:t>“a cualquier título”</w:t>
      </w:r>
      <w:r>
        <w:rPr>
          <w:rFonts w:ascii="Roboto Condensed" w:hAnsi="Roboto Condensed"/>
          <w:spacing w:val="2"/>
          <w:sz w:val="27"/>
          <w:szCs w:val="27"/>
        </w:rPr>
        <w:t> cuyo valor sea inferior a veinte mil (20.000) UVT y no haya sido sujeto al impuesto de timbre</w:t>
      </w:r>
      <w:r>
        <w:rPr>
          <w:rStyle w:val="iaj"/>
          <w:rFonts w:ascii="Roboto Condensed" w:eastAsiaTheme="majorEastAsia" w:hAnsi="Roboto Condensed"/>
          <w:i/>
          <w:iCs/>
          <w:spacing w:val="2"/>
          <w:sz w:val="27"/>
          <w:szCs w:val="27"/>
        </w:rPr>
        <w:t>.</w:t>
      </w:r>
      <w:r>
        <w:rPr>
          <w:rFonts w:ascii="Roboto Condensed" w:hAnsi="Roboto Condensed"/>
          <w:spacing w:val="2"/>
          <w:sz w:val="27"/>
          <w:szCs w:val="27"/>
        </w:rPr>
        <w:t> Sobre este </w:t>
      </w:r>
      <w:r>
        <w:rPr>
          <w:rFonts w:ascii="Roboto Condensed" w:hAnsi="Roboto Condensed"/>
          <w:b/>
          <w:bCs/>
          <w:spacing w:val="2"/>
          <w:sz w:val="27"/>
          <w:szCs w:val="27"/>
        </w:rPr>
        <w:t>concepto </w:t>
      </w:r>
      <w:r>
        <w:rPr>
          <w:rFonts w:ascii="Roboto Condensed" w:hAnsi="Roboto Condensed"/>
          <w:spacing w:val="2"/>
          <w:sz w:val="27"/>
          <w:szCs w:val="27"/>
        </w:rPr>
        <w:t>que encaja dentro de la disciplina propia del derecho civil, pero como se observa en esta ocasión, es aplicado en materia tributaria, se han presentado varios pronunciamientos relevantes por parte de entidades competentes en la materia como la Sección Cuarta del Consejo de Estado y la DIAN.”</w:t>
      </w:r>
      <w:hyperlink r:id="rId19" w:anchor="NF3" w:history="1">
        <w:r>
          <w:rPr>
            <w:rStyle w:val="Hipervnculo"/>
            <w:rFonts w:ascii="Roboto Condensed" w:eastAsiaTheme="majorEastAsia" w:hAnsi="Roboto Condensed"/>
            <w:b/>
            <w:bCs/>
            <w:spacing w:val="2"/>
            <w:sz w:val="27"/>
            <w:szCs w:val="27"/>
            <w:vertAlign w:val="superscript"/>
          </w:rPr>
          <w:t>[3]</w:t>
        </w:r>
      </w:hyperlink>
      <w:r>
        <w:rPr>
          <w:rFonts w:ascii="Roboto Condensed" w:hAnsi="Roboto Condensed"/>
          <w:spacing w:val="2"/>
          <w:sz w:val="27"/>
          <w:szCs w:val="27"/>
        </w:rPr>
        <w:t> Pronunciamientos a los que se hará referencia a continuación.</w:t>
      </w:r>
    </w:p>
    <w:p w14:paraId="6FBCD5DF" w14:textId="77777777" w:rsidR="00CB7978" w:rsidRDefault="00CB7978" w:rsidP="0073593F">
      <w:pPr>
        <w:pStyle w:val="NormalWeb"/>
        <w:spacing w:before="0" w:beforeAutospacing="0" w:after="0" w:afterAutospacing="0" w:line="480" w:lineRule="atLeast"/>
        <w:jc w:val="both"/>
        <w:rPr>
          <w:rFonts w:ascii="Roboto Condensed" w:hAnsi="Roboto Condensed"/>
          <w:spacing w:val="2"/>
          <w:sz w:val="27"/>
          <w:szCs w:val="27"/>
        </w:rPr>
      </w:pPr>
    </w:p>
    <w:p w14:paraId="2DCC6E10" w14:textId="1A88088D"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Pr>
          <w:rFonts w:ascii="Roboto Condensed" w:hAnsi="Roboto Condensed"/>
          <w:spacing w:val="2"/>
          <w:sz w:val="27"/>
          <w:szCs w:val="27"/>
        </w:rPr>
        <w:t>En efecto, desde el punto de vista general, el Consejo de Estado</w:t>
      </w:r>
      <w:hyperlink r:id="rId20" w:anchor="NF4" w:history="1">
        <w:r>
          <w:rPr>
            <w:rStyle w:val="baj"/>
            <w:rFonts w:ascii="Roboto Condensed" w:eastAsiaTheme="majorEastAsia" w:hAnsi="Roboto Condensed"/>
            <w:b/>
            <w:bCs/>
            <w:color w:val="0000FF"/>
            <w:spacing w:val="2"/>
            <w:sz w:val="27"/>
            <w:szCs w:val="27"/>
            <w:u w:val="single"/>
            <w:vertAlign w:val="superscript"/>
          </w:rPr>
          <w:t>[4]</w:t>
        </w:r>
      </w:hyperlink>
      <w:r>
        <w:rPr>
          <w:rFonts w:ascii="Roboto Condensed" w:hAnsi="Roboto Condensed"/>
          <w:spacing w:val="2"/>
          <w:sz w:val="27"/>
          <w:szCs w:val="27"/>
        </w:rPr>
        <w:t> ha manifestado que la “enajenación a cualquier título” es un </w:t>
      </w:r>
      <w:r>
        <w:rPr>
          <w:rStyle w:val="baj"/>
          <w:rFonts w:ascii="Roboto Condensed" w:eastAsiaTheme="majorEastAsia" w:hAnsi="Roboto Condensed"/>
          <w:b/>
          <w:bCs/>
          <w:spacing w:val="2"/>
          <w:sz w:val="27"/>
          <w:szCs w:val="27"/>
        </w:rPr>
        <w:t>concepto </w:t>
      </w:r>
      <w:r>
        <w:rPr>
          <w:rFonts w:ascii="Roboto Condensed" w:hAnsi="Roboto Condensed"/>
          <w:spacing w:val="2"/>
          <w:sz w:val="27"/>
          <w:szCs w:val="27"/>
        </w:rPr>
        <w:t>que «debe entenderse en su sentido natural y obvio, como la acción de “pasar o transmitir a alguien el dominio de algo o algún otro derecho sobre ello”» siendo lo determinante el traslado del dominio</w:t>
      </w:r>
      <w:hyperlink r:id="rId21" w:anchor="NF5" w:history="1">
        <w:r>
          <w:rPr>
            <w:rStyle w:val="baj"/>
            <w:rFonts w:ascii="Roboto Condensed" w:eastAsiaTheme="majorEastAsia" w:hAnsi="Roboto Condensed"/>
            <w:b/>
            <w:bCs/>
            <w:color w:val="0000FF"/>
            <w:spacing w:val="2"/>
            <w:sz w:val="27"/>
            <w:szCs w:val="27"/>
            <w:u w:val="single"/>
            <w:vertAlign w:val="superscript"/>
          </w:rPr>
          <w:t>[5]</w:t>
        </w:r>
      </w:hyperlink>
      <w:r>
        <w:rPr>
          <w:rFonts w:ascii="Roboto Condensed" w:hAnsi="Roboto Condensed"/>
          <w:spacing w:val="2"/>
          <w:sz w:val="27"/>
          <w:szCs w:val="27"/>
        </w:rPr>
        <w:t>. En la misma línea, la Corte Constitucional trajo a colación el </w:t>
      </w:r>
      <w:r>
        <w:rPr>
          <w:rStyle w:val="baj"/>
          <w:rFonts w:ascii="Roboto Condensed" w:eastAsiaTheme="majorEastAsia" w:hAnsi="Roboto Condensed"/>
          <w:b/>
          <w:bCs/>
          <w:spacing w:val="2"/>
          <w:sz w:val="27"/>
          <w:szCs w:val="27"/>
        </w:rPr>
        <w:t>concepto </w:t>
      </w:r>
      <w:r>
        <w:rPr>
          <w:rFonts w:ascii="Roboto Condensed" w:hAnsi="Roboto Condensed"/>
          <w:spacing w:val="2"/>
          <w:sz w:val="27"/>
          <w:szCs w:val="27"/>
        </w:rPr>
        <w:t>DIAN objeto de disenso, en el cual se replica la aproximación amplia al </w:t>
      </w:r>
      <w:r>
        <w:rPr>
          <w:rStyle w:val="baj"/>
          <w:rFonts w:ascii="Roboto Condensed" w:eastAsiaTheme="majorEastAsia" w:hAnsi="Roboto Condensed"/>
          <w:b/>
          <w:bCs/>
          <w:spacing w:val="2"/>
          <w:sz w:val="27"/>
          <w:szCs w:val="27"/>
        </w:rPr>
        <w:t>concepto </w:t>
      </w:r>
      <w:r>
        <w:rPr>
          <w:rFonts w:ascii="Roboto Condensed" w:hAnsi="Roboto Condensed"/>
          <w:spacing w:val="2"/>
          <w:sz w:val="27"/>
          <w:szCs w:val="27"/>
        </w:rPr>
        <w:t>de “enajenación a cualquier título” desarrollada por el Consejo de Estado.</w:t>
      </w:r>
    </w:p>
    <w:p w14:paraId="6D4CD7D4" w14:textId="77777777" w:rsidR="00CB7978" w:rsidRDefault="00CB7978" w:rsidP="0073593F">
      <w:pPr>
        <w:pStyle w:val="NormalWeb"/>
        <w:spacing w:before="0" w:beforeAutospacing="0" w:after="0" w:afterAutospacing="0" w:line="480" w:lineRule="atLeast"/>
        <w:jc w:val="both"/>
        <w:rPr>
          <w:rFonts w:ascii="Roboto Condensed" w:hAnsi="Roboto Condensed"/>
          <w:spacing w:val="2"/>
          <w:sz w:val="27"/>
          <w:szCs w:val="27"/>
        </w:rPr>
      </w:pPr>
    </w:p>
    <w:p w14:paraId="109C9C25" w14:textId="77777777" w:rsidR="00CB7978" w:rsidRPr="00CB7978" w:rsidRDefault="0073593F" w:rsidP="0073593F">
      <w:pPr>
        <w:pStyle w:val="NormalWeb"/>
        <w:spacing w:before="0" w:beforeAutospacing="0" w:after="0" w:afterAutospacing="0" w:line="480" w:lineRule="atLeast"/>
        <w:jc w:val="both"/>
        <w:rPr>
          <w:rFonts w:ascii="Roboto Condensed" w:hAnsi="Roboto Condensed"/>
          <w:spacing w:val="2"/>
          <w:sz w:val="27"/>
          <w:szCs w:val="27"/>
          <w:highlight w:val="yellow"/>
        </w:rPr>
      </w:pPr>
      <w:r>
        <w:rPr>
          <w:rFonts w:ascii="Roboto Condensed" w:hAnsi="Roboto Condensed"/>
          <w:spacing w:val="2"/>
          <w:sz w:val="27"/>
          <w:szCs w:val="27"/>
        </w:rPr>
        <w:t>Ahora bien, en concordancia con el artículo </w:t>
      </w:r>
      <w:hyperlink r:id="rId22" w:anchor="530" w:history="1">
        <w:r>
          <w:rPr>
            <w:rStyle w:val="Hipervnculo"/>
            <w:rFonts w:ascii="Roboto Condensed" w:eastAsiaTheme="majorEastAsia" w:hAnsi="Roboto Condensed"/>
            <w:spacing w:val="2"/>
            <w:sz w:val="27"/>
            <w:szCs w:val="27"/>
          </w:rPr>
          <w:t>530</w:t>
        </w:r>
      </w:hyperlink>
      <w:r>
        <w:rPr>
          <w:rFonts w:ascii="Roboto Condensed" w:hAnsi="Roboto Condensed"/>
          <w:spacing w:val="2"/>
          <w:sz w:val="27"/>
          <w:szCs w:val="27"/>
        </w:rPr>
        <w:t xml:space="preserve"> del ET, la Corte ha sostenido que existen eventos que suponen una enajenación y, aun así, no están gravados con el </w:t>
      </w:r>
      <w:r>
        <w:rPr>
          <w:rFonts w:ascii="Roboto Condensed" w:hAnsi="Roboto Condensed"/>
          <w:spacing w:val="2"/>
          <w:sz w:val="27"/>
          <w:szCs w:val="27"/>
        </w:rPr>
        <w:lastRenderedPageBreak/>
        <w:t xml:space="preserve">impuesto de timbre. </w:t>
      </w:r>
      <w:r w:rsidRPr="00CB7978">
        <w:rPr>
          <w:rFonts w:ascii="Roboto Condensed" w:hAnsi="Roboto Condensed"/>
          <w:spacing w:val="2"/>
          <w:sz w:val="27"/>
          <w:szCs w:val="27"/>
          <w:highlight w:val="yellow"/>
        </w:rPr>
        <w:t xml:space="preserve">Esto sucede porque el Legislador, en el marco de su libertad de configuración, contempló expresamente eventos en los que el impuesto no se causa. </w:t>
      </w:r>
    </w:p>
    <w:p w14:paraId="3788441E" w14:textId="77777777" w:rsidR="00CB7978" w:rsidRPr="00CB7978" w:rsidRDefault="00CB7978" w:rsidP="0073593F">
      <w:pPr>
        <w:pStyle w:val="NormalWeb"/>
        <w:spacing w:before="0" w:beforeAutospacing="0" w:after="0" w:afterAutospacing="0" w:line="480" w:lineRule="atLeast"/>
        <w:jc w:val="both"/>
        <w:rPr>
          <w:rFonts w:ascii="Roboto Condensed" w:hAnsi="Roboto Condensed"/>
          <w:spacing w:val="2"/>
          <w:sz w:val="27"/>
          <w:szCs w:val="27"/>
          <w:highlight w:val="yellow"/>
        </w:rPr>
      </w:pPr>
    </w:p>
    <w:p w14:paraId="16A72AB7" w14:textId="631F0178"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sidRPr="00CB7978">
        <w:rPr>
          <w:rFonts w:ascii="Roboto Condensed" w:hAnsi="Roboto Condensed"/>
          <w:spacing w:val="2"/>
          <w:sz w:val="27"/>
          <w:szCs w:val="27"/>
          <w:highlight w:val="yellow"/>
        </w:rPr>
        <w:t>Algunos de estos ejemplos son:</w:t>
      </w:r>
    </w:p>
    <w:p w14:paraId="10DDE1C0" w14:textId="77777777" w:rsidR="00CB7978" w:rsidRDefault="00CB7978" w:rsidP="0073593F">
      <w:pPr>
        <w:pStyle w:val="NormalWeb"/>
        <w:spacing w:before="0" w:beforeAutospacing="0" w:after="0" w:afterAutospacing="0" w:line="480" w:lineRule="atLeast"/>
        <w:jc w:val="both"/>
        <w:rPr>
          <w:rFonts w:ascii="Roboto Condensed" w:hAnsi="Roboto Condensed"/>
          <w:spacing w:val="2"/>
          <w:sz w:val="27"/>
          <w:szCs w:val="27"/>
        </w:rPr>
      </w:pPr>
    </w:p>
    <w:p w14:paraId="261E7A9C" w14:textId="3800C6F8"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sidRPr="00CB7978">
        <w:rPr>
          <w:rFonts w:ascii="Roboto Condensed" w:hAnsi="Roboto Condensed"/>
          <w:spacing w:val="2"/>
          <w:sz w:val="27"/>
          <w:szCs w:val="27"/>
          <w:highlight w:val="yellow"/>
        </w:rPr>
        <w:t>1. La transferencia de un inmueble como consecuencia de la liquidación de la sociedad conyugal</w:t>
      </w:r>
      <w:hyperlink r:id="rId23" w:anchor="NF6" w:history="1">
        <w:r w:rsidRPr="00CB7978">
          <w:rPr>
            <w:rStyle w:val="baj"/>
            <w:rFonts w:ascii="Roboto Condensed" w:eastAsiaTheme="majorEastAsia" w:hAnsi="Roboto Condensed"/>
            <w:b/>
            <w:bCs/>
            <w:color w:val="0000FF"/>
            <w:spacing w:val="2"/>
            <w:sz w:val="27"/>
            <w:szCs w:val="27"/>
            <w:highlight w:val="yellow"/>
            <w:u w:val="single"/>
            <w:vertAlign w:val="superscript"/>
          </w:rPr>
          <w:t>[6]</w:t>
        </w:r>
      </w:hyperlink>
      <w:r w:rsidRPr="00CB7978">
        <w:rPr>
          <w:rFonts w:ascii="Roboto Condensed" w:hAnsi="Roboto Condensed"/>
          <w:spacing w:val="2"/>
          <w:sz w:val="27"/>
          <w:szCs w:val="27"/>
          <w:highlight w:val="yellow"/>
        </w:rPr>
        <w:t>.</w:t>
      </w:r>
    </w:p>
    <w:p w14:paraId="71BAB738" w14:textId="77777777" w:rsidR="00CB7978" w:rsidRDefault="00CB7978" w:rsidP="0073593F">
      <w:pPr>
        <w:pStyle w:val="NormalWeb"/>
        <w:spacing w:before="0" w:beforeAutospacing="0" w:after="0" w:afterAutospacing="0" w:line="480" w:lineRule="atLeast"/>
        <w:jc w:val="both"/>
        <w:rPr>
          <w:rFonts w:ascii="Roboto Condensed" w:hAnsi="Roboto Condensed"/>
          <w:spacing w:val="2"/>
          <w:sz w:val="27"/>
          <w:szCs w:val="27"/>
        </w:rPr>
      </w:pPr>
    </w:p>
    <w:p w14:paraId="7A527B20" w14:textId="01A9FF7B"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Pr>
          <w:rFonts w:ascii="Roboto Condensed" w:hAnsi="Roboto Condensed"/>
          <w:spacing w:val="2"/>
          <w:sz w:val="27"/>
          <w:szCs w:val="27"/>
        </w:rPr>
        <w:t>2. Los aportes de inmuebles a sociedades nacionales</w:t>
      </w:r>
      <w:hyperlink r:id="rId24" w:anchor="NF7" w:history="1">
        <w:r>
          <w:rPr>
            <w:rStyle w:val="baj"/>
            <w:rFonts w:ascii="Roboto Condensed" w:eastAsiaTheme="majorEastAsia" w:hAnsi="Roboto Condensed"/>
            <w:b/>
            <w:bCs/>
            <w:color w:val="0000FF"/>
            <w:spacing w:val="2"/>
            <w:sz w:val="27"/>
            <w:szCs w:val="27"/>
            <w:u w:val="single"/>
            <w:vertAlign w:val="superscript"/>
          </w:rPr>
          <w:t>[7]</w:t>
        </w:r>
      </w:hyperlink>
      <w:r>
        <w:rPr>
          <w:rFonts w:ascii="Roboto Condensed" w:hAnsi="Roboto Condensed"/>
          <w:spacing w:val="2"/>
          <w:sz w:val="27"/>
          <w:szCs w:val="27"/>
        </w:rPr>
        <w:t>.</w:t>
      </w:r>
    </w:p>
    <w:p w14:paraId="4C76BAF1" w14:textId="77777777" w:rsidR="00CB7978" w:rsidRDefault="00CB7978" w:rsidP="0073593F">
      <w:pPr>
        <w:pStyle w:val="NormalWeb"/>
        <w:spacing w:before="0" w:beforeAutospacing="0" w:after="0" w:afterAutospacing="0" w:line="480" w:lineRule="atLeast"/>
        <w:jc w:val="both"/>
        <w:rPr>
          <w:rFonts w:ascii="Roboto Condensed" w:hAnsi="Roboto Condensed"/>
          <w:spacing w:val="2"/>
          <w:sz w:val="27"/>
          <w:szCs w:val="27"/>
        </w:rPr>
      </w:pPr>
    </w:p>
    <w:p w14:paraId="494A6D44" w14:textId="2313DFA0"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Pr>
          <w:rFonts w:ascii="Roboto Condensed" w:hAnsi="Roboto Condensed"/>
          <w:spacing w:val="2"/>
          <w:sz w:val="27"/>
          <w:szCs w:val="27"/>
        </w:rPr>
        <w:t xml:space="preserve">3. La transferencia de inmuebles en procesos de fusiones o escisiones adquisitivas o </w:t>
      </w:r>
      <w:proofErr w:type="spellStart"/>
      <w:r>
        <w:rPr>
          <w:rFonts w:ascii="Roboto Condensed" w:hAnsi="Roboto Condensed"/>
          <w:spacing w:val="2"/>
          <w:sz w:val="27"/>
          <w:szCs w:val="27"/>
        </w:rPr>
        <w:t>reorganizativas</w:t>
      </w:r>
      <w:proofErr w:type="spellEnd"/>
      <w:r>
        <w:rPr>
          <w:rFonts w:ascii="Roboto Condensed" w:hAnsi="Roboto Condensed"/>
          <w:spacing w:val="2"/>
          <w:sz w:val="27"/>
          <w:szCs w:val="27"/>
        </w:rPr>
        <w:fldChar w:fldCharType="begin"/>
      </w:r>
      <w:r>
        <w:rPr>
          <w:rFonts w:ascii="Roboto Condensed" w:hAnsi="Roboto Condensed"/>
          <w:spacing w:val="2"/>
          <w:sz w:val="27"/>
          <w:szCs w:val="27"/>
        </w:rPr>
        <w:instrText>HYPERLINK "https://normograma.dian.gov.co/dian/compilacion/docs/oficio_dian_0302_2024.htm" \l "NF8"</w:instrText>
      </w:r>
      <w:r>
        <w:rPr>
          <w:rFonts w:ascii="Roboto Condensed" w:hAnsi="Roboto Condensed"/>
          <w:spacing w:val="2"/>
          <w:sz w:val="27"/>
          <w:szCs w:val="27"/>
        </w:rPr>
      </w:r>
      <w:r>
        <w:rPr>
          <w:rFonts w:ascii="Roboto Condensed" w:hAnsi="Roboto Condensed"/>
          <w:spacing w:val="2"/>
          <w:sz w:val="27"/>
          <w:szCs w:val="27"/>
        </w:rPr>
        <w:fldChar w:fldCharType="separate"/>
      </w:r>
      <w:r>
        <w:rPr>
          <w:rStyle w:val="baj"/>
          <w:rFonts w:ascii="Roboto Condensed" w:eastAsiaTheme="majorEastAsia" w:hAnsi="Roboto Condensed"/>
          <w:b/>
          <w:bCs/>
          <w:color w:val="0000FF"/>
          <w:spacing w:val="2"/>
          <w:sz w:val="27"/>
          <w:szCs w:val="27"/>
          <w:u w:val="single"/>
          <w:vertAlign w:val="superscript"/>
        </w:rPr>
        <w:t>[8]</w:t>
      </w:r>
      <w:r>
        <w:rPr>
          <w:rFonts w:ascii="Roboto Condensed" w:hAnsi="Roboto Condensed"/>
          <w:spacing w:val="2"/>
          <w:sz w:val="27"/>
          <w:szCs w:val="27"/>
        </w:rPr>
        <w:fldChar w:fldCharType="end"/>
      </w:r>
      <w:r>
        <w:rPr>
          <w:rFonts w:ascii="Roboto Condensed" w:hAnsi="Roboto Condensed"/>
          <w:spacing w:val="2"/>
          <w:sz w:val="27"/>
          <w:szCs w:val="27"/>
        </w:rPr>
        <w:t>.</w:t>
      </w:r>
    </w:p>
    <w:p w14:paraId="3641FCB3" w14:textId="77777777" w:rsidR="00CB7978" w:rsidRDefault="00CB7978" w:rsidP="0073593F">
      <w:pPr>
        <w:pStyle w:val="NormalWeb"/>
        <w:spacing w:before="0" w:beforeAutospacing="0" w:after="0" w:afterAutospacing="0" w:line="480" w:lineRule="atLeast"/>
        <w:jc w:val="both"/>
        <w:rPr>
          <w:rFonts w:ascii="Roboto Condensed" w:hAnsi="Roboto Condensed"/>
          <w:spacing w:val="2"/>
          <w:sz w:val="27"/>
          <w:szCs w:val="27"/>
        </w:rPr>
      </w:pPr>
    </w:p>
    <w:p w14:paraId="474EA03F" w14:textId="01EE83C6"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Pr>
          <w:rFonts w:ascii="Roboto Condensed" w:hAnsi="Roboto Condensed"/>
          <w:spacing w:val="2"/>
          <w:sz w:val="27"/>
          <w:szCs w:val="27"/>
        </w:rPr>
        <w:t>4. Las escrituras públicas de enajenación de inmuebles para para viviendas urbanas clasificadas en los estratos uno, dos y tres</w:t>
      </w:r>
      <w:hyperlink r:id="rId25" w:anchor="NF9" w:history="1">
        <w:r>
          <w:rPr>
            <w:rStyle w:val="baj"/>
            <w:rFonts w:ascii="Roboto Condensed" w:eastAsiaTheme="majorEastAsia" w:hAnsi="Roboto Condensed"/>
            <w:b/>
            <w:bCs/>
            <w:color w:val="0000FF"/>
            <w:spacing w:val="2"/>
            <w:sz w:val="27"/>
            <w:szCs w:val="27"/>
            <w:u w:val="single"/>
            <w:vertAlign w:val="superscript"/>
          </w:rPr>
          <w:t>[9]</w:t>
        </w:r>
      </w:hyperlink>
      <w:r>
        <w:rPr>
          <w:rFonts w:ascii="Roboto Condensed" w:hAnsi="Roboto Condensed"/>
          <w:spacing w:val="2"/>
          <w:sz w:val="27"/>
          <w:szCs w:val="27"/>
        </w:rPr>
        <w:t>.</w:t>
      </w:r>
    </w:p>
    <w:p w14:paraId="313CA25A" w14:textId="77777777" w:rsidR="00CB7978" w:rsidRDefault="00CB7978" w:rsidP="0073593F">
      <w:pPr>
        <w:pStyle w:val="NormalWeb"/>
        <w:spacing w:before="0" w:beforeAutospacing="0" w:after="0" w:afterAutospacing="0" w:line="480" w:lineRule="atLeast"/>
        <w:jc w:val="both"/>
        <w:rPr>
          <w:rFonts w:ascii="Roboto Condensed" w:hAnsi="Roboto Condensed"/>
          <w:spacing w:val="2"/>
          <w:sz w:val="27"/>
          <w:szCs w:val="27"/>
        </w:rPr>
      </w:pPr>
    </w:p>
    <w:p w14:paraId="2E6662DC" w14:textId="1C883A98"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Pr>
          <w:rFonts w:ascii="Roboto Condensed" w:hAnsi="Roboto Condensed"/>
          <w:spacing w:val="2"/>
          <w:sz w:val="27"/>
          <w:szCs w:val="27"/>
        </w:rPr>
        <w:t>5. La transferencia de inmuebles cuyo valor sea inferior a 20.000 UVT</w:t>
      </w:r>
      <w:hyperlink r:id="rId26" w:anchor="NF10" w:history="1">
        <w:r>
          <w:rPr>
            <w:rStyle w:val="baj"/>
            <w:rFonts w:ascii="Roboto Condensed" w:eastAsiaTheme="majorEastAsia" w:hAnsi="Roboto Condensed"/>
            <w:b/>
            <w:bCs/>
            <w:color w:val="0000FF"/>
            <w:spacing w:val="2"/>
            <w:sz w:val="27"/>
            <w:szCs w:val="27"/>
            <w:u w:val="single"/>
            <w:vertAlign w:val="superscript"/>
          </w:rPr>
          <w:t>[10]</w:t>
        </w:r>
      </w:hyperlink>
      <w:r>
        <w:rPr>
          <w:rFonts w:ascii="Roboto Condensed" w:hAnsi="Roboto Condensed"/>
          <w:spacing w:val="2"/>
          <w:sz w:val="27"/>
          <w:szCs w:val="27"/>
        </w:rPr>
        <w:t>.</w:t>
      </w:r>
    </w:p>
    <w:p w14:paraId="2289F909" w14:textId="77777777" w:rsidR="00CB7978" w:rsidRDefault="00CB7978" w:rsidP="0073593F">
      <w:pPr>
        <w:pStyle w:val="NormalWeb"/>
        <w:spacing w:before="0" w:beforeAutospacing="0" w:after="0" w:afterAutospacing="0" w:line="480" w:lineRule="atLeast"/>
        <w:jc w:val="both"/>
        <w:rPr>
          <w:rFonts w:ascii="Roboto Condensed" w:hAnsi="Roboto Condensed"/>
          <w:spacing w:val="2"/>
          <w:sz w:val="27"/>
          <w:szCs w:val="27"/>
        </w:rPr>
      </w:pPr>
    </w:p>
    <w:p w14:paraId="28EB60D3" w14:textId="7E2D14F5"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Pr>
          <w:rFonts w:ascii="Roboto Condensed" w:hAnsi="Roboto Condensed"/>
          <w:spacing w:val="2"/>
          <w:sz w:val="27"/>
          <w:szCs w:val="27"/>
        </w:rPr>
        <w:t>6. La transferencia de inmuebles cuya transferencia fue gravada previamente con el impuesto de timbre</w:t>
      </w:r>
      <w:hyperlink r:id="rId27" w:anchor="NF11" w:history="1">
        <w:r>
          <w:rPr>
            <w:rStyle w:val="baj"/>
            <w:rFonts w:ascii="Roboto Condensed" w:eastAsiaTheme="majorEastAsia" w:hAnsi="Roboto Condensed"/>
            <w:b/>
            <w:bCs/>
            <w:color w:val="0000FF"/>
            <w:spacing w:val="2"/>
            <w:sz w:val="27"/>
            <w:szCs w:val="27"/>
            <w:u w:val="single"/>
            <w:vertAlign w:val="superscript"/>
          </w:rPr>
          <w:t>[11]</w:t>
        </w:r>
      </w:hyperlink>
      <w:r>
        <w:rPr>
          <w:rFonts w:ascii="Roboto Condensed" w:hAnsi="Roboto Condensed"/>
          <w:spacing w:val="2"/>
          <w:sz w:val="27"/>
          <w:szCs w:val="27"/>
        </w:rPr>
        <w:t>.</w:t>
      </w:r>
    </w:p>
    <w:p w14:paraId="4A37AB66" w14:textId="77777777" w:rsidR="00CB7978" w:rsidRDefault="00CB7978" w:rsidP="0073593F">
      <w:pPr>
        <w:pStyle w:val="NormalWeb"/>
        <w:spacing w:before="0" w:beforeAutospacing="0" w:after="0" w:afterAutospacing="0" w:line="480" w:lineRule="atLeast"/>
        <w:jc w:val="both"/>
        <w:rPr>
          <w:rFonts w:ascii="Roboto Condensed" w:hAnsi="Roboto Condensed"/>
          <w:spacing w:val="2"/>
          <w:sz w:val="27"/>
          <w:szCs w:val="27"/>
        </w:rPr>
      </w:pPr>
    </w:p>
    <w:p w14:paraId="68EE3C64" w14:textId="222395D4"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Pr>
          <w:rFonts w:ascii="Roboto Condensed" w:hAnsi="Roboto Condensed"/>
          <w:spacing w:val="2"/>
          <w:sz w:val="27"/>
          <w:szCs w:val="27"/>
        </w:rPr>
        <w:t>Así, en ausencia de un tratamiento exceptivo previsto por la ley respecto de las sucesiones que involucran la transferencia de bienes inmuebles mediante escrituras públicas </w:t>
      </w:r>
      <w:r w:rsidRPr="00CB7978">
        <w:rPr>
          <w:rStyle w:val="baj"/>
          <w:rFonts w:ascii="Roboto Condensed" w:eastAsiaTheme="majorEastAsia" w:hAnsi="Roboto Condensed"/>
          <w:b/>
          <w:bCs/>
          <w:spacing w:val="2"/>
          <w:sz w:val="27"/>
          <w:szCs w:val="27"/>
          <w:highlight w:val="cyan"/>
        </w:rPr>
        <w:t>se confirma </w:t>
      </w:r>
      <w:r w:rsidRPr="00CB7978">
        <w:rPr>
          <w:rFonts w:ascii="Roboto Condensed" w:hAnsi="Roboto Condensed"/>
          <w:spacing w:val="2"/>
          <w:sz w:val="27"/>
          <w:szCs w:val="27"/>
          <w:highlight w:val="cyan"/>
        </w:rPr>
        <w:t>lo concluido en el punto </w:t>
      </w:r>
      <w:hyperlink r:id="rId28" w:anchor="3.2-I" w:history="1">
        <w:r w:rsidRPr="00CB7978">
          <w:rPr>
            <w:rStyle w:val="Hipervnculo"/>
            <w:rFonts w:ascii="Roboto Condensed" w:eastAsiaTheme="majorEastAsia" w:hAnsi="Roboto Condensed"/>
            <w:spacing w:val="2"/>
            <w:sz w:val="27"/>
            <w:szCs w:val="27"/>
            <w:highlight w:val="cyan"/>
          </w:rPr>
          <w:t>3.2</w:t>
        </w:r>
      </w:hyperlink>
      <w:r w:rsidRPr="00CB7978">
        <w:rPr>
          <w:rFonts w:ascii="Roboto Condensed" w:hAnsi="Roboto Condensed"/>
          <w:spacing w:val="2"/>
          <w:sz w:val="27"/>
          <w:szCs w:val="27"/>
          <w:highlight w:val="cyan"/>
        </w:rPr>
        <w:t> del </w:t>
      </w:r>
      <w:r w:rsidRPr="00CB7978">
        <w:rPr>
          <w:rStyle w:val="baj"/>
          <w:rFonts w:ascii="Roboto Condensed" w:eastAsiaTheme="majorEastAsia" w:hAnsi="Roboto Condensed"/>
          <w:b/>
          <w:bCs/>
          <w:spacing w:val="2"/>
          <w:sz w:val="27"/>
          <w:szCs w:val="27"/>
          <w:highlight w:val="cyan"/>
        </w:rPr>
        <w:t>Concepto </w:t>
      </w:r>
      <w:r w:rsidRPr="00CB7978">
        <w:rPr>
          <w:rFonts w:ascii="Roboto Condensed" w:hAnsi="Roboto Condensed"/>
          <w:spacing w:val="2"/>
          <w:sz w:val="27"/>
          <w:szCs w:val="27"/>
          <w:highlight w:val="cyan"/>
        </w:rPr>
        <w:t>00</w:t>
      </w:r>
      <w:hyperlink r:id="rId29" w:anchor="0" w:history="1">
        <w:r w:rsidRPr="00CB7978">
          <w:rPr>
            <w:rStyle w:val="Hipervnculo"/>
            <w:rFonts w:ascii="Roboto Condensed" w:eastAsiaTheme="majorEastAsia" w:hAnsi="Roboto Condensed"/>
            <w:spacing w:val="2"/>
            <w:sz w:val="27"/>
            <w:szCs w:val="27"/>
            <w:highlight w:val="cyan"/>
          </w:rPr>
          <w:t>6453</w:t>
        </w:r>
      </w:hyperlink>
      <w:r w:rsidRPr="00CB7978">
        <w:rPr>
          <w:rFonts w:ascii="Roboto Condensed" w:hAnsi="Roboto Condensed"/>
          <w:spacing w:val="2"/>
          <w:sz w:val="27"/>
          <w:szCs w:val="27"/>
          <w:highlight w:val="cyan"/>
        </w:rPr>
        <w:t> - interno 622 del 30 de mayo de 2023 (Adición al </w:t>
      </w:r>
      <w:r w:rsidRPr="00CB7978">
        <w:rPr>
          <w:rStyle w:val="baj"/>
          <w:rFonts w:ascii="Roboto Condensed" w:eastAsiaTheme="majorEastAsia" w:hAnsi="Roboto Condensed"/>
          <w:b/>
          <w:bCs/>
          <w:spacing w:val="2"/>
          <w:sz w:val="27"/>
          <w:szCs w:val="27"/>
          <w:highlight w:val="cyan"/>
        </w:rPr>
        <w:t>Concepto </w:t>
      </w:r>
      <w:r w:rsidRPr="00CB7978">
        <w:rPr>
          <w:rFonts w:ascii="Roboto Condensed" w:hAnsi="Roboto Condensed"/>
          <w:spacing w:val="2"/>
          <w:sz w:val="27"/>
          <w:szCs w:val="27"/>
          <w:highlight w:val="cyan"/>
        </w:rPr>
        <w:t>General sobre el impuesto de timbre nacional «el Impuesto en adelante» con motivo de la Ley </w:t>
      </w:r>
      <w:hyperlink r:id="rId30" w:anchor="0" w:history="1">
        <w:r w:rsidRPr="00CB7978">
          <w:rPr>
            <w:rStyle w:val="Hipervnculo"/>
            <w:rFonts w:ascii="Roboto Condensed" w:eastAsiaTheme="majorEastAsia" w:hAnsi="Roboto Condensed"/>
            <w:spacing w:val="2"/>
            <w:sz w:val="27"/>
            <w:szCs w:val="27"/>
            <w:highlight w:val="cyan"/>
          </w:rPr>
          <w:t>2277</w:t>
        </w:r>
      </w:hyperlink>
      <w:r w:rsidRPr="00CB7978">
        <w:rPr>
          <w:rFonts w:ascii="Roboto Condensed" w:hAnsi="Roboto Condensed"/>
          <w:spacing w:val="2"/>
          <w:sz w:val="27"/>
          <w:szCs w:val="27"/>
          <w:highlight w:val="cyan"/>
        </w:rPr>
        <w:t> de 2022).</w:t>
      </w:r>
    </w:p>
    <w:p w14:paraId="168CF2AD" w14:textId="77777777" w:rsidR="00CB7978" w:rsidRDefault="00CB7978" w:rsidP="0073593F">
      <w:pPr>
        <w:pStyle w:val="NormalWeb"/>
        <w:spacing w:before="0" w:beforeAutospacing="0" w:after="0" w:afterAutospacing="0" w:line="480" w:lineRule="atLeast"/>
        <w:jc w:val="both"/>
        <w:rPr>
          <w:rFonts w:ascii="Roboto Condensed" w:hAnsi="Roboto Condensed"/>
          <w:spacing w:val="2"/>
          <w:sz w:val="27"/>
          <w:szCs w:val="27"/>
        </w:rPr>
      </w:pPr>
    </w:p>
    <w:p w14:paraId="168FBBF2" w14:textId="54B74989"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Pr>
          <w:rFonts w:ascii="Roboto Condensed" w:hAnsi="Roboto Condensed"/>
          <w:spacing w:val="2"/>
          <w:sz w:val="27"/>
          <w:szCs w:val="27"/>
        </w:rPr>
        <w:t>En los anteriores términos se resuelve su solicitud y finalmente le manifestamos que la Dirección de Impuestos y Aduanas Nacionales -DIAN-, con el fin de facilitar a los contribuyentes, usuarios y público en general el acceso directo a sus pronunciamientos doctrinarios, ha publicado en su página de internet </w:t>
      </w:r>
      <w:r>
        <w:rPr>
          <w:rFonts w:ascii="Roboto Condensed" w:hAnsi="Roboto Condensed"/>
          <w:spacing w:val="2"/>
          <w:sz w:val="27"/>
          <w:szCs w:val="27"/>
          <w:u w:val="single"/>
        </w:rPr>
        <w:t>www.dian.gov.co</w:t>
      </w:r>
      <w:r>
        <w:rPr>
          <w:rFonts w:ascii="Roboto Condensed" w:hAnsi="Roboto Condensed"/>
          <w:spacing w:val="2"/>
          <w:sz w:val="27"/>
          <w:szCs w:val="27"/>
        </w:rPr>
        <w:t>, la base de </w:t>
      </w:r>
      <w:r>
        <w:rPr>
          <w:rStyle w:val="baj"/>
          <w:rFonts w:ascii="Roboto Condensed" w:eastAsiaTheme="majorEastAsia" w:hAnsi="Roboto Condensed"/>
          <w:b/>
          <w:bCs/>
          <w:spacing w:val="2"/>
          <w:sz w:val="27"/>
          <w:szCs w:val="27"/>
        </w:rPr>
        <w:t>concepto</w:t>
      </w:r>
      <w:r>
        <w:rPr>
          <w:rFonts w:ascii="Roboto Condensed" w:hAnsi="Roboto Condensed"/>
          <w:spacing w:val="2"/>
          <w:sz w:val="27"/>
          <w:szCs w:val="27"/>
        </w:rPr>
        <w:t xml:space="preserve">s en materia tributaria, aduanera y cambiaria expedidos desde el año 2001, la cual se puede ingresar por el icono de “Normatividad” -“Doctrina”, dando </w:t>
      </w:r>
      <w:proofErr w:type="spellStart"/>
      <w:r>
        <w:rPr>
          <w:rFonts w:ascii="Roboto Condensed" w:hAnsi="Roboto Condensed"/>
          <w:spacing w:val="2"/>
          <w:sz w:val="27"/>
          <w:szCs w:val="27"/>
        </w:rPr>
        <w:t>click</w:t>
      </w:r>
      <w:proofErr w:type="spellEnd"/>
      <w:r>
        <w:rPr>
          <w:rFonts w:ascii="Roboto Condensed" w:hAnsi="Roboto Condensed"/>
          <w:spacing w:val="2"/>
          <w:sz w:val="27"/>
          <w:szCs w:val="27"/>
        </w:rPr>
        <w:t xml:space="preserve"> en el link “Doctrina Dirección de Gestión Jurídica”.</w:t>
      </w:r>
    </w:p>
    <w:p w14:paraId="2329F0CF" w14:textId="77777777"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bookmarkStart w:id="0" w:name="NF"/>
      <w:r>
        <w:rPr>
          <w:rStyle w:val="letra8pt"/>
          <w:rFonts w:ascii="Roboto Condensed" w:eastAsiaTheme="majorEastAsia" w:hAnsi="Roboto Condensed"/>
          <w:spacing w:val="2"/>
          <w:sz w:val="27"/>
          <w:szCs w:val="27"/>
          <w:u w:val="single"/>
        </w:rPr>
        <w:lastRenderedPageBreak/>
        <w:t>&lt;NOTAS DE PIE DE PÁGINA&gt;.</w:t>
      </w:r>
      <w:bookmarkEnd w:id="0"/>
    </w:p>
    <w:p w14:paraId="26CCCA78" w14:textId="77777777" w:rsidR="00CB7978" w:rsidRDefault="00CB7978" w:rsidP="0073593F">
      <w:pPr>
        <w:pStyle w:val="NormalWeb"/>
        <w:spacing w:before="0" w:beforeAutospacing="0" w:after="0" w:afterAutospacing="0" w:line="480" w:lineRule="atLeast"/>
        <w:jc w:val="both"/>
        <w:rPr>
          <w:rStyle w:val="baj"/>
          <w:rFonts w:ascii="Roboto Condensed" w:eastAsiaTheme="majorEastAsia" w:hAnsi="Roboto Condensed"/>
          <w:spacing w:val="2"/>
          <w:sz w:val="27"/>
          <w:szCs w:val="27"/>
          <w:u w:val="single"/>
        </w:rPr>
      </w:pPr>
      <w:bookmarkStart w:id="1" w:name="NF1"/>
    </w:p>
    <w:p w14:paraId="1B07EA07" w14:textId="50AA0D4B"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r>
        <w:rPr>
          <w:rStyle w:val="baj"/>
          <w:rFonts w:ascii="Roboto Condensed" w:eastAsiaTheme="majorEastAsia" w:hAnsi="Roboto Condensed"/>
          <w:spacing w:val="2"/>
          <w:sz w:val="27"/>
          <w:szCs w:val="27"/>
          <w:u w:val="single"/>
        </w:rPr>
        <w:t>1. </w:t>
      </w:r>
      <w:bookmarkEnd w:id="1"/>
      <w:r>
        <w:rPr>
          <w:rStyle w:val="baj"/>
          <w:rFonts w:ascii="Roboto Condensed" w:eastAsiaTheme="majorEastAsia" w:hAnsi="Roboto Condensed"/>
          <w:b/>
          <w:bCs/>
          <w:spacing w:val="2"/>
          <w:sz w:val="27"/>
          <w:szCs w:val="27"/>
        </w:rPr>
        <w:t xml:space="preserve">Ver: </w:t>
      </w:r>
      <w:proofErr w:type="spellStart"/>
      <w:r>
        <w:rPr>
          <w:rStyle w:val="baj"/>
          <w:rFonts w:ascii="Roboto Condensed" w:eastAsiaTheme="majorEastAsia" w:hAnsi="Roboto Condensed"/>
          <w:b/>
          <w:bCs/>
          <w:spacing w:val="2"/>
          <w:sz w:val="27"/>
          <w:szCs w:val="27"/>
        </w:rPr>
        <w:t>Num</w:t>
      </w:r>
      <w:proofErr w:type="spellEnd"/>
      <w:r>
        <w:rPr>
          <w:rStyle w:val="baj"/>
          <w:rFonts w:ascii="Roboto Condensed" w:eastAsiaTheme="majorEastAsia" w:hAnsi="Roboto Condensed"/>
          <w:b/>
          <w:bCs/>
          <w:spacing w:val="2"/>
          <w:sz w:val="27"/>
          <w:szCs w:val="27"/>
        </w:rPr>
        <w:t>. 20, Art. </w:t>
      </w:r>
      <w:hyperlink r:id="rId31" w:anchor="55" w:history="1">
        <w:r>
          <w:rPr>
            <w:rStyle w:val="Hipervnculo"/>
            <w:rFonts w:ascii="Roboto Condensed" w:eastAsiaTheme="majorEastAsia" w:hAnsi="Roboto Condensed"/>
            <w:spacing w:val="2"/>
            <w:sz w:val="27"/>
            <w:szCs w:val="27"/>
          </w:rPr>
          <w:t>55</w:t>
        </w:r>
      </w:hyperlink>
      <w:r>
        <w:rPr>
          <w:rStyle w:val="baj"/>
          <w:rFonts w:ascii="Roboto Condensed" w:eastAsiaTheme="majorEastAsia" w:hAnsi="Roboto Condensed"/>
          <w:b/>
          <w:bCs/>
          <w:spacing w:val="2"/>
          <w:sz w:val="27"/>
          <w:szCs w:val="27"/>
        </w:rPr>
        <w:t>, Decreto 1742 de 2020.</w:t>
      </w:r>
    </w:p>
    <w:p w14:paraId="19A9C432" w14:textId="77777777"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bookmarkStart w:id="2" w:name="NF2"/>
      <w:r>
        <w:rPr>
          <w:rStyle w:val="baj"/>
          <w:rFonts w:ascii="Roboto Condensed" w:eastAsiaTheme="majorEastAsia" w:hAnsi="Roboto Condensed"/>
          <w:spacing w:val="2"/>
          <w:sz w:val="27"/>
          <w:szCs w:val="27"/>
          <w:u w:val="single"/>
        </w:rPr>
        <w:t>2. </w:t>
      </w:r>
      <w:bookmarkEnd w:id="2"/>
      <w:r>
        <w:rPr>
          <w:rStyle w:val="baj"/>
          <w:rFonts w:ascii="Roboto Condensed" w:eastAsiaTheme="majorEastAsia" w:hAnsi="Roboto Condensed"/>
          <w:b/>
          <w:bCs/>
          <w:spacing w:val="2"/>
          <w:sz w:val="27"/>
          <w:szCs w:val="27"/>
        </w:rPr>
        <w:t>Ver: Par. 81, Sentencia C-</w:t>
      </w:r>
      <w:hyperlink r:id="rId32" w:anchor="0" w:history="1">
        <w:r>
          <w:rPr>
            <w:rStyle w:val="Hipervnculo"/>
            <w:rFonts w:ascii="Roboto Condensed" w:eastAsiaTheme="majorEastAsia" w:hAnsi="Roboto Condensed"/>
            <w:spacing w:val="2"/>
            <w:sz w:val="27"/>
            <w:szCs w:val="27"/>
          </w:rPr>
          <w:t>405</w:t>
        </w:r>
      </w:hyperlink>
      <w:r>
        <w:rPr>
          <w:rStyle w:val="baj"/>
          <w:rFonts w:ascii="Roboto Condensed" w:eastAsiaTheme="majorEastAsia" w:hAnsi="Roboto Condensed"/>
          <w:b/>
          <w:bCs/>
          <w:spacing w:val="2"/>
          <w:sz w:val="27"/>
          <w:szCs w:val="27"/>
        </w:rPr>
        <w:t> de 2023, Corte Constitucional.</w:t>
      </w:r>
    </w:p>
    <w:p w14:paraId="20D867BD" w14:textId="77777777"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bookmarkStart w:id="3" w:name="NF3"/>
      <w:r>
        <w:rPr>
          <w:rStyle w:val="baj"/>
          <w:rFonts w:ascii="Roboto Condensed" w:eastAsiaTheme="majorEastAsia" w:hAnsi="Roboto Condensed"/>
          <w:spacing w:val="2"/>
          <w:sz w:val="27"/>
          <w:szCs w:val="27"/>
          <w:u w:val="single"/>
        </w:rPr>
        <w:t>3. </w:t>
      </w:r>
      <w:bookmarkEnd w:id="3"/>
      <w:r>
        <w:rPr>
          <w:rStyle w:val="baj"/>
          <w:rFonts w:ascii="Roboto Condensed" w:eastAsiaTheme="majorEastAsia" w:hAnsi="Roboto Condensed"/>
          <w:b/>
          <w:bCs/>
          <w:spacing w:val="2"/>
          <w:sz w:val="27"/>
          <w:szCs w:val="27"/>
        </w:rPr>
        <w:t>Par. 99, Sentencia C-</w:t>
      </w:r>
      <w:hyperlink r:id="rId33" w:anchor="0" w:history="1">
        <w:r>
          <w:rPr>
            <w:rStyle w:val="Hipervnculo"/>
            <w:rFonts w:ascii="Roboto Condensed" w:eastAsiaTheme="majorEastAsia" w:hAnsi="Roboto Condensed"/>
            <w:spacing w:val="2"/>
            <w:sz w:val="27"/>
            <w:szCs w:val="27"/>
          </w:rPr>
          <w:t>405</w:t>
        </w:r>
      </w:hyperlink>
      <w:r>
        <w:rPr>
          <w:rStyle w:val="baj"/>
          <w:rFonts w:ascii="Roboto Condensed" w:eastAsiaTheme="majorEastAsia" w:hAnsi="Roboto Condensed"/>
          <w:b/>
          <w:bCs/>
          <w:spacing w:val="2"/>
          <w:sz w:val="27"/>
          <w:szCs w:val="27"/>
        </w:rPr>
        <w:t> de 2023, Corte Constitucional.</w:t>
      </w:r>
    </w:p>
    <w:p w14:paraId="291092A1" w14:textId="77777777"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bookmarkStart w:id="4" w:name="NF4"/>
      <w:r>
        <w:rPr>
          <w:rStyle w:val="baj"/>
          <w:rFonts w:ascii="Roboto Condensed" w:eastAsiaTheme="majorEastAsia" w:hAnsi="Roboto Condensed"/>
          <w:spacing w:val="2"/>
          <w:sz w:val="27"/>
          <w:szCs w:val="27"/>
          <w:u w:val="single"/>
        </w:rPr>
        <w:t>4. </w:t>
      </w:r>
      <w:bookmarkEnd w:id="4"/>
      <w:r>
        <w:rPr>
          <w:rStyle w:val="baj"/>
          <w:rFonts w:ascii="Roboto Condensed" w:eastAsiaTheme="majorEastAsia" w:hAnsi="Roboto Condensed"/>
          <w:b/>
          <w:bCs/>
          <w:spacing w:val="2"/>
          <w:sz w:val="27"/>
          <w:szCs w:val="27"/>
        </w:rPr>
        <w:t>Consejo de Estado. Sala de lo Contencioso Administrativo. Sección Cuarta. Radicado No. 11001-03-27-000-2013-00025-00(</w:t>
      </w:r>
      <w:hyperlink r:id="rId34" w:anchor="0" w:history="1">
        <w:r>
          <w:rPr>
            <w:rStyle w:val="Hipervnculo"/>
            <w:rFonts w:ascii="Roboto Condensed" w:eastAsiaTheme="majorEastAsia" w:hAnsi="Roboto Condensed"/>
            <w:spacing w:val="2"/>
            <w:sz w:val="27"/>
            <w:szCs w:val="27"/>
          </w:rPr>
          <w:t>20436</w:t>
        </w:r>
      </w:hyperlink>
      <w:r>
        <w:rPr>
          <w:rStyle w:val="baj"/>
          <w:rFonts w:ascii="Roboto Condensed" w:eastAsiaTheme="majorEastAsia" w:hAnsi="Roboto Condensed"/>
          <w:b/>
          <w:bCs/>
          <w:spacing w:val="2"/>
          <w:sz w:val="27"/>
          <w:szCs w:val="27"/>
        </w:rPr>
        <w:t xml:space="preserve">). C.P. Jorge Octavio Ramírez </w:t>
      </w:r>
      <w:proofErr w:type="spellStart"/>
      <w:r>
        <w:rPr>
          <w:rStyle w:val="baj"/>
          <w:rFonts w:ascii="Roboto Condensed" w:eastAsiaTheme="majorEastAsia" w:hAnsi="Roboto Condensed"/>
          <w:b/>
          <w:bCs/>
          <w:spacing w:val="2"/>
          <w:sz w:val="27"/>
          <w:szCs w:val="27"/>
        </w:rPr>
        <w:t>Ramírez</w:t>
      </w:r>
      <w:proofErr w:type="spellEnd"/>
      <w:r>
        <w:rPr>
          <w:rStyle w:val="baj"/>
          <w:rFonts w:ascii="Roboto Condensed" w:eastAsiaTheme="majorEastAsia" w:hAnsi="Roboto Condensed"/>
          <w:b/>
          <w:bCs/>
          <w:spacing w:val="2"/>
          <w:sz w:val="27"/>
          <w:szCs w:val="27"/>
        </w:rPr>
        <w:t>. Sentencia del 25 de mayo de 2017.</w:t>
      </w:r>
    </w:p>
    <w:p w14:paraId="7BD60393" w14:textId="77777777"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bookmarkStart w:id="5" w:name="NF5"/>
      <w:r>
        <w:rPr>
          <w:rStyle w:val="baj"/>
          <w:rFonts w:ascii="Roboto Condensed" w:eastAsiaTheme="majorEastAsia" w:hAnsi="Roboto Condensed"/>
          <w:spacing w:val="2"/>
          <w:sz w:val="27"/>
          <w:szCs w:val="27"/>
          <w:u w:val="single"/>
        </w:rPr>
        <w:t>5. </w:t>
      </w:r>
      <w:bookmarkEnd w:id="5"/>
      <w:r>
        <w:rPr>
          <w:rStyle w:val="baj"/>
          <w:rFonts w:ascii="Roboto Condensed" w:eastAsiaTheme="majorEastAsia" w:hAnsi="Roboto Condensed"/>
          <w:b/>
          <w:bCs/>
          <w:spacing w:val="2"/>
          <w:sz w:val="27"/>
          <w:szCs w:val="27"/>
        </w:rPr>
        <w:t>Ver: Par. 99, Sentencia C-</w:t>
      </w:r>
      <w:hyperlink r:id="rId35" w:anchor="0" w:history="1">
        <w:r>
          <w:rPr>
            <w:rStyle w:val="Hipervnculo"/>
            <w:rFonts w:ascii="Roboto Condensed" w:eastAsiaTheme="majorEastAsia" w:hAnsi="Roboto Condensed"/>
            <w:spacing w:val="2"/>
            <w:sz w:val="27"/>
            <w:szCs w:val="27"/>
          </w:rPr>
          <w:t>405</w:t>
        </w:r>
      </w:hyperlink>
      <w:r>
        <w:rPr>
          <w:rStyle w:val="baj"/>
          <w:rFonts w:ascii="Roboto Condensed" w:eastAsiaTheme="majorEastAsia" w:hAnsi="Roboto Condensed"/>
          <w:b/>
          <w:bCs/>
          <w:spacing w:val="2"/>
          <w:sz w:val="27"/>
          <w:szCs w:val="27"/>
        </w:rPr>
        <w:t> de 2023, Corte Constitucional.</w:t>
      </w:r>
    </w:p>
    <w:p w14:paraId="5C541D7B" w14:textId="77777777"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bookmarkStart w:id="6" w:name="NF6"/>
      <w:r>
        <w:rPr>
          <w:rStyle w:val="baj"/>
          <w:rFonts w:ascii="Roboto Condensed" w:eastAsiaTheme="majorEastAsia" w:hAnsi="Roboto Condensed"/>
          <w:spacing w:val="2"/>
          <w:sz w:val="27"/>
          <w:szCs w:val="27"/>
          <w:u w:val="single"/>
        </w:rPr>
        <w:t>6. </w:t>
      </w:r>
      <w:bookmarkEnd w:id="6"/>
      <w:r>
        <w:rPr>
          <w:rStyle w:val="baj"/>
          <w:rFonts w:ascii="Roboto Condensed" w:eastAsiaTheme="majorEastAsia" w:hAnsi="Roboto Condensed"/>
          <w:b/>
          <w:bCs/>
          <w:spacing w:val="2"/>
          <w:sz w:val="27"/>
          <w:szCs w:val="27"/>
        </w:rPr>
        <w:t>Ver: Par. 100, Sentencia C-</w:t>
      </w:r>
      <w:hyperlink r:id="rId36" w:anchor="0" w:history="1">
        <w:r>
          <w:rPr>
            <w:rStyle w:val="Hipervnculo"/>
            <w:rFonts w:ascii="Roboto Condensed" w:eastAsiaTheme="majorEastAsia" w:hAnsi="Roboto Condensed"/>
            <w:spacing w:val="2"/>
            <w:sz w:val="27"/>
            <w:szCs w:val="27"/>
          </w:rPr>
          <w:t>405</w:t>
        </w:r>
      </w:hyperlink>
      <w:r>
        <w:rPr>
          <w:rStyle w:val="baj"/>
          <w:rFonts w:ascii="Roboto Condensed" w:eastAsiaTheme="majorEastAsia" w:hAnsi="Roboto Condensed"/>
          <w:b/>
          <w:bCs/>
          <w:spacing w:val="2"/>
          <w:sz w:val="27"/>
          <w:szCs w:val="27"/>
        </w:rPr>
        <w:t> de 2023, Corte Constitucional.</w:t>
      </w:r>
    </w:p>
    <w:p w14:paraId="21FBD3EC" w14:textId="77777777"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bookmarkStart w:id="7" w:name="NF7"/>
      <w:r>
        <w:rPr>
          <w:rStyle w:val="baj"/>
          <w:rFonts w:ascii="Roboto Condensed" w:eastAsiaTheme="majorEastAsia" w:hAnsi="Roboto Condensed"/>
          <w:spacing w:val="2"/>
          <w:sz w:val="27"/>
          <w:szCs w:val="27"/>
          <w:u w:val="single"/>
        </w:rPr>
        <w:t>7. </w:t>
      </w:r>
      <w:bookmarkEnd w:id="7"/>
      <w:r>
        <w:rPr>
          <w:rStyle w:val="baj"/>
          <w:rFonts w:ascii="Roboto Condensed" w:eastAsiaTheme="majorEastAsia" w:hAnsi="Roboto Condensed"/>
          <w:b/>
          <w:bCs/>
          <w:spacing w:val="2"/>
          <w:sz w:val="27"/>
          <w:szCs w:val="27"/>
        </w:rPr>
        <w:t>Ver: Par. 100, Sentencia C-</w:t>
      </w:r>
      <w:hyperlink r:id="rId37" w:anchor="0" w:history="1">
        <w:r>
          <w:rPr>
            <w:rStyle w:val="Hipervnculo"/>
            <w:rFonts w:ascii="Roboto Condensed" w:eastAsiaTheme="majorEastAsia" w:hAnsi="Roboto Condensed"/>
            <w:spacing w:val="2"/>
            <w:sz w:val="27"/>
            <w:szCs w:val="27"/>
          </w:rPr>
          <w:t>405</w:t>
        </w:r>
      </w:hyperlink>
      <w:r>
        <w:rPr>
          <w:rStyle w:val="baj"/>
          <w:rFonts w:ascii="Roboto Condensed" w:eastAsiaTheme="majorEastAsia" w:hAnsi="Roboto Condensed"/>
          <w:b/>
          <w:bCs/>
          <w:spacing w:val="2"/>
          <w:sz w:val="27"/>
          <w:szCs w:val="27"/>
        </w:rPr>
        <w:t> de 2023, Corte Constitucional en concordancia con el artículo </w:t>
      </w:r>
      <w:hyperlink r:id="rId38" w:anchor="319" w:history="1">
        <w:r>
          <w:rPr>
            <w:rStyle w:val="Hipervnculo"/>
            <w:rFonts w:ascii="Roboto Condensed" w:eastAsiaTheme="majorEastAsia" w:hAnsi="Roboto Condensed"/>
            <w:spacing w:val="2"/>
            <w:sz w:val="27"/>
            <w:szCs w:val="27"/>
          </w:rPr>
          <w:t>319</w:t>
        </w:r>
      </w:hyperlink>
      <w:r>
        <w:rPr>
          <w:rStyle w:val="baj"/>
          <w:rFonts w:ascii="Roboto Condensed" w:eastAsiaTheme="majorEastAsia" w:hAnsi="Roboto Condensed"/>
          <w:b/>
          <w:bCs/>
          <w:spacing w:val="2"/>
          <w:sz w:val="27"/>
          <w:szCs w:val="27"/>
        </w:rPr>
        <w:t> del ET.</w:t>
      </w:r>
    </w:p>
    <w:p w14:paraId="54FDCF36" w14:textId="77777777"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bookmarkStart w:id="8" w:name="NF8"/>
      <w:r>
        <w:rPr>
          <w:rStyle w:val="baj"/>
          <w:rFonts w:ascii="Roboto Condensed" w:eastAsiaTheme="majorEastAsia" w:hAnsi="Roboto Condensed"/>
          <w:spacing w:val="2"/>
          <w:sz w:val="27"/>
          <w:szCs w:val="27"/>
          <w:u w:val="single"/>
        </w:rPr>
        <w:t>8. </w:t>
      </w:r>
      <w:bookmarkEnd w:id="8"/>
      <w:r>
        <w:rPr>
          <w:rStyle w:val="baj"/>
          <w:rFonts w:ascii="Roboto Condensed" w:eastAsiaTheme="majorEastAsia" w:hAnsi="Roboto Condensed"/>
          <w:b/>
          <w:bCs/>
          <w:spacing w:val="2"/>
          <w:sz w:val="27"/>
          <w:szCs w:val="27"/>
        </w:rPr>
        <w:t>Ver: Par. 100, Sentencia C-</w:t>
      </w:r>
      <w:hyperlink r:id="rId39" w:anchor="0" w:history="1">
        <w:r>
          <w:rPr>
            <w:rStyle w:val="Hipervnculo"/>
            <w:rFonts w:ascii="Roboto Condensed" w:eastAsiaTheme="majorEastAsia" w:hAnsi="Roboto Condensed"/>
            <w:spacing w:val="2"/>
            <w:sz w:val="27"/>
            <w:szCs w:val="27"/>
          </w:rPr>
          <w:t>405</w:t>
        </w:r>
      </w:hyperlink>
      <w:r>
        <w:rPr>
          <w:rStyle w:val="baj"/>
          <w:rFonts w:ascii="Roboto Condensed" w:eastAsiaTheme="majorEastAsia" w:hAnsi="Roboto Condensed"/>
          <w:b/>
          <w:bCs/>
          <w:spacing w:val="2"/>
          <w:sz w:val="27"/>
          <w:szCs w:val="27"/>
        </w:rPr>
        <w:t> de 2023, Corte Constitucional en concordancia con el artículo </w:t>
      </w:r>
      <w:hyperlink r:id="rId40" w:anchor="319-4" w:history="1">
        <w:r>
          <w:rPr>
            <w:rStyle w:val="Hipervnculo"/>
            <w:rFonts w:ascii="Roboto Condensed" w:eastAsiaTheme="majorEastAsia" w:hAnsi="Roboto Condensed"/>
            <w:spacing w:val="2"/>
            <w:sz w:val="27"/>
            <w:szCs w:val="27"/>
          </w:rPr>
          <w:t>319-4</w:t>
        </w:r>
      </w:hyperlink>
      <w:r>
        <w:rPr>
          <w:rStyle w:val="baj"/>
          <w:rFonts w:ascii="Roboto Condensed" w:eastAsiaTheme="majorEastAsia" w:hAnsi="Roboto Condensed"/>
          <w:b/>
          <w:bCs/>
          <w:spacing w:val="2"/>
          <w:sz w:val="27"/>
          <w:szCs w:val="27"/>
        </w:rPr>
        <w:t> del ET.</w:t>
      </w:r>
    </w:p>
    <w:p w14:paraId="28033996" w14:textId="77777777"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bookmarkStart w:id="9" w:name="NF9"/>
      <w:r>
        <w:rPr>
          <w:rStyle w:val="baj"/>
          <w:rFonts w:ascii="Roboto Condensed" w:eastAsiaTheme="majorEastAsia" w:hAnsi="Roboto Condensed"/>
          <w:spacing w:val="2"/>
          <w:sz w:val="27"/>
          <w:szCs w:val="27"/>
          <w:u w:val="single"/>
        </w:rPr>
        <w:t>9. </w:t>
      </w:r>
      <w:bookmarkEnd w:id="9"/>
      <w:r>
        <w:rPr>
          <w:rStyle w:val="baj"/>
          <w:rFonts w:ascii="Roboto Condensed" w:eastAsiaTheme="majorEastAsia" w:hAnsi="Roboto Condensed"/>
          <w:b/>
          <w:bCs/>
          <w:spacing w:val="2"/>
          <w:sz w:val="27"/>
          <w:szCs w:val="27"/>
        </w:rPr>
        <w:t>Ver: Artículo </w:t>
      </w:r>
      <w:hyperlink r:id="rId41" w:anchor="530-1" w:history="1">
        <w:r>
          <w:rPr>
            <w:rStyle w:val="Hipervnculo"/>
            <w:rFonts w:ascii="Roboto Condensed" w:eastAsiaTheme="majorEastAsia" w:hAnsi="Roboto Condensed"/>
            <w:spacing w:val="2"/>
            <w:sz w:val="27"/>
            <w:szCs w:val="27"/>
          </w:rPr>
          <w:t>530-1</w:t>
        </w:r>
      </w:hyperlink>
      <w:r>
        <w:rPr>
          <w:rStyle w:val="baj"/>
          <w:rFonts w:ascii="Roboto Condensed" w:eastAsiaTheme="majorEastAsia" w:hAnsi="Roboto Condensed"/>
          <w:b/>
          <w:bCs/>
          <w:spacing w:val="2"/>
          <w:sz w:val="27"/>
          <w:szCs w:val="27"/>
        </w:rPr>
        <w:t> del ET.</w:t>
      </w:r>
    </w:p>
    <w:p w14:paraId="1EC509B5" w14:textId="77777777"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bookmarkStart w:id="10" w:name="NF10"/>
      <w:r>
        <w:rPr>
          <w:rStyle w:val="baj"/>
          <w:rFonts w:ascii="Roboto Condensed" w:eastAsiaTheme="majorEastAsia" w:hAnsi="Roboto Condensed"/>
          <w:spacing w:val="2"/>
          <w:sz w:val="27"/>
          <w:szCs w:val="27"/>
          <w:u w:val="single"/>
        </w:rPr>
        <w:t>10. </w:t>
      </w:r>
      <w:bookmarkEnd w:id="10"/>
      <w:r>
        <w:rPr>
          <w:rStyle w:val="baj"/>
          <w:rFonts w:ascii="Roboto Condensed" w:eastAsiaTheme="majorEastAsia" w:hAnsi="Roboto Condensed"/>
          <w:b/>
          <w:bCs/>
          <w:spacing w:val="2"/>
          <w:sz w:val="27"/>
          <w:szCs w:val="27"/>
        </w:rPr>
        <w:t>Ver: Inciso 3, artículo </w:t>
      </w:r>
      <w:hyperlink r:id="rId42" w:anchor="519" w:history="1">
        <w:r>
          <w:rPr>
            <w:rStyle w:val="Hipervnculo"/>
            <w:rFonts w:ascii="Roboto Condensed" w:eastAsiaTheme="majorEastAsia" w:hAnsi="Roboto Condensed"/>
            <w:spacing w:val="2"/>
            <w:sz w:val="27"/>
            <w:szCs w:val="27"/>
          </w:rPr>
          <w:t>519</w:t>
        </w:r>
      </w:hyperlink>
      <w:r>
        <w:rPr>
          <w:rStyle w:val="baj"/>
          <w:rFonts w:ascii="Roboto Condensed" w:eastAsiaTheme="majorEastAsia" w:hAnsi="Roboto Condensed"/>
          <w:b/>
          <w:bCs/>
          <w:spacing w:val="2"/>
          <w:sz w:val="27"/>
          <w:szCs w:val="27"/>
        </w:rPr>
        <w:t> del ET, modificado por el artículo </w:t>
      </w:r>
      <w:hyperlink r:id="rId43" w:anchor="77" w:history="1">
        <w:r>
          <w:rPr>
            <w:rStyle w:val="Hipervnculo"/>
            <w:rFonts w:ascii="Roboto Condensed" w:eastAsiaTheme="majorEastAsia" w:hAnsi="Roboto Condensed"/>
            <w:spacing w:val="2"/>
            <w:sz w:val="27"/>
            <w:szCs w:val="27"/>
          </w:rPr>
          <w:t>77</w:t>
        </w:r>
      </w:hyperlink>
      <w:r>
        <w:rPr>
          <w:rStyle w:val="baj"/>
          <w:rFonts w:ascii="Roboto Condensed" w:eastAsiaTheme="majorEastAsia" w:hAnsi="Roboto Condensed"/>
          <w:b/>
          <w:bCs/>
          <w:spacing w:val="2"/>
          <w:sz w:val="27"/>
          <w:szCs w:val="27"/>
        </w:rPr>
        <w:t> de la Ley 2277 de 2022.</w:t>
      </w:r>
    </w:p>
    <w:p w14:paraId="081232E8" w14:textId="77777777" w:rsidR="0073593F" w:rsidRDefault="0073593F" w:rsidP="0073593F">
      <w:pPr>
        <w:pStyle w:val="NormalWeb"/>
        <w:spacing w:before="0" w:beforeAutospacing="0" w:after="0" w:afterAutospacing="0" w:line="480" w:lineRule="atLeast"/>
        <w:jc w:val="both"/>
        <w:rPr>
          <w:rFonts w:ascii="Roboto Condensed" w:hAnsi="Roboto Condensed"/>
          <w:spacing w:val="2"/>
          <w:sz w:val="27"/>
          <w:szCs w:val="27"/>
        </w:rPr>
      </w:pPr>
      <w:bookmarkStart w:id="11" w:name="NF11"/>
      <w:r>
        <w:rPr>
          <w:rStyle w:val="baj"/>
          <w:rFonts w:ascii="Roboto Condensed" w:eastAsiaTheme="majorEastAsia" w:hAnsi="Roboto Condensed"/>
          <w:spacing w:val="2"/>
          <w:sz w:val="27"/>
          <w:szCs w:val="27"/>
          <w:u w:val="single"/>
        </w:rPr>
        <w:t>11. </w:t>
      </w:r>
      <w:bookmarkEnd w:id="11"/>
      <w:r>
        <w:rPr>
          <w:rStyle w:val="baj"/>
          <w:rFonts w:ascii="Roboto Condensed" w:eastAsiaTheme="majorEastAsia" w:hAnsi="Roboto Condensed"/>
          <w:b/>
          <w:bCs/>
          <w:spacing w:val="2"/>
          <w:sz w:val="27"/>
          <w:szCs w:val="27"/>
        </w:rPr>
        <w:t>Ver: Inciso 3, artículo </w:t>
      </w:r>
      <w:hyperlink r:id="rId44" w:anchor="519" w:history="1">
        <w:r>
          <w:rPr>
            <w:rStyle w:val="Hipervnculo"/>
            <w:rFonts w:ascii="Roboto Condensed" w:eastAsiaTheme="majorEastAsia" w:hAnsi="Roboto Condensed"/>
            <w:spacing w:val="2"/>
            <w:sz w:val="27"/>
            <w:szCs w:val="27"/>
          </w:rPr>
          <w:t>519</w:t>
        </w:r>
      </w:hyperlink>
      <w:r>
        <w:rPr>
          <w:rStyle w:val="baj"/>
          <w:rFonts w:ascii="Roboto Condensed" w:eastAsiaTheme="majorEastAsia" w:hAnsi="Roboto Condensed"/>
          <w:b/>
          <w:bCs/>
          <w:spacing w:val="2"/>
          <w:sz w:val="27"/>
          <w:szCs w:val="27"/>
        </w:rPr>
        <w:t> del ET, modificado por el artículo </w:t>
      </w:r>
      <w:hyperlink r:id="rId45" w:anchor="77" w:history="1">
        <w:r>
          <w:rPr>
            <w:rStyle w:val="Hipervnculo"/>
            <w:rFonts w:ascii="Roboto Condensed" w:eastAsiaTheme="majorEastAsia" w:hAnsi="Roboto Condensed"/>
            <w:spacing w:val="2"/>
            <w:sz w:val="27"/>
            <w:szCs w:val="27"/>
          </w:rPr>
          <w:t>77</w:t>
        </w:r>
      </w:hyperlink>
      <w:r>
        <w:rPr>
          <w:rStyle w:val="baj"/>
          <w:rFonts w:ascii="Roboto Condensed" w:eastAsiaTheme="majorEastAsia" w:hAnsi="Roboto Condensed"/>
          <w:b/>
          <w:bCs/>
          <w:spacing w:val="2"/>
          <w:sz w:val="27"/>
          <w:szCs w:val="27"/>
        </w:rPr>
        <w:t> de la Ley 2277 de 2022.</w:t>
      </w:r>
    </w:p>
    <w:p w14:paraId="381F1C0C"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Condensed">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3F"/>
    <w:rsid w:val="00083B20"/>
    <w:rsid w:val="000F3837"/>
    <w:rsid w:val="001E311E"/>
    <w:rsid w:val="00434AE6"/>
    <w:rsid w:val="005D25EE"/>
    <w:rsid w:val="0073593F"/>
    <w:rsid w:val="007F5CC8"/>
    <w:rsid w:val="008779BE"/>
    <w:rsid w:val="008C2E57"/>
    <w:rsid w:val="00CB7978"/>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761FF"/>
  <w15:chartTrackingRefBased/>
  <w15:docId w15:val="{FADA38F0-BC4F-4A8A-B157-CB8C0DB6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35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35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359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359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3593F"/>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359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3593F"/>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3593F"/>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3593F"/>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593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3593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3593F"/>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3593F"/>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3593F"/>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3593F"/>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3593F"/>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3593F"/>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3593F"/>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35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359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359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3593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3593F"/>
    <w:pPr>
      <w:spacing w:before="160"/>
      <w:jc w:val="center"/>
    </w:pPr>
    <w:rPr>
      <w:i/>
      <w:iCs/>
      <w:color w:val="404040" w:themeColor="text1" w:themeTint="BF"/>
    </w:rPr>
  </w:style>
  <w:style w:type="character" w:customStyle="1" w:styleId="CitaCar">
    <w:name w:val="Cita Car"/>
    <w:basedOn w:val="Fuentedeprrafopredeter"/>
    <w:link w:val="Cita"/>
    <w:uiPriority w:val="29"/>
    <w:rsid w:val="0073593F"/>
    <w:rPr>
      <w:i/>
      <w:iCs/>
      <w:color w:val="404040" w:themeColor="text1" w:themeTint="BF"/>
    </w:rPr>
  </w:style>
  <w:style w:type="paragraph" w:styleId="Prrafodelista">
    <w:name w:val="List Paragraph"/>
    <w:basedOn w:val="Normal"/>
    <w:uiPriority w:val="34"/>
    <w:qFormat/>
    <w:rsid w:val="0073593F"/>
    <w:pPr>
      <w:ind w:left="720"/>
      <w:contextualSpacing/>
    </w:pPr>
  </w:style>
  <w:style w:type="character" w:styleId="nfasisintenso">
    <w:name w:val="Intense Emphasis"/>
    <w:basedOn w:val="Fuentedeprrafopredeter"/>
    <w:uiPriority w:val="21"/>
    <w:qFormat/>
    <w:rsid w:val="0073593F"/>
    <w:rPr>
      <w:i/>
      <w:iCs/>
      <w:color w:val="0F4761" w:themeColor="accent1" w:themeShade="BF"/>
    </w:rPr>
  </w:style>
  <w:style w:type="paragraph" w:styleId="Citadestacada">
    <w:name w:val="Intense Quote"/>
    <w:basedOn w:val="Normal"/>
    <w:next w:val="Normal"/>
    <w:link w:val="CitadestacadaCar"/>
    <w:uiPriority w:val="30"/>
    <w:qFormat/>
    <w:rsid w:val="00735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3593F"/>
    <w:rPr>
      <w:i/>
      <w:iCs/>
      <w:color w:val="0F4761" w:themeColor="accent1" w:themeShade="BF"/>
    </w:rPr>
  </w:style>
  <w:style w:type="character" w:styleId="Referenciaintensa">
    <w:name w:val="Intense Reference"/>
    <w:basedOn w:val="Fuentedeprrafopredeter"/>
    <w:uiPriority w:val="32"/>
    <w:qFormat/>
    <w:rsid w:val="0073593F"/>
    <w:rPr>
      <w:b/>
      <w:bCs/>
      <w:smallCaps/>
      <w:color w:val="0F4761" w:themeColor="accent1" w:themeShade="BF"/>
      <w:spacing w:val="5"/>
    </w:rPr>
  </w:style>
  <w:style w:type="paragraph" w:customStyle="1" w:styleId="centrado">
    <w:name w:val="centrado"/>
    <w:basedOn w:val="Normal"/>
    <w:rsid w:val="0073593F"/>
    <w:pPr>
      <w:spacing w:before="100" w:beforeAutospacing="1" w:after="100" w:afterAutospacing="1" w:line="240" w:lineRule="auto"/>
    </w:pPr>
    <w:rPr>
      <w:rFonts w:eastAsia="Times New Roman" w:cs="Times New Roman"/>
      <w:kern w:val="0"/>
      <w:szCs w:val="24"/>
      <w:lang w:eastAsia="es-CO"/>
      <w14:ligatures w14:val="none"/>
    </w:rPr>
  </w:style>
  <w:style w:type="character" w:customStyle="1" w:styleId="baj">
    <w:name w:val="b_aj"/>
    <w:basedOn w:val="Fuentedeprrafopredeter"/>
    <w:rsid w:val="0073593F"/>
  </w:style>
  <w:style w:type="paragraph" w:styleId="NormalWeb">
    <w:name w:val="Normal (Web)"/>
    <w:basedOn w:val="Normal"/>
    <w:uiPriority w:val="99"/>
    <w:semiHidden/>
    <w:unhideWhenUsed/>
    <w:rsid w:val="0073593F"/>
    <w:pPr>
      <w:spacing w:before="100" w:beforeAutospacing="1" w:after="100" w:afterAutospacing="1" w:line="240" w:lineRule="auto"/>
    </w:pPr>
    <w:rPr>
      <w:rFonts w:eastAsia="Times New Roman" w:cs="Times New Roman"/>
      <w:kern w:val="0"/>
      <w:szCs w:val="24"/>
      <w:lang w:eastAsia="es-CO"/>
      <w14:ligatures w14:val="none"/>
    </w:rPr>
  </w:style>
  <w:style w:type="character" w:styleId="Hipervnculo">
    <w:name w:val="Hyperlink"/>
    <w:basedOn w:val="Fuentedeprrafopredeter"/>
    <w:uiPriority w:val="99"/>
    <w:semiHidden/>
    <w:unhideWhenUsed/>
    <w:rsid w:val="0073593F"/>
    <w:rPr>
      <w:color w:val="0000FF"/>
      <w:u w:val="single"/>
    </w:rPr>
  </w:style>
  <w:style w:type="character" w:customStyle="1" w:styleId="iaj">
    <w:name w:val="i_aj"/>
    <w:basedOn w:val="Fuentedeprrafopredeter"/>
    <w:rsid w:val="0073593F"/>
  </w:style>
  <w:style w:type="character" w:customStyle="1" w:styleId="letra8pt">
    <w:name w:val="letra8pt"/>
    <w:basedOn w:val="Fuentedeprrafopredeter"/>
    <w:rsid w:val="00735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42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ograma.dian.gov.co/dian/compilacion/docs/estatuto_tributario.htm" TargetMode="External"/><Relationship Id="rId18" Type="http://schemas.openxmlformats.org/officeDocument/2006/relationships/hyperlink" Target="https://normograma.dian.gov.co/dian/compilacion/docs/oficio_dian_0302_2024.htm" TargetMode="External"/><Relationship Id="rId26" Type="http://schemas.openxmlformats.org/officeDocument/2006/relationships/hyperlink" Target="https://normograma.dian.gov.co/dian/compilacion/docs/oficio_dian_0302_2024.htm" TargetMode="External"/><Relationship Id="rId39" Type="http://schemas.openxmlformats.org/officeDocument/2006/relationships/hyperlink" Target="https://normograma.dian.gov.co/dian/compilacion/docs/c-405_2023.htm" TargetMode="External"/><Relationship Id="rId21" Type="http://schemas.openxmlformats.org/officeDocument/2006/relationships/hyperlink" Target="https://normograma.dian.gov.co/dian/compilacion/docs/oficio_dian_0302_2024.htm" TargetMode="External"/><Relationship Id="rId34" Type="http://schemas.openxmlformats.org/officeDocument/2006/relationships/hyperlink" Target="https://normograma.dian.gov.co/dian/compilacion/docs/11001-03-27-000-2013-00025-00(20436).htm" TargetMode="External"/><Relationship Id="rId42" Type="http://schemas.openxmlformats.org/officeDocument/2006/relationships/hyperlink" Target="https://normograma.dian.gov.co/dian/compilacion/docs/estatuto_tributario.htm" TargetMode="External"/><Relationship Id="rId47" Type="http://schemas.openxmlformats.org/officeDocument/2006/relationships/theme" Target="theme/theme1.xml"/><Relationship Id="rId7" Type="http://schemas.openxmlformats.org/officeDocument/2006/relationships/hyperlink" Target="https://normograma.dian.gov.co/dian/compilacion/docs/oficio_dian_0302_2024.htm" TargetMode="External"/><Relationship Id="rId2" Type="http://schemas.openxmlformats.org/officeDocument/2006/relationships/settings" Target="settings.xml"/><Relationship Id="rId16" Type="http://schemas.openxmlformats.org/officeDocument/2006/relationships/hyperlink" Target="https://normograma.dian.gov.co/dian/compilacion/docs/estatuto_tributario.htm" TargetMode="External"/><Relationship Id="rId29" Type="http://schemas.openxmlformats.org/officeDocument/2006/relationships/hyperlink" Target="https://normograma.dian.gov.co/dian/compilacion/docs/oficio_dian_6453_2023.htm" TargetMode="External"/><Relationship Id="rId1" Type="http://schemas.openxmlformats.org/officeDocument/2006/relationships/styles" Target="styles.xml"/><Relationship Id="rId6" Type="http://schemas.openxmlformats.org/officeDocument/2006/relationships/hyperlink" Target="https://normograma.dian.gov.co/dian/compilacion/docs/estatuto_tributario.htm" TargetMode="External"/><Relationship Id="rId11" Type="http://schemas.openxmlformats.org/officeDocument/2006/relationships/hyperlink" Target="https://normograma.dian.gov.co/dian/compilacion/docs/oficio_dian_2211_2023.htm" TargetMode="External"/><Relationship Id="rId24" Type="http://schemas.openxmlformats.org/officeDocument/2006/relationships/hyperlink" Target="https://normograma.dian.gov.co/dian/compilacion/docs/oficio_dian_0302_2024.htm" TargetMode="External"/><Relationship Id="rId32" Type="http://schemas.openxmlformats.org/officeDocument/2006/relationships/hyperlink" Target="https://normograma.dian.gov.co/dian/compilacion/docs/c-405_2023.htm" TargetMode="External"/><Relationship Id="rId37" Type="http://schemas.openxmlformats.org/officeDocument/2006/relationships/hyperlink" Target="https://normograma.dian.gov.co/dian/compilacion/docs/c-405_2023.htm" TargetMode="External"/><Relationship Id="rId40" Type="http://schemas.openxmlformats.org/officeDocument/2006/relationships/hyperlink" Target="https://normograma.dian.gov.co/dian/compilacion/docs/estatuto_tributario.htm" TargetMode="External"/><Relationship Id="rId45" Type="http://schemas.openxmlformats.org/officeDocument/2006/relationships/hyperlink" Target="https://normograma.dian.gov.co/dian/compilacion/docs/ley_2277_2022.htm" TargetMode="External"/><Relationship Id="rId5" Type="http://schemas.openxmlformats.org/officeDocument/2006/relationships/hyperlink" Target="https://normograma.dian.gov.co/dian/compilacion/docs/estatuto_tributario.htm" TargetMode="External"/><Relationship Id="rId15" Type="http://schemas.openxmlformats.org/officeDocument/2006/relationships/hyperlink" Target="https://normograma.dian.gov.co/dian/compilacion/docs/c-405_2023.htm" TargetMode="External"/><Relationship Id="rId23" Type="http://schemas.openxmlformats.org/officeDocument/2006/relationships/hyperlink" Target="https://normograma.dian.gov.co/dian/compilacion/docs/oficio_dian_0302_2024.htm" TargetMode="External"/><Relationship Id="rId28" Type="http://schemas.openxmlformats.org/officeDocument/2006/relationships/hyperlink" Target="https://normograma.dian.gov.co/dian/compilacion/docs/oficio_dian_2211_2023.htm" TargetMode="External"/><Relationship Id="rId36" Type="http://schemas.openxmlformats.org/officeDocument/2006/relationships/hyperlink" Target="https://normograma.dian.gov.co/dian/compilacion/docs/c-405_2023.htm" TargetMode="External"/><Relationship Id="rId10" Type="http://schemas.openxmlformats.org/officeDocument/2006/relationships/hyperlink" Target="https://normograma.dian.gov.co/dian/compilacion/docs/oficio_dian_2211_2023.htm" TargetMode="External"/><Relationship Id="rId19" Type="http://schemas.openxmlformats.org/officeDocument/2006/relationships/hyperlink" Target="https://normograma.dian.gov.co/dian/compilacion/docs/oficio_dian_0302_2024.htm" TargetMode="External"/><Relationship Id="rId31" Type="http://schemas.openxmlformats.org/officeDocument/2006/relationships/hyperlink" Target="https://normograma.dian.gov.co/dian/compilacion/docs/decreto_1742_2020.htm" TargetMode="External"/><Relationship Id="rId44" Type="http://schemas.openxmlformats.org/officeDocument/2006/relationships/hyperlink" Target="https://normograma.dian.gov.co/dian/compilacion/docs/estatuto_tributario.htm" TargetMode="External"/><Relationship Id="rId4" Type="http://schemas.openxmlformats.org/officeDocument/2006/relationships/hyperlink" Target="https://normograma.dian.gov.co/dian/compilacion/docs/estatuto_tributario.htm" TargetMode="External"/><Relationship Id="rId9" Type="http://schemas.openxmlformats.org/officeDocument/2006/relationships/hyperlink" Target="https://normograma.dian.gov.co/dian/compilacion/docs/ley_2277_2022.htm" TargetMode="External"/><Relationship Id="rId14" Type="http://schemas.openxmlformats.org/officeDocument/2006/relationships/hyperlink" Target="https://normograma.dian.gov.co/dian/compilacion/docs/estatuto_tributario.htm" TargetMode="External"/><Relationship Id="rId22" Type="http://schemas.openxmlformats.org/officeDocument/2006/relationships/hyperlink" Target="https://normograma.dian.gov.co/dian/compilacion/docs/estatuto_tributario.htm" TargetMode="External"/><Relationship Id="rId27" Type="http://schemas.openxmlformats.org/officeDocument/2006/relationships/hyperlink" Target="https://normograma.dian.gov.co/dian/compilacion/docs/oficio_dian_0302_2024.htm" TargetMode="External"/><Relationship Id="rId30" Type="http://schemas.openxmlformats.org/officeDocument/2006/relationships/hyperlink" Target="https://normograma.dian.gov.co/dian/compilacion/docs/ley_2277_2022.htm" TargetMode="External"/><Relationship Id="rId35" Type="http://schemas.openxmlformats.org/officeDocument/2006/relationships/hyperlink" Target="https://normograma.dian.gov.co/dian/compilacion/docs/c-405_2023.htm" TargetMode="External"/><Relationship Id="rId43" Type="http://schemas.openxmlformats.org/officeDocument/2006/relationships/hyperlink" Target="https://normograma.dian.gov.co/dian/compilacion/docs/ley_2277_2022.htm" TargetMode="External"/><Relationship Id="rId8" Type="http://schemas.openxmlformats.org/officeDocument/2006/relationships/hyperlink" Target="https://normograma.dian.gov.co/dian/compilacion/docs/oficio_dian_6453_2023.htm" TargetMode="External"/><Relationship Id="rId3" Type="http://schemas.openxmlformats.org/officeDocument/2006/relationships/webSettings" Target="webSettings.xml"/><Relationship Id="rId12" Type="http://schemas.openxmlformats.org/officeDocument/2006/relationships/hyperlink" Target="https://normograma.dian.gov.co/dian/compilacion/docs/estatuto_tributario.htm" TargetMode="External"/><Relationship Id="rId17" Type="http://schemas.openxmlformats.org/officeDocument/2006/relationships/hyperlink" Target="https://normograma.dian.gov.co/dian/compilacion/docs/estatuto_tributario.htm" TargetMode="External"/><Relationship Id="rId25" Type="http://schemas.openxmlformats.org/officeDocument/2006/relationships/hyperlink" Target="https://normograma.dian.gov.co/dian/compilacion/docs/oficio_dian_0302_2024.htm" TargetMode="External"/><Relationship Id="rId33" Type="http://schemas.openxmlformats.org/officeDocument/2006/relationships/hyperlink" Target="https://normograma.dian.gov.co/dian/compilacion/docs/c-405_2023.htm" TargetMode="External"/><Relationship Id="rId38" Type="http://schemas.openxmlformats.org/officeDocument/2006/relationships/hyperlink" Target="https://normograma.dian.gov.co/dian/compilacion/docs/estatuto_tributario.htm" TargetMode="External"/><Relationship Id="rId46" Type="http://schemas.openxmlformats.org/officeDocument/2006/relationships/fontTable" Target="fontTable.xml"/><Relationship Id="rId20" Type="http://schemas.openxmlformats.org/officeDocument/2006/relationships/hyperlink" Target="https://normograma.dian.gov.co/dian/compilacion/docs/oficio_dian_0302_2024.htm" TargetMode="External"/><Relationship Id="rId41" Type="http://schemas.openxmlformats.org/officeDocument/2006/relationships/hyperlink" Target="https://normograma.dian.gov.co/dian/compilacion/docs/estatuto_tributario.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2270</Words>
  <Characters>12490</Characters>
  <Application>Microsoft Office Word</Application>
  <DocSecurity>0</DocSecurity>
  <Lines>104</Lines>
  <Paragraphs>29</Paragraphs>
  <ScaleCrop>false</ScaleCrop>
  <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2</cp:revision>
  <dcterms:created xsi:type="dcterms:W3CDTF">2024-10-28T19:53:00Z</dcterms:created>
  <dcterms:modified xsi:type="dcterms:W3CDTF">2024-10-28T19:57:00Z</dcterms:modified>
</cp:coreProperties>
</file>