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441" w14:textId="5035A61D" w:rsidR="0069600A" w:rsidRDefault="0069600A" w:rsidP="0069600A">
      <w:pPr>
        <w:spacing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CENTRO NACIONA DE ESTUDIOS TRIBUTARIOS DE COLOMBIA</w:t>
      </w:r>
    </w:p>
    <w:p w14:paraId="31A06180" w14:textId="77777777" w:rsidR="0069600A" w:rsidRDefault="0069600A" w:rsidP="0069600A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20DB2E92" w14:textId="1E335068" w:rsidR="00DE36FF" w:rsidRPr="00D10AF4" w:rsidRDefault="00DE36FF" w:rsidP="0069600A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D10AF4">
        <w:rPr>
          <w:rFonts w:ascii="Century Gothic" w:hAnsi="Century Gothic"/>
          <w:b/>
          <w:bCs/>
        </w:rPr>
        <w:t>FIRMEZA INFORMACIÓN EXÓGENA PRESENTADA</w:t>
      </w:r>
    </w:p>
    <w:p w14:paraId="3E345294" w14:textId="4D94AF5A" w:rsidR="00DE36FF" w:rsidRPr="00D10AF4" w:rsidRDefault="00DE36FF" w:rsidP="00714101">
      <w:pPr>
        <w:spacing w:line="360" w:lineRule="auto"/>
        <w:jc w:val="both"/>
        <w:rPr>
          <w:rFonts w:ascii="Century Gothic" w:hAnsi="Century Gothic"/>
        </w:rPr>
      </w:pPr>
    </w:p>
    <w:p w14:paraId="0A519EE9" w14:textId="77777777" w:rsidR="00DE36FF" w:rsidRPr="00D10AF4" w:rsidRDefault="00DE36FF" w:rsidP="00714101">
      <w:pPr>
        <w:pStyle w:val="NormalWeb"/>
        <w:spacing w:line="360" w:lineRule="auto"/>
        <w:jc w:val="both"/>
        <w:rPr>
          <w:rFonts w:ascii="Century Gothic" w:hAnsi="Century Gothic" w:cs="Open Sans"/>
        </w:rPr>
      </w:pPr>
      <w:bookmarkStart w:id="0" w:name="638"/>
      <w:r w:rsidRPr="00D10AF4">
        <w:rPr>
          <w:rFonts w:ascii="Century Gothic" w:hAnsi="Century Gothic" w:cs="Open Sans"/>
          <w:b/>
          <w:bCs/>
        </w:rPr>
        <w:t>ARTICULO 638. PRESCRIPCIÓN DE LA FACULTAD PARA IMPONER SANCIONES.</w:t>
      </w:r>
      <w:bookmarkEnd w:id="0"/>
      <w:r w:rsidRPr="00D10AF4">
        <w:rPr>
          <w:rFonts w:ascii="Century Gothic" w:hAnsi="Century Gothic" w:cs="Open Sans"/>
        </w:rPr>
        <w:t> &lt;Artículo modificado por el artículo </w:t>
      </w:r>
      <w:hyperlink r:id="rId4" w:anchor="64" w:history="1">
        <w:r w:rsidRPr="00D10AF4">
          <w:rPr>
            <w:rStyle w:val="Hipervnculo"/>
            <w:rFonts w:ascii="Century Gothic" w:eastAsiaTheme="majorEastAsia" w:hAnsi="Century Gothic" w:cs="Open Sans"/>
            <w:color w:val="auto"/>
          </w:rPr>
          <w:t>64</w:t>
        </w:r>
      </w:hyperlink>
      <w:r w:rsidRPr="00D10AF4">
        <w:rPr>
          <w:rFonts w:ascii="Century Gothic" w:hAnsi="Century Gothic" w:cs="Open Sans"/>
        </w:rPr>
        <w:t xml:space="preserve"> de la Ley 6 de 1992. El nuevo texto es el siguiente:&gt; Cuando las sanciones se impongan en liquidaciones oficiales, la facultad para imponerlas prescribe en el mismo término que existe para practicar la respectiva liquidación oficial. </w:t>
      </w:r>
      <w:r w:rsidRPr="00D10AF4">
        <w:rPr>
          <w:rFonts w:ascii="Century Gothic" w:hAnsi="Century Gothic" w:cs="Open Sans"/>
          <w:highlight w:val="yellow"/>
        </w:rPr>
        <w:t xml:space="preserve">Cuando las sanciones se impongan en resolución independiente, deberá formularse el pliego de cargos correspondiente, </w:t>
      </w:r>
      <w:r w:rsidRPr="00D10AF4">
        <w:rPr>
          <w:rFonts w:ascii="Century Gothic" w:hAnsi="Century Gothic" w:cs="Open Sans"/>
          <w:highlight w:val="cyan"/>
        </w:rPr>
        <w:t xml:space="preserve">dentro de los </w:t>
      </w:r>
      <w:r w:rsidRPr="00D10AF4">
        <w:rPr>
          <w:rFonts w:ascii="Century Gothic" w:hAnsi="Century Gothic" w:cs="Open Sans"/>
          <w:b/>
          <w:bCs/>
          <w:highlight w:val="cyan"/>
          <w:u w:val="single"/>
        </w:rPr>
        <w:t>dos años siguientes a la fecha en que se presentó la declaración de renta y complementarios o de ingresos y patrimonio,</w:t>
      </w:r>
      <w:r w:rsidRPr="00D10AF4">
        <w:rPr>
          <w:rFonts w:ascii="Century Gothic" w:hAnsi="Century Gothic" w:cs="Open Sans"/>
          <w:highlight w:val="yellow"/>
        </w:rPr>
        <w:t xml:space="preserve"> </w:t>
      </w:r>
      <w:r w:rsidRPr="00D10AF4">
        <w:rPr>
          <w:rFonts w:ascii="Century Gothic" w:hAnsi="Century Gothic" w:cs="Open Sans"/>
          <w:b/>
          <w:bCs/>
          <w:highlight w:val="yellow"/>
          <w:u w:val="single"/>
        </w:rPr>
        <w:t>del período durante el cual ocurrió la irregularidad sancionable</w:t>
      </w:r>
      <w:r w:rsidRPr="00D10AF4">
        <w:rPr>
          <w:rFonts w:ascii="Century Gothic" w:hAnsi="Century Gothic" w:cs="Open Sans"/>
          <w:b/>
          <w:bCs/>
          <w:highlight w:val="yellow"/>
        </w:rPr>
        <w:t xml:space="preserve"> </w:t>
      </w:r>
      <w:r w:rsidRPr="00D10AF4">
        <w:rPr>
          <w:rFonts w:ascii="Century Gothic" w:hAnsi="Century Gothic" w:cs="Open Sans"/>
          <w:highlight w:val="green"/>
        </w:rPr>
        <w:t xml:space="preserve">o cesó la irregularidad, para el caso de las infracciones </w:t>
      </w:r>
      <w:proofErr w:type="spellStart"/>
      <w:r w:rsidRPr="00D10AF4">
        <w:rPr>
          <w:rFonts w:ascii="Century Gothic" w:hAnsi="Century Gothic" w:cs="Open Sans"/>
          <w:highlight w:val="green"/>
        </w:rPr>
        <w:t>continúadas</w:t>
      </w:r>
      <w:proofErr w:type="spellEnd"/>
      <w:r w:rsidRPr="00D10AF4">
        <w:rPr>
          <w:rFonts w:ascii="Century Gothic" w:hAnsi="Century Gothic" w:cs="Open Sans"/>
        </w:rPr>
        <w:t>. Salvo en el caso de la sanción por no declarar, de los intereses de mora, y de las sanciones previstas en los artículos </w:t>
      </w:r>
      <w:hyperlink r:id="rId5" w:anchor="659" w:history="1">
        <w:r w:rsidRPr="00D10AF4">
          <w:rPr>
            <w:rStyle w:val="Hipervnculo"/>
            <w:rFonts w:ascii="Century Gothic" w:eastAsiaTheme="majorEastAsia" w:hAnsi="Century Gothic" w:cs="Open Sans"/>
            <w:color w:val="auto"/>
          </w:rPr>
          <w:t>659</w:t>
        </w:r>
      </w:hyperlink>
      <w:r w:rsidRPr="00D10AF4">
        <w:rPr>
          <w:rFonts w:ascii="Century Gothic" w:hAnsi="Century Gothic" w:cs="Open Sans"/>
        </w:rPr>
        <w:t>, </w:t>
      </w:r>
      <w:hyperlink r:id="rId6" w:anchor="659-1" w:history="1">
        <w:r w:rsidRPr="00D10AF4">
          <w:rPr>
            <w:rStyle w:val="Hipervnculo"/>
            <w:rFonts w:ascii="Century Gothic" w:eastAsiaTheme="majorEastAsia" w:hAnsi="Century Gothic" w:cs="Open Sans"/>
            <w:color w:val="auto"/>
          </w:rPr>
          <w:t>659-1</w:t>
        </w:r>
      </w:hyperlink>
      <w:r w:rsidRPr="00D10AF4">
        <w:rPr>
          <w:rFonts w:ascii="Century Gothic" w:hAnsi="Century Gothic" w:cs="Open Sans"/>
        </w:rPr>
        <w:t> y </w:t>
      </w:r>
      <w:hyperlink r:id="rId7" w:anchor="660" w:history="1">
        <w:r w:rsidRPr="00D10AF4">
          <w:rPr>
            <w:rStyle w:val="Hipervnculo"/>
            <w:rFonts w:ascii="Century Gothic" w:eastAsiaTheme="majorEastAsia" w:hAnsi="Century Gothic" w:cs="Open Sans"/>
            <w:color w:val="auto"/>
          </w:rPr>
          <w:t>660</w:t>
        </w:r>
      </w:hyperlink>
      <w:r w:rsidRPr="00D10AF4">
        <w:rPr>
          <w:rFonts w:ascii="Century Gothic" w:hAnsi="Century Gothic" w:cs="Open Sans"/>
        </w:rPr>
        <w:t> del Estatuto Tributario, las cuales prescriben en el término de cinco años.</w:t>
      </w:r>
    </w:p>
    <w:p w14:paraId="784A198C" w14:textId="77777777" w:rsidR="00DE36FF" w:rsidRPr="00D10AF4" w:rsidRDefault="00DE36FF" w:rsidP="00714101">
      <w:pPr>
        <w:pStyle w:val="NormalWeb"/>
        <w:pBdr>
          <w:bottom w:val="single" w:sz="12" w:space="1" w:color="auto"/>
        </w:pBdr>
        <w:spacing w:line="360" w:lineRule="auto"/>
        <w:jc w:val="both"/>
        <w:rPr>
          <w:rFonts w:ascii="Century Gothic" w:hAnsi="Century Gothic" w:cs="Open Sans"/>
        </w:rPr>
      </w:pPr>
      <w:r w:rsidRPr="00D10AF4">
        <w:rPr>
          <w:rFonts w:ascii="Century Gothic" w:hAnsi="Century Gothic" w:cs="Open Sans"/>
        </w:rPr>
        <w:t>Vencido el término de respuesta del pliego de cargos, la Administración Tributaria tendrá un plazo de seis meses para aplicar la sanción correspondiente, previa la práctica de las pruebas a que hubiere lugar.</w:t>
      </w:r>
    </w:p>
    <w:p w14:paraId="4D2FC3E2" w14:textId="77777777" w:rsidR="00DE36FF" w:rsidRPr="00D10AF4" w:rsidRDefault="00DE36FF" w:rsidP="00714101">
      <w:pPr>
        <w:spacing w:line="360" w:lineRule="auto"/>
        <w:jc w:val="both"/>
        <w:rPr>
          <w:rFonts w:ascii="Century Gothic" w:hAnsi="Century Gothic"/>
        </w:rPr>
      </w:pPr>
    </w:p>
    <w:p w14:paraId="1E74D520" w14:textId="77777777" w:rsidR="00D10AF4" w:rsidRDefault="00DE36FF" w:rsidP="00714101">
      <w:pPr>
        <w:spacing w:line="360" w:lineRule="auto"/>
        <w:jc w:val="both"/>
        <w:rPr>
          <w:rFonts w:ascii="Century Gothic" w:hAnsi="Century Gothic"/>
        </w:rPr>
      </w:pPr>
      <w:r w:rsidRPr="00D10AF4">
        <w:rPr>
          <w:rFonts w:ascii="Century Gothic" w:hAnsi="Century Gothic"/>
          <w:b/>
          <w:bCs/>
          <w:highlight w:val="yellow"/>
        </w:rPr>
        <w:t>Ejemplo:</w:t>
      </w:r>
      <w:r w:rsidRPr="00D10AF4">
        <w:rPr>
          <w:rFonts w:ascii="Century Gothic" w:hAnsi="Century Gothic"/>
        </w:rPr>
        <w:t xml:space="preserve"> </w:t>
      </w:r>
    </w:p>
    <w:p w14:paraId="44E743EE" w14:textId="4A059F5B" w:rsidR="00DE36FF" w:rsidRPr="00D10AF4" w:rsidRDefault="00D10AF4" w:rsidP="00714101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DE36FF" w:rsidRPr="00D10AF4">
        <w:rPr>
          <w:rFonts w:ascii="Century Gothic" w:hAnsi="Century Gothic"/>
        </w:rPr>
        <w:t xml:space="preserve">a </w:t>
      </w:r>
      <w:r w:rsidR="00563241" w:rsidRPr="00D10AF4">
        <w:rPr>
          <w:rFonts w:ascii="Century Gothic" w:hAnsi="Century Gothic"/>
        </w:rPr>
        <w:t xml:space="preserve">información exógena del año 2023 se debió enviar en este año 2024, por lo </w:t>
      </w:r>
      <w:r w:rsidRPr="00D10AF4">
        <w:rPr>
          <w:rFonts w:ascii="Century Gothic" w:hAnsi="Century Gothic"/>
        </w:rPr>
        <w:t>tanto,</w:t>
      </w:r>
      <w:r w:rsidR="00563241" w:rsidRPr="00D10AF4">
        <w:rPr>
          <w:rFonts w:ascii="Century Gothic" w:hAnsi="Century Gothic"/>
        </w:rPr>
        <w:t xml:space="preserve"> si no se envía es en este año en que incurrió la irregularidad. Por lo </w:t>
      </w:r>
      <w:r w:rsidRPr="00D10AF4">
        <w:rPr>
          <w:rFonts w:ascii="Century Gothic" w:hAnsi="Century Gothic"/>
        </w:rPr>
        <w:t>tanto,</w:t>
      </w:r>
      <w:r w:rsidR="00563241" w:rsidRPr="00D10AF4">
        <w:rPr>
          <w:rFonts w:ascii="Century Gothic" w:hAnsi="Century Gothic"/>
        </w:rPr>
        <w:t xml:space="preserve"> del pliego de cargos debe ser </w:t>
      </w:r>
      <w:r>
        <w:rPr>
          <w:rFonts w:ascii="Century Gothic" w:hAnsi="Century Gothic"/>
        </w:rPr>
        <w:t xml:space="preserve">proferido por la Dian, </w:t>
      </w:r>
      <w:r w:rsidRPr="00D10AF4">
        <w:rPr>
          <w:rFonts w:ascii="Century Gothic" w:hAnsi="Century Gothic"/>
        </w:rPr>
        <w:t>como</w:t>
      </w:r>
      <w:r w:rsidR="00563241" w:rsidRPr="00D10AF4">
        <w:rPr>
          <w:rFonts w:ascii="Century Gothic" w:hAnsi="Century Gothic"/>
        </w:rPr>
        <w:t xml:space="preserve"> máximo </w:t>
      </w:r>
      <w:r w:rsidR="00563241" w:rsidRPr="00D10AF4">
        <w:rPr>
          <w:rFonts w:ascii="Century Gothic" w:hAnsi="Century Gothic"/>
        </w:rPr>
        <w:lastRenderedPageBreak/>
        <w:t xml:space="preserve">dentro de los dos siguientes a la presentación de la declaración de renta del año en que incurrió la irregularidad (año 2024), declaración que se presentará en abril o mayo del año 2025. Por lo </w:t>
      </w:r>
      <w:r w:rsidRPr="00D10AF4">
        <w:rPr>
          <w:rFonts w:ascii="Century Gothic" w:hAnsi="Century Gothic"/>
        </w:rPr>
        <w:t>tanto,</w:t>
      </w:r>
      <w:r w:rsidR="00563241" w:rsidRPr="00D10AF4">
        <w:rPr>
          <w:rFonts w:ascii="Century Gothic" w:hAnsi="Century Gothic"/>
        </w:rPr>
        <w:t xml:space="preserve"> los dos años comenzarán a contarse a partir de abril o mayo de 2025, lo que nos da tres años. </w:t>
      </w:r>
    </w:p>
    <w:p w14:paraId="6F232E7E" w14:textId="54BF3FBF" w:rsidR="00563241" w:rsidRPr="00D10AF4" w:rsidRDefault="00563241" w:rsidP="00714101">
      <w:pPr>
        <w:spacing w:line="360" w:lineRule="auto"/>
        <w:jc w:val="both"/>
        <w:rPr>
          <w:rFonts w:ascii="Century Gothic" w:hAnsi="Century Gothic"/>
        </w:rPr>
      </w:pPr>
      <w:r w:rsidRPr="00D10AF4">
        <w:rPr>
          <w:rFonts w:ascii="Century Gothic" w:hAnsi="Century Gothic"/>
          <w:b/>
          <w:bCs/>
        </w:rPr>
        <w:t>Nota:</w:t>
      </w:r>
      <w:r w:rsidRPr="00D10AF4">
        <w:rPr>
          <w:rFonts w:ascii="Century Gothic" w:hAnsi="Century Gothic"/>
        </w:rPr>
        <w:t xml:space="preserve"> </w:t>
      </w:r>
      <w:r w:rsidRPr="00D10AF4">
        <w:rPr>
          <w:rFonts w:ascii="Century Gothic" w:hAnsi="Century Gothic"/>
          <w:b/>
          <w:bCs/>
        </w:rPr>
        <w:t>e</w:t>
      </w:r>
      <w:r w:rsidR="00714101" w:rsidRPr="00D10AF4">
        <w:rPr>
          <w:rFonts w:ascii="Century Gothic" w:hAnsi="Century Gothic"/>
          <w:b/>
          <w:bCs/>
        </w:rPr>
        <w:t>l año al que corresponda la exógena no aplica</w:t>
      </w:r>
      <w:r w:rsidR="00714101" w:rsidRPr="00D10AF4">
        <w:rPr>
          <w:rFonts w:ascii="Century Gothic" w:hAnsi="Century Gothic"/>
        </w:rPr>
        <w:t xml:space="preserve">. </w:t>
      </w:r>
      <w:r w:rsidR="00714101" w:rsidRPr="00D10AF4">
        <w:rPr>
          <w:rFonts w:ascii="Century Gothic" w:hAnsi="Century Gothic"/>
          <w:highlight w:val="yellow"/>
        </w:rPr>
        <w:t>Aplica para los dos años</w:t>
      </w:r>
      <w:r w:rsidR="00D10AF4" w:rsidRPr="00D10AF4">
        <w:rPr>
          <w:rFonts w:ascii="Century Gothic" w:hAnsi="Century Gothic"/>
          <w:highlight w:val="yellow"/>
        </w:rPr>
        <w:t>,</w:t>
      </w:r>
      <w:r w:rsidR="00714101" w:rsidRPr="00D10AF4">
        <w:rPr>
          <w:rFonts w:ascii="Century Gothic" w:hAnsi="Century Gothic"/>
          <w:highlight w:val="yellow"/>
        </w:rPr>
        <w:t xml:space="preserve"> el año en que se debe presentar la exógena que en el anterior ejemplo es el año 2024, la cuál apenas se presentará en el año 2025.</w:t>
      </w:r>
    </w:p>
    <w:p w14:paraId="2E777341" w14:textId="35C9B78D" w:rsidR="00714101" w:rsidRPr="00D10AF4" w:rsidRDefault="00714101" w:rsidP="00714101">
      <w:pPr>
        <w:spacing w:line="360" w:lineRule="auto"/>
        <w:jc w:val="both"/>
        <w:rPr>
          <w:rFonts w:ascii="Century Gothic" w:hAnsi="Century Gothic"/>
        </w:rPr>
      </w:pPr>
      <w:r w:rsidRPr="00D10AF4">
        <w:rPr>
          <w:rFonts w:ascii="Century Gothic" w:hAnsi="Century Gothic"/>
        </w:rPr>
        <w:t xml:space="preserve">Aplicando esta regla, la exógena para las personas jurídicas </w:t>
      </w:r>
      <w:r w:rsidR="00A40ED3" w:rsidRPr="00D10AF4">
        <w:rPr>
          <w:rFonts w:ascii="Century Gothic" w:hAnsi="Century Gothic"/>
        </w:rPr>
        <w:t xml:space="preserve">y naturales </w:t>
      </w:r>
      <w:r w:rsidRPr="00D10AF4">
        <w:rPr>
          <w:rFonts w:ascii="Century Gothic" w:hAnsi="Century Gothic"/>
        </w:rPr>
        <w:t>del año 2021 que se debió presentar en el año 2022, cuya declaración de renta se debió presentar en el</w:t>
      </w:r>
      <w:r w:rsidR="00A40ED3" w:rsidRPr="00D10AF4">
        <w:rPr>
          <w:rFonts w:ascii="Century Gothic" w:hAnsi="Century Gothic"/>
        </w:rPr>
        <w:t xml:space="preserve"> </w:t>
      </w:r>
      <w:r w:rsidRPr="00D10AF4">
        <w:rPr>
          <w:rFonts w:ascii="Century Gothic" w:hAnsi="Century Gothic"/>
        </w:rPr>
        <w:t>año 2023, sólo vencerá en el mes de abril o mayo de 2025. (dos años después de que se presente la declaración del año en que se debió enviar la información</w:t>
      </w:r>
      <w:r w:rsidR="00A40ED3" w:rsidRPr="00D10AF4">
        <w:rPr>
          <w:rFonts w:ascii="Century Gothic" w:hAnsi="Century Gothic"/>
        </w:rPr>
        <w:t xml:space="preserve"> y que corresponde al año 2021</w:t>
      </w:r>
      <w:r w:rsidR="00D10AF4">
        <w:rPr>
          <w:rFonts w:ascii="Century Gothic" w:hAnsi="Century Gothic"/>
        </w:rPr>
        <w:t>, la cual se presentó en el año 2022</w:t>
      </w:r>
      <w:r w:rsidRPr="00D10AF4">
        <w:rPr>
          <w:rFonts w:ascii="Century Gothic" w:hAnsi="Century Gothic"/>
        </w:rPr>
        <w:t xml:space="preserve">). </w:t>
      </w:r>
    </w:p>
    <w:sectPr w:rsidR="00714101" w:rsidRPr="00D1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FF"/>
    <w:rsid w:val="001A326E"/>
    <w:rsid w:val="004156E6"/>
    <w:rsid w:val="00563241"/>
    <w:rsid w:val="0069600A"/>
    <w:rsid w:val="00714101"/>
    <w:rsid w:val="00A40ED3"/>
    <w:rsid w:val="00A44159"/>
    <w:rsid w:val="00D10AF4"/>
    <w:rsid w:val="00D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D2CF"/>
  <w15:chartTrackingRefBased/>
  <w15:docId w15:val="{54C08E94-1D37-41A2-9B68-B38D3501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6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6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6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6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6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6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6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6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6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6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6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DE3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cretariasenado.gov.co/senado/basedoc/estatuto_tributario_pr02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estatuto_tributario_pr027.html" TargetMode="External"/><Relationship Id="rId5" Type="http://schemas.openxmlformats.org/officeDocument/2006/relationships/hyperlink" Target="http://www.secretariasenado.gov.co/senado/basedoc/estatuto_tributario_pr027.html" TargetMode="External"/><Relationship Id="rId4" Type="http://schemas.openxmlformats.org/officeDocument/2006/relationships/hyperlink" Target="http://www.secretariasenado.gov.co/senado/basedoc/ley_0006_1992_pr00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Diana Alexandra Orozco López</cp:lastModifiedBy>
  <cp:revision>2</cp:revision>
  <dcterms:created xsi:type="dcterms:W3CDTF">2024-12-10T14:03:00Z</dcterms:created>
  <dcterms:modified xsi:type="dcterms:W3CDTF">2024-12-10T14:03:00Z</dcterms:modified>
</cp:coreProperties>
</file>