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5887" w14:textId="77777777" w:rsidR="002B5A40" w:rsidRPr="00717F8E" w:rsidRDefault="002B5A40" w:rsidP="00717F8E">
      <w:pPr>
        <w:spacing w:line="360" w:lineRule="auto"/>
      </w:pPr>
    </w:p>
    <w:p w14:paraId="675995C1" w14:textId="77777777" w:rsidR="00717F8E" w:rsidRPr="00717F8E" w:rsidRDefault="00717F8E" w:rsidP="00717F8E">
      <w:pPr>
        <w:spacing w:after="0" w:line="360" w:lineRule="auto"/>
        <w:jc w:val="center"/>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 xml:space="preserve">Concepto </w:t>
      </w:r>
      <w:proofErr w:type="spellStart"/>
      <w:r w:rsidRPr="00717F8E">
        <w:rPr>
          <w:rFonts w:ascii="Segoe UI" w:eastAsia="Times New Roman" w:hAnsi="Segoe UI" w:cs="Segoe UI"/>
          <w:b/>
          <w:bCs/>
          <w:color w:val="000000"/>
          <w:kern w:val="0"/>
          <w:lang w:eastAsia="es-CO"/>
          <w14:ligatures w14:val="none"/>
        </w:rPr>
        <w:t>Nº</w:t>
      </w:r>
      <w:proofErr w:type="spellEnd"/>
      <w:r w:rsidRPr="00717F8E">
        <w:rPr>
          <w:rFonts w:ascii="Segoe UI" w:eastAsia="Times New Roman" w:hAnsi="Segoe UI" w:cs="Segoe UI"/>
          <w:b/>
          <w:bCs/>
          <w:color w:val="000000"/>
          <w:kern w:val="0"/>
          <w:lang w:eastAsia="es-CO"/>
          <w14:ligatures w14:val="none"/>
        </w:rPr>
        <w:t xml:space="preserve"> 0589</w:t>
      </w:r>
    </w:p>
    <w:p w14:paraId="3437A1BD" w14:textId="77777777" w:rsidR="00717F8E" w:rsidRPr="00717F8E" w:rsidRDefault="00717F8E" w:rsidP="00717F8E">
      <w:pPr>
        <w:spacing w:after="0" w:line="360" w:lineRule="auto"/>
        <w:jc w:val="center"/>
        <w:rPr>
          <w:rFonts w:ascii="Segoe UI" w:eastAsia="Times New Roman" w:hAnsi="Segoe UI" w:cs="Segoe UI"/>
          <w:b/>
          <w:bCs/>
          <w:color w:val="000000"/>
          <w:kern w:val="0"/>
          <w:lang w:eastAsia="es-CO"/>
          <w14:ligatures w14:val="none"/>
        </w:rPr>
      </w:pPr>
    </w:p>
    <w:p w14:paraId="72D2EF0B" w14:textId="206DED5C" w:rsidR="00717F8E" w:rsidRPr="00717F8E" w:rsidRDefault="00717F8E" w:rsidP="00717F8E">
      <w:pPr>
        <w:spacing w:after="0" w:line="360" w:lineRule="auto"/>
        <w:jc w:val="center"/>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29-12-2023</w:t>
      </w:r>
    </w:p>
    <w:p w14:paraId="4333672F" w14:textId="77777777" w:rsidR="00717F8E" w:rsidRPr="00717F8E" w:rsidRDefault="00717F8E" w:rsidP="00717F8E">
      <w:pPr>
        <w:spacing w:after="0" w:line="360" w:lineRule="auto"/>
        <w:jc w:val="center"/>
        <w:rPr>
          <w:rFonts w:ascii="Segoe UI" w:eastAsia="Times New Roman" w:hAnsi="Segoe UI" w:cs="Segoe UI"/>
          <w:b/>
          <w:bCs/>
          <w:color w:val="000000"/>
          <w:kern w:val="0"/>
          <w:lang w:eastAsia="es-CO"/>
          <w14:ligatures w14:val="none"/>
        </w:rPr>
      </w:pPr>
    </w:p>
    <w:p w14:paraId="21296259" w14:textId="554495CB" w:rsidR="00717F8E" w:rsidRPr="00717F8E" w:rsidRDefault="00717F8E" w:rsidP="00717F8E">
      <w:pPr>
        <w:spacing w:after="0" w:line="360" w:lineRule="auto"/>
        <w:jc w:val="center"/>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Consejo Técnico de la Contaduría Pública</w:t>
      </w:r>
    </w:p>
    <w:p w14:paraId="4BAEB2CB"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080DF402"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1A56B789"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Bogotá, D.C.,</w:t>
      </w:r>
    </w:p>
    <w:p w14:paraId="0BCBCF33"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751"/>
        <w:gridCol w:w="3239"/>
      </w:tblGrid>
      <w:tr w:rsidR="00717F8E" w:rsidRPr="00717F8E" w14:paraId="2BBA565A" w14:textId="77777777" w:rsidTr="00717F8E">
        <w:tc>
          <w:tcPr>
            <w:tcW w:w="2751" w:type="dxa"/>
            <w:tcBorders>
              <w:top w:val="nil"/>
              <w:left w:val="nil"/>
              <w:bottom w:val="nil"/>
              <w:right w:val="nil"/>
            </w:tcBorders>
            <w:shd w:val="clear" w:color="auto" w:fill="BFBFBF"/>
            <w:tcMar>
              <w:top w:w="0" w:type="dxa"/>
              <w:left w:w="105" w:type="dxa"/>
              <w:bottom w:w="0" w:type="dxa"/>
              <w:right w:w="105" w:type="dxa"/>
            </w:tcMar>
            <w:hideMark/>
          </w:tcPr>
          <w:p w14:paraId="24D8957F"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b/>
                <w:bCs/>
                <w:kern w:val="0"/>
                <w:lang w:eastAsia="es-CO"/>
                <w14:ligatures w14:val="none"/>
              </w:rPr>
              <w:t>REFERENCIA:</w:t>
            </w:r>
          </w:p>
        </w:tc>
        <w:tc>
          <w:tcPr>
            <w:tcW w:w="3239" w:type="dxa"/>
            <w:tcBorders>
              <w:top w:val="nil"/>
              <w:left w:val="nil"/>
              <w:bottom w:val="nil"/>
              <w:right w:val="nil"/>
            </w:tcBorders>
            <w:shd w:val="clear" w:color="auto" w:fill="BFBFBF"/>
            <w:tcMar>
              <w:top w:w="0" w:type="dxa"/>
              <w:left w:w="105" w:type="dxa"/>
              <w:bottom w:w="0" w:type="dxa"/>
              <w:right w:w="105" w:type="dxa"/>
            </w:tcMar>
            <w:hideMark/>
          </w:tcPr>
          <w:p w14:paraId="23EBE4EE"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kern w:val="0"/>
                <w:lang w:eastAsia="es-CO"/>
                <w14:ligatures w14:val="none"/>
              </w:rPr>
              <w:t> </w:t>
            </w:r>
          </w:p>
        </w:tc>
      </w:tr>
      <w:tr w:rsidR="00717F8E" w:rsidRPr="00717F8E" w14:paraId="5383F7D5" w14:textId="77777777" w:rsidTr="00717F8E">
        <w:tc>
          <w:tcPr>
            <w:tcW w:w="2751" w:type="dxa"/>
            <w:tcBorders>
              <w:top w:val="nil"/>
              <w:left w:val="nil"/>
              <w:bottom w:val="nil"/>
              <w:right w:val="nil"/>
            </w:tcBorders>
            <w:tcMar>
              <w:top w:w="0" w:type="dxa"/>
              <w:left w:w="105" w:type="dxa"/>
              <w:bottom w:w="0" w:type="dxa"/>
              <w:right w:w="105" w:type="dxa"/>
            </w:tcMar>
            <w:hideMark/>
          </w:tcPr>
          <w:p w14:paraId="268F9702"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kern w:val="0"/>
                <w:lang w:eastAsia="es-CO"/>
                <w14:ligatures w14:val="none"/>
              </w:rPr>
              <w:t>No. del Radicado</w:t>
            </w:r>
          </w:p>
        </w:tc>
        <w:tc>
          <w:tcPr>
            <w:tcW w:w="3239" w:type="dxa"/>
            <w:tcBorders>
              <w:top w:val="nil"/>
              <w:left w:val="nil"/>
              <w:bottom w:val="nil"/>
              <w:right w:val="nil"/>
            </w:tcBorders>
            <w:tcMar>
              <w:top w:w="0" w:type="dxa"/>
              <w:left w:w="105" w:type="dxa"/>
              <w:bottom w:w="0" w:type="dxa"/>
              <w:right w:w="105" w:type="dxa"/>
            </w:tcMar>
            <w:hideMark/>
          </w:tcPr>
          <w:p w14:paraId="6DA0F92C"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kern w:val="0"/>
                <w:lang w:eastAsia="es-CO"/>
                <w14:ligatures w14:val="none"/>
              </w:rPr>
              <w:t>1-2023-043935</w:t>
            </w:r>
          </w:p>
        </w:tc>
      </w:tr>
      <w:tr w:rsidR="00717F8E" w:rsidRPr="00717F8E" w14:paraId="71368787" w14:textId="77777777" w:rsidTr="00717F8E">
        <w:tc>
          <w:tcPr>
            <w:tcW w:w="2751" w:type="dxa"/>
            <w:tcBorders>
              <w:top w:val="nil"/>
              <w:left w:val="nil"/>
              <w:bottom w:val="nil"/>
              <w:right w:val="nil"/>
            </w:tcBorders>
            <w:tcMar>
              <w:top w:w="0" w:type="dxa"/>
              <w:left w:w="105" w:type="dxa"/>
              <w:bottom w:w="0" w:type="dxa"/>
              <w:right w:w="105" w:type="dxa"/>
            </w:tcMar>
            <w:hideMark/>
          </w:tcPr>
          <w:p w14:paraId="08C7811F"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kern w:val="0"/>
                <w:lang w:eastAsia="es-CO"/>
                <w14:ligatures w14:val="none"/>
              </w:rPr>
              <w:t>Fecha de Radicado</w:t>
            </w:r>
          </w:p>
        </w:tc>
        <w:tc>
          <w:tcPr>
            <w:tcW w:w="3239" w:type="dxa"/>
            <w:tcBorders>
              <w:top w:val="nil"/>
              <w:left w:val="nil"/>
              <w:bottom w:val="nil"/>
              <w:right w:val="nil"/>
            </w:tcBorders>
            <w:tcMar>
              <w:top w:w="0" w:type="dxa"/>
              <w:left w:w="105" w:type="dxa"/>
              <w:bottom w:w="0" w:type="dxa"/>
              <w:right w:w="105" w:type="dxa"/>
            </w:tcMar>
            <w:hideMark/>
          </w:tcPr>
          <w:p w14:paraId="68B13476"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kern w:val="0"/>
                <w:lang w:eastAsia="es-CO"/>
                <w14:ligatures w14:val="none"/>
              </w:rPr>
              <w:t>23 de noviembre del 2023</w:t>
            </w:r>
          </w:p>
        </w:tc>
      </w:tr>
      <w:tr w:rsidR="00717F8E" w:rsidRPr="00717F8E" w14:paraId="4311EBBA" w14:textId="77777777" w:rsidTr="00717F8E">
        <w:tc>
          <w:tcPr>
            <w:tcW w:w="2751" w:type="dxa"/>
            <w:tcBorders>
              <w:top w:val="nil"/>
              <w:left w:val="nil"/>
              <w:bottom w:val="nil"/>
              <w:right w:val="nil"/>
            </w:tcBorders>
            <w:tcMar>
              <w:top w:w="0" w:type="dxa"/>
              <w:left w:w="105" w:type="dxa"/>
              <w:bottom w:w="0" w:type="dxa"/>
              <w:right w:w="105" w:type="dxa"/>
            </w:tcMar>
            <w:hideMark/>
          </w:tcPr>
          <w:p w14:paraId="53FA3F20"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proofErr w:type="spellStart"/>
            <w:r w:rsidRPr="00717F8E">
              <w:rPr>
                <w:rFonts w:ascii="Segoe UI" w:eastAsia="Times New Roman" w:hAnsi="Segoe UI" w:cs="Segoe UI"/>
                <w:kern w:val="0"/>
                <w:lang w:eastAsia="es-CO"/>
                <w14:ligatures w14:val="none"/>
              </w:rPr>
              <w:t>Nº</w:t>
            </w:r>
            <w:proofErr w:type="spellEnd"/>
            <w:r w:rsidRPr="00717F8E">
              <w:rPr>
                <w:rFonts w:ascii="Segoe UI" w:eastAsia="Times New Roman" w:hAnsi="Segoe UI" w:cs="Segoe UI"/>
                <w:kern w:val="0"/>
                <w:lang w:eastAsia="es-CO"/>
                <w14:ligatures w14:val="none"/>
              </w:rPr>
              <w:t xml:space="preserve"> de Radicación CTCP</w:t>
            </w:r>
          </w:p>
        </w:tc>
        <w:tc>
          <w:tcPr>
            <w:tcW w:w="3239" w:type="dxa"/>
            <w:tcBorders>
              <w:top w:val="nil"/>
              <w:left w:val="nil"/>
              <w:bottom w:val="nil"/>
              <w:right w:val="nil"/>
            </w:tcBorders>
            <w:tcMar>
              <w:top w:w="0" w:type="dxa"/>
              <w:left w:w="105" w:type="dxa"/>
              <w:bottom w:w="0" w:type="dxa"/>
              <w:right w:w="105" w:type="dxa"/>
            </w:tcMar>
            <w:hideMark/>
          </w:tcPr>
          <w:p w14:paraId="42549CD8" w14:textId="77777777" w:rsidR="00717F8E" w:rsidRPr="00717F8E" w:rsidRDefault="00717F8E" w:rsidP="00717F8E">
            <w:pPr>
              <w:spacing w:after="0" w:line="360" w:lineRule="auto"/>
              <w:jc w:val="both"/>
              <w:rPr>
                <w:rFonts w:ascii="Segoe UI" w:eastAsia="Times New Roman" w:hAnsi="Segoe UI" w:cs="Segoe UI"/>
                <w:kern w:val="0"/>
                <w:lang w:eastAsia="es-CO"/>
                <w14:ligatures w14:val="none"/>
              </w:rPr>
            </w:pPr>
            <w:r w:rsidRPr="00717F8E">
              <w:rPr>
                <w:rFonts w:ascii="Segoe UI" w:eastAsia="Times New Roman" w:hAnsi="Segoe UI" w:cs="Segoe UI"/>
                <w:kern w:val="0"/>
                <w:lang w:eastAsia="es-CO"/>
                <w14:ligatures w14:val="none"/>
              </w:rPr>
              <w:t>2023-0589</w:t>
            </w:r>
          </w:p>
        </w:tc>
      </w:tr>
      <w:tr w:rsidR="00717F8E" w:rsidRPr="00717F8E" w14:paraId="47846D38" w14:textId="77777777" w:rsidTr="00717F8E">
        <w:tc>
          <w:tcPr>
            <w:tcW w:w="2751" w:type="dxa"/>
            <w:tcBorders>
              <w:top w:val="nil"/>
              <w:left w:val="nil"/>
              <w:bottom w:val="nil"/>
              <w:right w:val="nil"/>
            </w:tcBorders>
            <w:tcMar>
              <w:top w:w="0" w:type="dxa"/>
              <w:left w:w="105" w:type="dxa"/>
              <w:bottom w:w="0" w:type="dxa"/>
              <w:right w:w="105" w:type="dxa"/>
            </w:tcMar>
            <w:hideMark/>
          </w:tcPr>
          <w:p w14:paraId="218D0F92" w14:textId="77777777" w:rsidR="00717F8E" w:rsidRPr="00717F8E" w:rsidRDefault="00717F8E" w:rsidP="00717F8E">
            <w:pPr>
              <w:spacing w:after="0" w:line="360" w:lineRule="auto"/>
              <w:jc w:val="both"/>
              <w:rPr>
                <w:rFonts w:ascii="Segoe UI" w:eastAsia="Times New Roman" w:hAnsi="Segoe UI" w:cs="Segoe UI"/>
                <w:kern w:val="0"/>
                <w:sz w:val="32"/>
                <w:szCs w:val="32"/>
                <w:highlight w:val="yellow"/>
                <w:lang w:eastAsia="es-CO"/>
                <w14:ligatures w14:val="none"/>
              </w:rPr>
            </w:pPr>
            <w:r w:rsidRPr="00717F8E">
              <w:rPr>
                <w:rFonts w:ascii="Segoe UI" w:eastAsia="Times New Roman" w:hAnsi="Segoe UI" w:cs="Segoe UI"/>
                <w:kern w:val="0"/>
                <w:sz w:val="32"/>
                <w:szCs w:val="32"/>
                <w:highlight w:val="yellow"/>
                <w:lang w:eastAsia="es-CO"/>
                <w14:ligatures w14:val="none"/>
              </w:rPr>
              <w:t>Tema</w:t>
            </w:r>
          </w:p>
        </w:tc>
        <w:tc>
          <w:tcPr>
            <w:tcW w:w="3239" w:type="dxa"/>
            <w:tcBorders>
              <w:top w:val="nil"/>
              <w:left w:val="nil"/>
              <w:bottom w:val="nil"/>
              <w:right w:val="nil"/>
            </w:tcBorders>
            <w:tcMar>
              <w:top w:w="0" w:type="dxa"/>
              <w:left w:w="105" w:type="dxa"/>
              <w:bottom w:w="0" w:type="dxa"/>
              <w:right w:w="105" w:type="dxa"/>
            </w:tcMar>
            <w:hideMark/>
          </w:tcPr>
          <w:p w14:paraId="3B9B1514" w14:textId="77777777" w:rsidR="00717F8E" w:rsidRPr="00717F8E" w:rsidRDefault="00717F8E" w:rsidP="00717F8E">
            <w:pPr>
              <w:spacing w:after="0" w:line="360" w:lineRule="auto"/>
              <w:jc w:val="both"/>
              <w:rPr>
                <w:rFonts w:ascii="Segoe UI" w:eastAsia="Times New Roman" w:hAnsi="Segoe UI" w:cs="Segoe UI"/>
                <w:kern w:val="0"/>
                <w:sz w:val="32"/>
                <w:szCs w:val="32"/>
                <w:highlight w:val="yellow"/>
                <w:lang w:eastAsia="es-CO"/>
                <w14:ligatures w14:val="none"/>
              </w:rPr>
            </w:pPr>
            <w:r w:rsidRPr="00717F8E">
              <w:rPr>
                <w:rFonts w:ascii="Segoe UI" w:eastAsia="Times New Roman" w:hAnsi="Segoe UI" w:cs="Segoe UI"/>
                <w:kern w:val="0"/>
                <w:sz w:val="32"/>
                <w:szCs w:val="32"/>
                <w:highlight w:val="yellow"/>
                <w:lang w:eastAsia="es-CO"/>
                <w14:ligatures w14:val="none"/>
              </w:rPr>
              <w:t>Preguntas varias grupo 3</w:t>
            </w:r>
          </w:p>
        </w:tc>
      </w:tr>
    </w:tbl>
    <w:p w14:paraId="3E5EC5BA"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54D435E1"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6C23D340"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CONSULTA (TEXTUAL)</w:t>
      </w:r>
    </w:p>
    <w:p w14:paraId="356C2846"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1151E02C" w14:textId="77777777"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“1. Por favor me podrían aclarar si mi entendimiento al siguiente párrafo del artículo 1.1.3.1 del Decreto 1670/21 es correcto?</w:t>
      </w:r>
    </w:p>
    <w:p w14:paraId="34190294" w14:textId="77777777" w:rsidR="00717F8E" w:rsidRP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0D11AA31" w14:textId="6C5FD91C"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 xml:space="preserve">(…) párrafo quiere decir que toda micro, pequeña, o mediana empresa constituida a partir de enero de 2023 así no cumplan el tope de ingresos según el sector al que pertenezcan ni los demás requisitos indicados en el artículo en referencia pueden </w:t>
      </w:r>
      <w:r w:rsidRPr="00717F8E">
        <w:rPr>
          <w:rFonts w:ascii="Segoe UI" w:eastAsia="Times New Roman" w:hAnsi="Segoe UI" w:cs="Segoe UI"/>
          <w:i/>
          <w:iCs/>
          <w:color w:val="000000"/>
          <w:kern w:val="0"/>
          <w:lang w:eastAsia="es-CO"/>
          <w14:ligatures w14:val="none"/>
        </w:rPr>
        <w:lastRenderedPageBreak/>
        <w:t>pertenecer al grupo 3 máximo por 3 años, a que nuevas entidades se refiere y que se debe hacer después de estos 3 años?</w:t>
      </w:r>
    </w:p>
    <w:p w14:paraId="37B31600" w14:textId="77777777" w:rsidR="00717F8E" w:rsidRP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79BAC1BC" w14:textId="66B48DDC"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Ejemplo: Una empresa se constituyó en 2023 porque cumplía el tope de los ingresos de acuerdo con el sector al que pertenece para ser microempresa, dicha empresa solo puede estar es este grupo máximo por 3 años? o lo que debe hacer es que al cumplir los 3 años evalúe los requisitos para ver si puede permanecer en el grupo 3 y de no cumplirlos deberá pasar al grupo que le corresponda (Grupo 2, o grupo 1)?</w:t>
      </w:r>
    </w:p>
    <w:p w14:paraId="06F59E1F" w14:textId="77777777" w:rsidR="00717F8E" w:rsidRP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0CA74262" w14:textId="3E84C7E6"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2. Los arrendamientos de una empresa bajo grupo 3 durante los años 2023 y 2024 se deben manejar como operativo, o como arrendamiento financiero reconociendo tanto el activo como el pasivo, depreciación del activo etc.?</w:t>
      </w:r>
    </w:p>
    <w:p w14:paraId="31D16CA9" w14:textId="77777777" w:rsidR="00717F8E" w:rsidRP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07AA7176" w14:textId="17BFBD64"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3. En la adopción por primera vez de la norma información financiera para las microempresas, si la empresa fue constituida en 2023 sólo deberá hacer el estado de situación financiera de apertura?</w:t>
      </w:r>
    </w:p>
    <w:p w14:paraId="7058F9A4" w14:textId="77777777" w:rsidR="00717F8E" w:rsidRP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30CF76C3" w14:textId="7A86D71C"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 xml:space="preserve">4. La empresa (Grupo 3) va a elaborar sus primeros estados financieros comparativos (Estado de situación financiera, estado de resultados a Diciembre 31 de 2023. </w:t>
      </w:r>
      <w:proofErr w:type="gramStart"/>
      <w:r w:rsidRPr="00717F8E">
        <w:rPr>
          <w:rFonts w:ascii="Segoe UI" w:eastAsia="Times New Roman" w:hAnsi="Segoe UI" w:cs="Segoe UI"/>
          <w:i/>
          <w:iCs/>
          <w:color w:val="000000"/>
          <w:kern w:val="0"/>
          <w:lang w:eastAsia="es-CO"/>
          <w14:ligatures w14:val="none"/>
        </w:rPr>
        <w:t xml:space="preserve">Por </w:t>
      </w:r>
      <w:r w:rsidRPr="00717F8E">
        <w:rPr>
          <w:rFonts w:ascii="Segoe UI" w:eastAsia="Times New Roman" w:hAnsi="Segoe UI" w:cs="Segoe UI"/>
          <w:i/>
          <w:iCs/>
          <w:color w:val="000000"/>
          <w:kern w:val="0"/>
          <w:lang w:eastAsia="es-CO"/>
          <w14:ligatures w14:val="none"/>
        </w:rPr>
        <w:t>consiguiente,</w:t>
      </w:r>
      <w:r w:rsidRPr="00717F8E">
        <w:rPr>
          <w:rFonts w:ascii="Segoe UI" w:eastAsia="Times New Roman" w:hAnsi="Segoe UI" w:cs="Segoe UI"/>
          <w:i/>
          <w:iCs/>
          <w:color w:val="000000"/>
          <w:kern w:val="0"/>
          <w:lang w:eastAsia="es-CO"/>
          <w14:ligatures w14:val="none"/>
        </w:rPr>
        <w:t xml:space="preserve"> la información del año anterior (2022) está en cero ya que fue constituida en 2023, entonces la columna del año 2022 iría toda en 0, o no se mostraría la columna del año 2022?</w:t>
      </w:r>
      <w:proofErr w:type="gramEnd"/>
      <w:r w:rsidRPr="00717F8E">
        <w:rPr>
          <w:rFonts w:ascii="Segoe UI" w:eastAsia="Times New Roman" w:hAnsi="Segoe UI" w:cs="Segoe UI"/>
          <w:i/>
          <w:iCs/>
          <w:color w:val="000000"/>
          <w:kern w:val="0"/>
          <w:lang w:eastAsia="es-CO"/>
          <w14:ligatures w14:val="none"/>
        </w:rPr>
        <w:t xml:space="preserve"> </w:t>
      </w:r>
      <w:proofErr w:type="gramStart"/>
      <w:r w:rsidRPr="00717F8E">
        <w:rPr>
          <w:rFonts w:ascii="Segoe UI" w:eastAsia="Times New Roman" w:hAnsi="Segoe UI" w:cs="Segoe UI"/>
          <w:i/>
          <w:iCs/>
          <w:color w:val="000000"/>
          <w:kern w:val="0"/>
          <w:lang w:eastAsia="es-CO"/>
          <w14:ligatures w14:val="none"/>
        </w:rPr>
        <w:t>Igualmente,</w:t>
      </w:r>
      <w:r w:rsidRPr="00717F8E">
        <w:rPr>
          <w:rFonts w:ascii="Segoe UI" w:eastAsia="Times New Roman" w:hAnsi="Segoe UI" w:cs="Segoe UI"/>
          <w:i/>
          <w:iCs/>
          <w:color w:val="000000"/>
          <w:kern w:val="0"/>
          <w:lang w:eastAsia="es-CO"/>
          <w14:ligatures w14:val="none"/>
        </w:rPr>
        <w:t xml:space="preserve"> en el caso que la empresa decida hacer flujo de efectivo, si no hay información en 2022 para generar las variaciones que se requieren para su elaboración, entonces no habría lugar a su preparación?</w:t>
      </w:r>
      <w:proofErr w:type="gramEnd"/>
    </w:p>
    <w:p w14:paraId="71D0CC0B" w14:textId="77777777" w:rsid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220BE7D7" w14:textId="5BC6B9BF"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lastRenderedPageBreak/>
        <w:t>5. El anexo técnico del grupo 3 indica que si no se contempla o incluye el manejo de determinada transacción se debe remitir al marco normativo siguiente. (Ej. ingresos generados por contratos de construcción que se reconocen por grado de avance), para este ejemplo sólo adoptaría la sección 23 para pymes, no se debe adoptar el marco normativo completo para el grupo 2, es correcto?</w:t>
      </w:r>
    </w:p>
    <w:p w14:paraId="6F13F70F" w14:textId="77777777" w:rsid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3DC9E425" w14:textId="2E4A2FAE"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6. El grupo 3 está obligado a calcular impuesto diferido?</w:t>
      </w:r>
    </w:p>
    <w:p w14:paraId="6BFCC963" w14:textId="77777777" w:rsid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05422C66" w14:textId="6BF9DF6A"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 xml:space="preserve">7. El término o sigla adecuado para referirse al grupo 3 es: </w:t>
      </w:r>
      <w:proofErr w:type="gramStart"/>
      <w:r w:rsidRPr="00717F8E">
        <w:rPr>
          <w:rFonts w:ascii="Segoe UI" w:eastAsia="Times New Roman" w:hAnsi="Segoe UI" w:cs="Segoe UI"/>
          <w:i/>
          <w:iCs/>
          <w:color w:val="000000"/>
          <w:kern w:val="0"/>
          <w:lang w:eastAsia="es-CO"/>
          <w14:ligatures w14:val="none"/>
        </w:rPr>
        <w:t>NIF grupo 3 (con una sola I) o NIIF grupo 3?</w:t>
      </w:r>
      <w:proofErr w:type="gramEnd"/>
    </w:p>
    <w:p w14:paraId="540CCAE5" w14:textId="77777777" w:rsid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56ADE712" w14:textId="7230C545"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8. Dónde puedo consultar y descargar el anexo 3 (Marco técnico normativo del grupo 3) ya que ha tenido actualizaciones como la del año 2021, o es posible que lo puedan compartir por este medio.</w:t>
      </w:r>
    </w:p>
    <w:p w14:paraId="68868935" w14:textId="77777777"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 xml:space="preserve">Igualmente me podrían indicar cual es la mejor fuente, entidad, sitio web, link para consultar los cambios o actualizaciones sobre NIIF (grupo 1, 2, 3), generalmente se encuentra diferente información en </w:t>
      </w:r>
      <w:proofErr w:type="gramStart"/>
      <w:r w:rsidRPr="00717F8E">
        <w:rPr>
          <w:rFonts w:ascii="Segoe UI" w:eastAsia="Times New Roman" w:hAnsi="Segoe UI" w:cs="Segoe UI"/>
          <w:i/>
          <w:iCs/>
          <w:color w:val="000000"/>
          <w:kern w:val="0"/>
          <w:lang w:eastAsia="es-CO"/>
          <w14:ligatures w14:val="none"/>
        </w:rPr>
        <w:t>internet</w:t>
      </w:r>
      <w:proofErr w:type="gramEnd"/>
      <w:r w:rsidRPr="00717F8E">
        <w:rPr>
          <w:rFonts w:ascii="Segoe UI" w:eastAsia="Times New Roman" w:hAnsi="Segoe UI" w:cs="Segoe UI"/>
          <w:i/>
          <w:iCs/>
          <w:color w:val="000000"/>
          <w:kern w:val="0"/>
          <w:lang w:eastAsia="es-CO"/>
          <w14:ligatures w14:val="none"/>
        </w:rPr>
        <w:t xml:space="preserve"> pero no se tiene la seguridad que sea la versión real o final.</w:t>
      </w:r>
    </w:p>
    <w:p w14:paraId="241D96C8" w14:textId="77777777" w:rsidR="00717F8E" w:rsidRDefault="00717F8E" w:rsidP="00717F8E">
      <w:pPr>
        <w:spacing w:after="0" w:line="360" w:lineRule="auto"/>
        <w:ind w:left="284"/>
        <w:jc w:val="both"/>
        <w:rPr>
          <w:rFonts w:ascii="Segoe UI" w:eastAsia="Times New Roman" w:hAnsi="Segoe UI" w:cs="Segoe UI"/>
          <w:i/>
          <w:iCs/>
          <w:color w:val="000000"/>
          <w:kern w:val="0"/>
          <w:lang w:eastAsia="es-CO"/>
          <w14:ligatures w14:val="none"/>
        </w:rPr>
      </w:pPr>
    </w:p>
    <w:p w14:paraId="0C4AB722" w14:textId="09D0A383"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9. hay algún teléfono o correo especial para comunicación con los consejeros, para hacer consultas que requieran de una respuesta urgente.”</w:t>
      </w:r>
    </w:p>
    <w:p w14:paraId="29605703"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6FF6E8C0"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CONSIDERACIONES Y CONCEPTO</w:t>
      </w:r>
    </w:p>
    <w:p w14:paraId="6E4C05B5"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7583E99C"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xml:space="preserve">El Consejo Técnico de la Contaduría Pública (CTCP) en su carácter de Organismo Orientador técnico-científico de la profesión y Normalizador de las Normas de Contabilidad, de Información Financiera y de Aseguramiento de la Información, </w:t>
      </w:r>
      <w:r w:rsidRPr="00717F8E">
        <w:rPr>
          <w:rFonts w:ascii="Segoe UI" w:eastAsia="Times New Roman" w:hAnsi="Segoe UI" w:cs="Segoe UI"/>
          <w:color w:val="000000"/>
          <w:kern w:val="0"/>
          <w:lang w:eastAsia="es-CO"/>
          <w14:ligatures w14:val="none"/>
        </w:rPr>
        <w:lastRenderedPageBreak/>
        <w:t>conforme a las normas legales vigentes, especialmente por lo dispuesto en la Ley 43 de 1990, la Ley 1314 de 2009, y en sus Decretos Reglamentarios, procede a dar respuesta a la consulta anterior de manera general, pues no se pretende resolver casos particulares, en los siguientes términos:</w:t>
      </w:r>
    </w:p>
    <w:p w14:paraId="60A6056C"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5C2AF4E5" w14:textId="77777777"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Pregunta:</w:t>
      </w:r>
    </w:p>
    <w:p w14:paraId="70743995" w14:textId="77777777" w:rsidR="00717F8E" w:rsidRDefault="00717F8E" w:rsidP="00717F8E">
      <w:pPr>
        <w:spacing w:after="0" w:line="360" w:lineRule="auto"/>
        <w:ind w:left="284"/>
        <w:jc w:val="both"/>
        <w:rPr>
          <w:rFonts w:ascii="Segoe UI" w:eastAsia="Times New Roman" w:hAnsi="Segoe UI" w:cs="Segoe UI"/>
          <w:b/>
          <w:bCs/>
          <w:color w:val="000000"/>
          <w:kern w:val="0"/>
          <w:lang w:eastAsia="es-CO"/>
          <w14:ligatures w14:val="none"/>
        </w:rPr>
      </w:pPr>
    </w:p>
    <w:p w14:paraId="7701EE46" w14:textId="1E2E475B"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1. Por favor me podrían aclarar si mi entendimiento al siguiente párrafo del artículo 1.1.3.1 del Decreto 1670/21 es correcto?</w:t>
      </w:r>
    </w:p>
    <w:p w14:paraId="201EE1A7"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5BC37EA3"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i/>
          <w:iCs/>
          <w:color w:val="000000"/>
          <w:kern w:val="0"/>
          <w:lang w:eastAsia="es-CO"/>
          <w14:ligatures w14:val="none"/>
        </w:rPr>
        <w:t>El parágrafo del artículo 1.1.3.1. al cual se hace referencia en la consulta debe entenderse literalmente: “Las nuevas entidades que se constituyan podrán permanecer en el grupo 3 y aplicar la norma de información financiera del anexo 3 de este Decreto, hasta por un período de 3 años, aún en el evento de no cumplir los requisitos estipulados en el presente artículo”.</w:t>
      </w:r>
    </w:p>
    <w:p w14:paraId="75DE0B2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625FC6F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Esto implica que una entidad constituida (cualquier entidad) después del 1 de enero de 2023 tiene la opción de preparar y presentar sus estados financieros de propósito general siguiendo los parámetros establecidos en el Anexo 3 del Decreto Único Reglamentario – DUR 2420 de 2015, sin considerar si, durante el período de 3 años, deja de cumplir las condiciones para pertenecer al grupo 3.</w:t>
      </w:r>
    </w:p>
    <w:p w14:paraId="0F61CBA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35CF77A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xml:space="preserve">Transcurridos estos tres años, se deberá realizar una evaluación para determinar si, a partir del cuarto año, la entidad puede mantenerse en el grupo 3 o si, al no cumplir con las condiciones del artículo 1.1.3.1., debe clasificarse de manera obligatoria en el grupo 2 o en el grupo 1; este proceso debe seguir los requisitos de la Sección 35 </w:t>
      </w:r>
      <w:r w:rsidRPr="00717F8E">
        <w:rPr>
          <w:rFonts w:ascii="Segoe UI" w:eastAsia="Times New Roman" w:hAnsi="Segoe UI" w:cs="Segoe UI"/>
          <w:color w:val="000000"/>
          <w:kern w:val="0"/>
          <w:lang w:eastAsia="es-CO"/>
          <w14:ligatures w14:val="none"/>
        </w:rPr>
        <w:lastRenderedPageBreak/>
        <w:t>y la NIIF 1 para llevar a cabo la adopción por primera vez; estas normas se incorporan en los anexos 2 y 1 del DUR 2420 de 2015, respectivamente.</w:t>
      </w:r>
    </w:p>
    <w:p w14:paraId="732EFACA"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6C581A81"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Es necesario destacar que este parágrafo es de aplicación opcional y no obligatoria. Por lo tanto, una vez constituida, una entidad puede pertenecer directamente al grupo 2 o al grupo 1.</w:t>
      </w:r>
    </w:p>
    <w:p w14:paraId="0AFDC246"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4412B133" w14:textId="77777777"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Pregunta:</w:t>
      </w:r>
    </w:p>
    <w:p w14:paraId="5646CD6B" w14:textId="77777777" w:rsidR="00717F8E" w:rsidRDefault="00717F8E" w:rsidP="00717F8E">
      <w:pPr>
        <w:spacing w:after="0" w:line="360" w:lineRule="auto"/>
        <w:ind w:left="284"/>
        <w:jc w:val="both"/>
        <w:rPr>
          <w:rFonts w:ascii="Segoe UI" w:eastAsia="Times New Roman" w:hAnsi="Segoe UI" w:cs="Segoe UI"/>
          <w:b/>
          <w:bCs/>
          <w:color w:val="000000"/>
          <w:kern w:val="0"/>
          <w:lang w:eastAsia="es-CO"/>
          <w14:ligatures w14:val="none"/>
        </w:rPr>
      </w:pPr>
    </w:p>
    <w:p w14:paraId="1C24CD18" w14:textId="35D20CEE"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 xml:space="preserve">2. </w:t>
      </w:r>
      <w:proofErr w:type="gramStart"/>
      <w:r w:rsidRPr="00717F8E">
        <w:rPr>
          <w:rFonts w:ascii="Segoe UI" w:eastAsia="Times New Roman" w:hAnsi="Segoe UI" w:cs="Segoe UI"/>
          <w:b/>
          <w:bCs/>
          <w:color w:val="000000"/>
          <w:kern w:val="0"/>
          <w:lang w:eastAsia="es-CO"/>
          <w14:ligatures w14:val="none"/>
        </w:rPr>
        <w:t>Los arrendamientos de una empresa bajo grupo 3 durante los años 2023 y 2024 se deben manejar como operativo, o como arrendamiento financiero reconociendo tanto el activo como el pasivo, depreciación del activo etc.?</w:t>
      </w:r>
      <w:proofErr w:type="gramEnd"/>
    </w:p>
    <w:p w14:paraId="4ADCC3D8"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1252232B"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En respuesta a la pregunta formulada, las pautas específicas con relación al reconocimiento, medición, presentación y revelación de arrendamientos se encuentran detalladas en el capítulo XIII – Arrendamientos, del Anexo 3 del DUR 2420 de 2015. En este capítulo se establece claramente: “</w:t>
      </w:r>
      <w:r w:rsidRPr="00717F8E">
        <w:rPr>
          <w:rFonts w:ascii="Segoe UI" w:eastAsia="Times New Roman" w:hAnsi="Segoe UI" w:cs="Segoe UI"/>
          <w:i/>
          <w:iCs/>
          <w:color w:val="000000"/>
          <w:kern w:val="0"/>
          <w:lang w:eastAsia="es-CO"/>
          <w14:ligatures w14:val="none"/>
        </w:rPr>
        <w:t>13.3 Para efectos de esta norma, </w:t>
      </w:r>
      <w:r w:rsidRPr="00717F8E">
        <w:rPr>
          <w:rFonts w:ascii="Segoe UI" w:eastAsia="Times New Roman" w:hAnsi="Segoe UI" w:cs="Segoe UI"/>
          <w:i/>
          <w:iCs/>
          <w:color w:val="000000"/>
          <w:kern w:val="0"/>
          <w:u w:val="single"/>
          <w:lang w:eastAsia="es-CO"/>
          <w14:ligatures w14:val="none"/>
        </w:rPr>
        <w:t>cualquier contrato de arrendamiento que afecte a una microempresa se tratará como arrendamiento operativo</w:t>
      </w:r>
      <w:r w:rsidRPr="00717F8E">
        <w:rPr>
          <w:rFonts w:ascii="Segoe UI" w:eastAsia="Times New Roman" w:hAnsi="Segoe UI" w:cs="Segoe UI"/>
          <w:color w:val="000000"/>
          <w:kern w:val="0"/>
          <w:lang w:eastAsia="es-CO"/>
          <w14:ligatures w14:val="none"/>
        </w:rPr>
        <w:t>”. Subrayado fuera de texto.</w:t>
      </w:r>
    </w:p>
    <w:p w14:paraId="2C1FB07A"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p>
    <w:p w14:paraId="2DC62BD8" w14:textId="1F8AD525"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Preguntas:</w:t>
      </w:r>
    </w:p>
    <w:p w14:paraId="6123F50A"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p>
    <w:p w14:paraId="268CBD76" w14:textId="4A37FE4F"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 xml:space="preserve">3. </w:t>
      </w:r>
      <w:proofErr w:type="gramStart"/>
      <w:r w:rsidRPr="00717F8E">
        <w:rPr>
          <w:rFonts w:ascii="Segoe UI" w:hAnsi="Segoe UI" w:cs="Segoe UI"/>
          <w:b/>
          <w:bCs/>
          <w:color w:val="000000"/>
        </w:rPr>
        <w:t>En la adopción por primera vez de la norma información financiera para las microempresas, si la empresa fue constituida en 2023 sólo deberá hacer el estado de situación financiera de apertura?</w:t>
      </w:r>
      <w:proofErr w:type="gramEnd"/>
    </w:p>
    <w:p w14:paraId="2D8ABB6A"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p>
    <w:p w14:paraId="004D0FFE" w14:textId="6CBE7A43"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lastRenderedPageBreak/>
        <w:t xml:space="preserve">4. La empresa (Grupo 3) va a elaborar sus primeros estados financieros comparativos (Estado de situación financiera, estado de resultados a </w:t>
      </w:r>
      <w:proofErr w:type="gramStart"/>
      <w:r w:rsidRPr="00717F8E">
        <w:rPr>
          <w:rFonts w:ascii="Segoe UI" w:hAnsi="Segoe UI" w:cs="Segoe UI"/>
          <w:b/>
          <w:bCs/>
          <w:color w:val="000000"/>
        </w:rPr>
        <w:t>Diciembre</w:t>
      </w:r>
      <w:proofErr w:type="gramEnd"/>
      <w:r w:rsidRPr="00717F8E">
        <w:rPr>
          <w:rFonts w:ascii="Segoe UI" w:hAnsi="Segoe UI" w:cs="Segoe UI"/>
          <w:b/>
          <w:bCs/>
          <w:color w:val="000000"/>
        </w:rPr>
        <w:t xml:space="preserve"> 31 de 2023. </w:t>
      </w:r>
      <w:proofErr w:type="gramStart"/>
      <w:r w:rsidRPr="00717F8E">
        <w:rPr>
          <w:rFonts w:ascii="Segoe UI" w:hAnsi="Segoe UI" w:cs="Segoe UI"/>
          <w:b/>
          <w:bCs/>
          <w:color w:val="000000"/>
        </w:rPr>
        <w:t xml:space="preserve">Por </w:t>
      </w:r>
      <w:r w:rsidRPr="00717F8E">
        <w:rPr>
          <w:rFonts w:ascii="Segoe UI" w:hAnsi="Segoe UI" w:cs="Segoe UI"/>
          <w:b/>
          <w:bCs/>
          <w:color w:val="000000"/>
        </w:rPr>
        <w:t>consiguiente,</w:t>
      </w:r>
      <w:r w:rsidRPr="00717F8E">
        <w:rPr>
          <w:rFonts w:ascii="Segoe UI" w:hAnsi="Segoe UI" w:cs="Segoe UI"/>
          <w:b/>
          <w:bCs/>
          <w:color w:val="000000"/>
        </w:rPr>
        <w:t xml:space="preserve"> la información del año anterior (2022) está en cero ya que fue constituida en 2023, entonces la columna del año 2022 iría toda en 0, o no se mostraría la columna del año 2022?</w:t>
      </w:r>
      <w:proofErr w:type="gramEnd"/>
    </w:p>
    <w:p w14:paraId="689147FB"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p>
    <w:p w14:paraId="276B38A0" w14:textId="4F58532F"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proofErr w:type="gramStart"/>
      <w:r w:rsidRPr="00717F8E">
        <w:rPr>
          <w:rFonts w:ascii="Segoe UI" w:hAnsi="Segoe UI" w:cs="Segoe UI"/>
          <w:b/>
          <w:bCs/>
          <w:color w:val="000000"/>
        </w:rPr>
        <w:t>Igualmente,</w:t>
      </w:r>
      <w:r w:rsidRPr="00717F8E">
        <w:rPr>
          <w:rFonts w:ascii="Segoe UI" w:hAnsi="Segoe UI" w:cs="Segoe UI"/>
          <w:b/>
          <w:bCs/>
          <w:color w:val="000000"/>
        </w:rPr>
        <w:t xml:space="preserve"> en el caso que la empresa decida hacer flujo de efectivo, si no hay información en 2022 para generar las variaciones que se requieren para su elaboración, entonces no habría lugar a su preparación?</w:t>
      </w:r>
      <w:proofErr w:type="gramEnd"/>
    </w:p>
    <w:p w14:paraId="57681230"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4E8EAF47"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El CTCP se ha pronunciado en diferentes ocasiones sobre el tema “Estado de Situación Financiera de Apertura”, para lo cual le recomendamos revisar, entre otros, los conceptos: 2019-0175, 2018-145, 2016-945, a los cuales podrá acceder en el sitio: </w:t>
      </w:r>
      <w:hyperlink r:id="rId5" w:tgtFrame="_blank" w:history="1">
        <w:r w:rsidRPr="00717F8E">
          <w:rPr>
            <w:rStyle w:val="Hipervnculo"/>
            <w:rFonts w:ascii="Segoe UI" w:eastAsiaTheme="majorEastAsia" w:hAnsi="Segoe UI" w:cs="Segoe UI"/>
            <w:color w:val="0645AD"/>
          </w:rPr>
          <w:t>www.ctcp.gov.co/conceptos</w:t>
        </w:r>
      </w:hyperlink>
      <w:r w:rsidRPr="00717F8E">
        <w:rPr>
          <w:rFonts w:ascii="Segoe UI" w:hAnsi="Segoe UI" w:cs="Segoe UI"/>
          <w:color w:val="000000"/>
        </w:rPr>
        <w:t>.</w:t>
      </w:r>
    </w:p>
    <w:p w14:paraId="52E70997"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0467B4AF"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Como se indica en la consulta la entidad fue constituida en el presente año; y considerando que una de las principales características de la información es la comparabilidad</w:t>
      </w:r>
      <w:hyperlink r:id="rId6" w:anchor="cite_note-1" w:history="1">
        <w:r w:rsidRPr="00717F8E">
          <w:rPr>
            <w:rStyle w:val="Hipervnculo"/>
            <w:rFonts w:ascii="Segoe UI" w:eastAsiaTheme="majorEastAsia" w:hAnsi="Segoe UI" w:cs="Segoe UI"/>
            <w:color w:val="0645AD"/>
            <w:vertAlign w:val="superscript"/>
          </w:rPr>
          <w:t>1</w:t>
        </w:r>
      </w:hyperlink>
      <w:r w:rsidRPr="00717F8E">
        <w:rPr>
          <w:rFonts w:ascii="Segoe UI" w:hAnsi="Segoe UI" w:cs="Segoe UI"/>
          <w:color w:val="000000"/>
        </w:rPr>
        <w:t> en razón a ello, los Estados Financieros deberán ser presentados al cierre (diciembre 31) 2023 versus balance de apertura (mes / día) de dicho año, por lo cual no opera información alguna que corresponda al ejercicio anterior es decir, por el año 2022.</w:t>
      </w:r>
    </w:p>
    <w:p w14:paraId="198B5459"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112FABB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xml:space="preserve">En síntesis, el estado de situación financiera de apertura es el estado inicial de la entidad bajo el marco técnico normativo que le es aplicable y por lo tanto durante el cierre del año 2023 la información financiera será la emitida a esa fecha de corte (diciembre 31) comparada con el estado financiero de apertura, que será presentada </w:t>
      </w:r>
      <w:r w:rsidRPr="00717F8E">
        <w:rPr>
          <w:rFonts w:ascii="Segoe UI" w:hAnsi="Segoe UI" w:cs="Segoe UI"/>
          <w:color w:val="000000"/>
        </w:rPr>
        <w:lastRenderedPageBreak/>
        <w:t>en la emisión de los estados financieros de propósito general a ser aprobados por el máximo órgano social de la entidad.</w:t>
      </w:r>
    </w:p>
    <w:p w14:paraId="6CDAFC4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280CC1C7"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En cuanto a la preparación de los estados financieros que son obligatorios debe atenderse lo preceptuado por el artículo 34 de la Ley 222 de 1995.</w:t>
      </w:r>
    </w:p>
    <w:p w14:paraId="0C72B98D"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284509ED"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Así mismo, se le invita a leer el capítulo 15 del anexo 3 del DUR 2420 de 2015 en donde se establece la aplicación por primera vez de la norma de información financiera para las microempresas. Al cierre de 2023 entonces presentará estados financieros comparativos siendo el primer estado financiero el de su “constitución” versus los cerrados con corte 31 de diciembre.</w:t>
      </w:r>
    </w:p>
    <w:p w14:paraId="7B9A894F"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72928F16" w14:textId="77777777" w:rsid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Un ejemplo ilustrativo:</w:t>
      </w:r>
    </w:p>
    <w:p w14:paraId="4DE368CE"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p>
    <w:p w14:paraId="13623799" w14:textId="74A4B5C1" w:rsidR="00717F8E" w:rsidRPr="00717F8E" w:rsidRDefault="00717F8E" w:rsidP="00717F8E">
      <w:pPr>
        <w:spacing w:line="360" w:lineRule="auto"/>
      </w:pPr>
      <w:r w:rsidRPr="00717F8E">
        <w:rPr>
          <w:noProof/>
        </w:rPr>
        <w:drawing>
          <wp:inline distT="0" distB="0" distL="0" distR="0" wp14:anchorId="6DDDA91E" wp14:editId="6BADD56A">
            <wp:extent cx="4972050" cy="371475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3714750"/>
                    </a:xfrm>
                    <a:prstGeom prst="rect">
                      <a:avLst/>
                    </a:prstGeom>
                    <a:noFill/>
                    <a:ln>
                      <a:noFill/>
                    </a:ln>
                  </pic:spPr>
                </pic:pic>
              </a:graphicData>
            </a:graphic>
          </wp:inline>
        </w:drawing>
      </w:r>
    </w:p>
    <w:p w14:paraId="70A9FDC5" w14:textId="77777777" w:rsid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r w:rsidRPr="00717F8E">
        <w:rPr>
          <w:rFonts w:ascii="Segoe UI" w:hAnsi="Segoe UI" w:cs="Segoe UI"/>
          <w:b/>
          <w:bCs/>
          <w:color w:val="000000"/>
        </w:rPr>
        <w:lastRenderedPageBreak/>
        <w:t>Pregunta:</w:t>
      </w:r>
    </w:p>
    <w:p w14:paraId="4D1EB92C"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p>
    <w:p w14:paraId="44795B83" w14:textId="4C14C8CE"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 xml:space="preserve">5. El anexo técnico del grupo 3 indica que si no se contempla o incluye el manejo de determinada transacción se debe remitir al marco normativo siguiente. </w:t>
      </w:r>
      <w:r w:rsidRPr="00717F8E">
        <w:rPr>
          <w:rFonts w:ascii="Segoe UI" w:hAnsi="Segoe UI" w:cs="Segoe UI"/>
          <w:b/>
          <w:bCs/>
          <w:color w:val="000000"/>
        </w:rPr>
        <w:t>(Ej.</w:t>
      </w:r>
      <w:r w:rsidRPr="00717F8E">
        <w:rPr>
          <w:rFonts w:ascii="Segoe UI" w:hAnsi="Segoe UI" w:cs="Segoe UI"/>
          <w:b/>
          <w:bCs/>
          <w:color w:val="000000"/>
        </w:rPr>
        <w:t xml:space="preserve"> ingresos generados por contratos de construcción que se reconocen por grado de </w:t>
      </w:r>
      <w:r w:rsidRPr="00717F8E">
        <w:rPr>
          <w:rFonts w:ascii="Segoe UI" w:hAnsi="Segoe UI" w:cs="Segoe UI"/>
          <w:b/>
          <w:bCs/>
          <w:color w:val="000000"/>
        </w:rPr>
        <w:t>avance)</w:t>
      </w:r>
      <w:r w:rsidRPr="00717F8E">
        <w:rPr>
          <w:rFonts w:ascii="Segoe UI" w:hAnsi="Segoe UI" w:cs="Segoe UI"/>
          <w:b/>
          <w:bCs/>
          <w:color w:val="000000"/>
        </w:rPr>
        <w:t>, para este ejemplo sólo adoptaría la sección 23 para pymes, no se debe adoptar el marco normativo completo para el grupo 2, es correcto?</w:t>
      </w:r>
    </w:p>
    <w:p w14:paraId="7EB88E9F"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0944686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Dando respuesta a esta pregunta, el numeral 3.1 de las Normas de Información Financiera para el Grupo 3, señala taxativamente:</w:t>
      </w:r>
    </w:p>
    <w:p w14:paraId="20659D4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754F2AD8"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i/>
          <w:iCs/>
          <w:color w:val="000000"/>
        </w:rPr>
        <w:t>“los requerimientos para el cumplimiento de la norma para las microempresas y qué es un conjunto completo de estados financieros. En el caso de otras transacciones o actividades no incluidas en estas directrices, remítase a los criterios pertinentes que figuran en las directrices establecidas en la NIIF para las Pymes”.</w:t>
      </w:r>
    </w:p>
    <w:p w14:paraId="792B84F2"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15982816"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En consecuencia, el reconocimiento y medición de ingresos se encuentra establecido en el capítulo XII del Anexo 3 del DUR 2420 de 2015. Si bien no se indica explícitamente sobre la “medición de ingresos por contratos de construcción” como lo hace la NIIF para las Pymes, por analogía a la “medición de ingresos en la prestación de servicios” puede emplearse el método de grado de avance establecido en el párrafo 12.5.</w:t>
      </w:r>
    </w:p>
    <w:p w14:paraId="163835D9" w14:textId="30E156C4"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24468D9D" w14:textId="08328C2C"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b/>
          <w:bCs/>
          <w:color w:val="000000"/>
        </w:rPr>
        <w:t>Pregunta:</w:t>
      </w:r>
    </w:p>
    <w:p w14:paraId="41B387BE" w14:textId="502A7760"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b/>
          <w:bCs/>
          <w:color w:val="000000"/>
        </w:rPr>
        <w:t>6</w:t>
      </w:r>
      <w:r w:rsidRPr="00717F8E">
        <w:rPr>
          <w:rFonts w:ascii="Segoe UI" w:hAnsi="Segoe UI" w:cs="Segoe UI"/>
          <w:color w:val="000000"/>
        </w:rPr>
        <w:t>. </w:t>
      </w:r>
      <w:r w:rsidRPr="00717F8E">
        <w:rPr>
          <w:rFonts w:ascii="Segoe UI" w:hAnsi="Segoe UI" w:cs="Segoe UI"/>
          <w:b/>
          <w:bCs/>
          <w:color w:val="000000"/>
        </w:rPr>
        <w:t xml:space="preserve">El grupo 3 está obligado a calcular impuesto </w:t>
      </w:r>
      <w:r w:rsidRPr="00717F8E">
        <w:rPr>
          <w:rFonts w:ascii="Segoe UI" w:hAnsi="Segoe UI" w:cs="Segoe UI"/>
          <w:b/>
          <w:bCs/>
          <w:color w:val="000000"/>
        </w:rPr>
        <w:t>diferido?</w:t>
      </w:r>
    </w:p>
    <w:p w14:paraId="1F6B5759"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7402A43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lastRenderedPageBreak/>
        <w:t>Para el grupo 3 las directrices incluidas en el anexo 3 del DUR 2420 de 2015 Normas de Información Financiera para este, no tiene el requerimiento de calcular ni presentar impuestos diferidos en sus estados financieros de propósito general.</w:t>
      </w:r>
    </w:p>
    <w:p w14:paraId="24626BE8"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6ED2776C"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Pregunta:</w:t>
      </w:r>
    </w:p>
    <w:p w14:paraId="1B3C69C4"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7.</w:t>
      </w:r>
      <w:r w:rsidRPr="00717F8E">
        <w:rPr>
          <w:rFonts w:ascii="Segoe UI" w:hAnsi="Segoe UI" w:cs="Segoe UI"/>
          <w:color w:val="000000"/>
        </w:rPr>
        <w:t> </w:t>
      </w:r>
      <w:r w:rsidRPr="00717F8E">
        <w:rPr>
          <w:rFonts w:ascii="Segoe UI" w:hAnsi="Segoe UI" w:cs="Segoe UI"/>
          <w:b/>
          <w:bCs/>
          <w:color w:val="000000"/>
        </w:rPr>
        <w:t xml:space="preserve">El término o sigla adecuado para referirse al grupo 3 es: </w:t>
      </w:r>
      <w:proofErr w:type="gramStart"/>
      <w:r w:rsidRPr="00717F8E">
        <w:rPr>
          <w:rFonts w:ascii="Segoe UI" w:hAnsi="Segoe UI" w:cs="Segoe UI"/>
          <w:b/>
          <w:bCs/>
          <w:color w:val="000000"/>
        </w:rPr>
        <w:t>NIF grupo 3 (con una sola I) o NIIF grupo 3?</w:t>
      </w:r>
      <w:proofErr w:type="gramEnd"/>
    </w:p>
    <w:p w14:paraId="77B23DAC"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0BF4D58A"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En cuanto a la sigla o resumen de la expresión debe atenderse al contenido en los respectivos decretos que las emiten e identifican.</w:t>
      </w:r>
    </w:p>
    <w:p w14:paraId="4AB0D1E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7C7111F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El objetivo de los estados financieros que presentan las entidades clasificadas en este grupo es suministrar información sobre la situación financiera y el resultado de las operaciones de las microempresas que sea útil para la toma de decisiones económicas por parte de los usuarios, bajo la premisa de una “contabilidad simplificada”</w:t>
      </w:r>
      <w:hyperlink r:id="rId8" w:anchor="cite_note-2" w:history="1">
        <w:r w:rsidRPr="00717F8E">
          <w:rPr>
            <w:rStyle w:val="Hipervnculo"/>
            <w:rFonts w:ascii="Segoe UI" w:eastAsiaTheme="majorEastAsia" w:hAnsi="Segoe UI" w:cs="Segoe UI"/>
            <w:color w:val="0645AD"/>
            <w:vertAlign w:val="superscript"/>
          </w:rPr>
          <w:t>2</w:t>
        </w:r>
      </w:hyperlink>
      <w:r w:rsidRPr="00717F8E">
        <w:rPr>
          <w:rFonts w:ascii="Segoe UI" w:hAnsi="Segoe UI" w:cs="Segoe UI"/>
          <w:color w:val="000000"/>
        </w:rPr>
        <w:t> toda vez que estos son sus propietarios, sus directores, las entidades financieras, los acreedores, el Gobierno Nacional y sus organismos, entre otros, por lo que esta normativa no se basa en estándares internacionales.</w:t>
      </w:r>
    </w:p>
    <w:p w14:paraId="2BD42E42" w14:textId="77777777" w:rsidR="00717F8E" w:rsidRPr="00717F8E" w:rsidRDefault="00717F8E" w:rsidP="00717F8E">
      <w:pPr>
        <w:spacing w:line="360" w:lineRule="auto"/>
      </w:pPr>
    </w:p>
    <w:p w14:paraId="34D236BC" w14:textId="77777777" w:rsid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r w:rsidRPr="00717F8E">
        <w:rPr>
          <w:rFonts w:ascii="Segoe UI" w:hAnsi="Segoe UI" w:cs="Segoe UI"/>
          <w:b/>
          <w:bCs/>
          <w:color w:val="000000"/>
        </w:rPr>
        <w:t>Pregunta:</w:t>
      </w:r>
    </w:p>
    <w:p w14:paraId="17F8AFD8"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p>
    <w:p w14:paraId="7F8A870F"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8. Dónde puedo consultar y descargar el anexo 3 (Marco técnico normativo del grupo 3) ya que ha tenido actualizaciones como la del año 2021, o es posible que lo puedan compartir por este medio.</w:t>
      </w:r>
    </w:p>
    <w:p w14:paraId="361A6339" w14:textId="77777777" w:rsidR="00717F8E" w:rsidRPr="00717F8E" w:rsidRDefault="00717F8E" w:rsidP="00717F8E">
      <w:pPr>
        <w:pStyle w:val="NormalWeb"/>
        <w:spacing w:before="0" w:beforeAutospacing="0" w:after="0" w:afterAutospacing="0" w:line="360" w:lineRule="auto"/>
        <w:ind w:left="284"/>
        <w:jc w:val="both"/>
        <w:rPr>
          <w:rFonts w:ascii="Segoe UI" w:hAnsi="Segoe UI" w:cs="Segoe UI"/>
          <w:b/>
          <w:bCs/>
          <w:color w:val="000000"/>
        </w:rPr>
      </w:pPr>
    </w:p>
    <w:p w14:paraId="006C5692" w14:textId="1C0B50F6" w:rsidR="00717F8E" w:rsidRPr="00717F8E" w:rsidRDefault="00717F8E" w:rsidP="00717F8E">
      <w:pPr>
        <w:pStyle w:val="NormalWeb"/>
        <w:spacing w:before="0" w:beforeAutospacing="0" w:after="0" w:afterAutospacing="0" w:line="360" w:lineRule="auto"/>
        <w:ind w:left="284"/>
        <w:jc w:val="both"/>
        <w:rPr>
          <w:rFonts w:ascii="Segoe UI" w:hAnsi="Segoe UI" w:cs="Segoe UI"/>
          <w:color w:val="000000"/>
        </w:rPr>
      </w:pPr>
      <w:r w:rsidRPr="00717F8E">
        <w:rPr>
          <w:rFonts w:ascii="Segoe UI" w:hAnsi="Segoe UI" w:cs="Segoe UI"/>
          <w:b/>
          <w:bCs/>
          <w:color w:val="000000"/>
        </w:rPr>
        <w:t xml:space="preserve">Igualmente me podrían indicar cual es la mejor fuente, entidad, sitio web, </w:t>
      </w:r>
      <w:proofErr w:type="gramStart"/>
      <w:r w:rsidRPr="00717F8E">
        <w:rPr>
          <w:rFonts w:ascii="Segoe UI" w:hAnsi="Segoe UI" w:cs="Segoe UI"/>
          <w:b/>
          <w:bCs/>
          <w:color w:val="000000"/>
        </w:rPr>
        <w:t>link</w:t>
      </w:r>
      <w:proofErr w:type="gramEnd"/>
      <w:r w:rsidRPr="00717F8E">
        <w:rPr>
          <w:rFonts w:ascii="Segoe UI" w:hAnsi="Segoe UI" w:cs="Segoe UI"/>
          <w:b/>
          <w:bCs/>
          <w:color w:val="000000"/>
        </w:rPr>
        <w:t xml:space="preserve"> para consultar los cambios o actualizaciones sobre NIIF (grupo 1, 2, 3), </w:t>
      </w:r>
      <w:r w:rsidRPr="00717F8E">
        <w:rPr>
          <w:rFonts w:ascii="Segoe UI" w:hAnsi="Segoe UI" w:cs="Segoe UI"/>
          <w:b/>
          <w:bCs/>
          <w:color w:val="000000"/>
        </w:rPr>
        <w:lastRenderedPageBreak/>
        <w:t xml:space="preserve">generalmente se encuentra diferente información en </w:t>
      </w:r>
      <w:r w:rsidRPr="00717F8E">
        <w:rPr>
          <w:rFonts w:ascii="Segoe UI" w:hAnsi="Segoe UI" w:cs="Segoe UI"/>
          <w:b/>
          <w:bCs/>
          <w:color w:val="000000"/>
        </w:rPr>
        <w:t>internet,</w:t>
      </w:r>
      <w:r w:rsidRPr="00717F8E">
        <w:rPr>
          <w:rFonts w:ascii="Segoe UI" w:hAnsi="Segoe UI" w:cs="Segoe UI"/>
          <w:b/>
          <w:bCs/>
          <w:color w:val="000000"/>
        </w:rPr>
        <w:t xml:space="preserve"> pero no se tiene la seguridad que sea la versión real o final</w:t>
      </w:r>
      <w:r w:rsidRPr="00717F8E">
        <w:rPr>
          <w:rFonts w:ascii="Segoe UI" w:hAnsi="Segoe UI" w:cs="Segoe UI"/>
          <w:color w:val="000000"/>
        </w:rPr>
        <w:t>.</w:t>
      </w:r>
    </w:p>
    <w:p w14:paraId="5741C5ED"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1152F95B"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Lo invitamos a consultar la página web del Consejo Técnico de la Contaduría Pública </w:t>
      </w:r>
      <w:hyperlink r:id="rId9" w:tgtFrame="_blank" w:history="1">
        <w:r w:rsidRPr="00717F8E">
          <w:rPr>
            <w:rStyle w:val="Hipervnculo"/>
            <w:rFonts w:ascii="Segoe UI" w:eastAsiaTheme="majorEastAsia" w:hAnsi="Segoe UI" w:cs="Segoe UI"/>
            <w:color w:val="0645AD"/>
          </w:rPr>
          <w:t>www.ctcp.gov.co</w:t>
        </w:r>
      </w:hyperlink>
      <w:r w:rsidRPr="00717F8E">
        <w:rPr>
          <w:rFonts w:ascii="Segoe UI" w:hAnsi="Segoe UI" w:cs="Segoe UI"/>
          <w:color w:val="000000"/>
        </w:rPr>
        <w:t> donde encontrará normatividad, conceptos, noticias, publicaciones, documentos en discusión pública y documentos definitivos, entre otros.</w:t>
      </w:r>
    </w:p>
    <w:p w14:paraId="3734D859"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015CA255" w14:textId="77777777"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Así mismo, todos los anexos del DUR 2420 de 2015 se encuentran compilados por este Consejo y publicados en la página web del cuerpo colegiado en mención, a los cuales podrá acceder en el sitio: </w:t>
      </w:r>
      <w:hyperlink r:id="rId10" w:tgtFrame="_blank" w:history="1">
        <w:r w:rsidRPr="00717F8E">
          <w:rPr>
            <w:rStyle w:val="Hipervnculo"/>
            <w:rFonts w:ascii="Segoe UI" w:eastAsiaTheme="majorEastAsia" w:hAnsi="Segoe UI" w:cs="Segoe UI"/>
            <w:color w:val="0645AD"/>
          </w:rPr>
          <w:t>www.ctcp.gov.co/publicaciones</w:t>
        </w:r>
      </w:hyperlink>
      <w:r w:rsidRPr="00717F8E">
        <w:rPr>
          <w:rFonts w:ascii="Segoe UI" w:hAnsi="Segoe UI" w:cs="Segoe UI"/>
          <w:color w:val="000000"/>
        </w:rPr>
        <w:t> En específico el anexo 3 de Normas de Información Financiera para el Grupo 3 podrá encontrarlo en el siguiente enlace: </w:t>
      </w:r>
      <w:hyperlink r:id="rId11" w:tgtFrame="_blank" w:history="1">
        <w:r w:rsidRPr="00717F8E">
          <w:rPr>
            <w:rStyle w:val="Hipervnculo"/>
            <w:rFonts w:ascii="Segoe UI" w:eastAsiaTheme="majorEastAsia" w:hAnsi="Segoe UI" w:cs="Segoe UI"/>
            <w:color w:val="0645AD"/>
          </w:rPr>
          <w:t>https://www.ctcp.gov.co/publicaciones-ctcp/compilaciones-normativas/anexo-3-del-dur-2420-de-2015-normas-de-informacion/compilacion-anexo-3-a-diciembre-31-de-2020-microem</w:t>
        </w:r>
      </w:hyperlink>
    </w:p>
    <w:p w14:paraId="78D6100D" w14:textId="05FF6B81" w:rsidR="00717F8E" w:rsidRPr="00717F8E" w:rsidRDefault="00717F8E" w:rsidP="00717F8E">
      <w:pPr>
        <w:pStyle w:val="NormalWeb"/>
        <w:spacing w:before="0" w:beforeAutospacing="0" w:after="0" w:afterAutospacing="0" w:line="360" w:lineRule="auto"/>
        <w:jc w:val="both"/>
        <w:rPr>
          <w:rFonts w:ascii="Segoe UI" w:hAnsi="Segoe UI" w:cs="Segoe UI"/>
          <w:color w:val="000000"/>
        </w:rPr>
      </w:pPr>
      <w:r w:rsidRPr="00717F8E">
        <w:rPr>
          <w:rFonts w:ascii="Segoe UI" w:hAnsi="Segoe UI" w:cs="Segoe UI"/>
          <w:color w:val="000000"/>
        </w:rPr>
        <w:t> </w:t>
      </w:r>
    </w:p>
    <w:p w14:paraId="10BD2016" w14:textId="77777777" w:rsidR="00717F8E" w:rsidRDefault="00717F8E" w:rsidP="00717F8E">
      <w:pPr>
        <w:spacing w:after="0" w:line="360" w:lineRule="auto"/>
        <w:ind w:left="284"/>
        <w:jc w:val="both"/>
        <w:rPr>
          <w:rFonts w:ascii="Segoe UI" w:eastAsia="Times New Roman" w:hAnsi="Segoe UI" w:cs="Segoe UI"/>
          <w:b/>
          <w:bCs/>
          <w:color w:val="000000"/>
          <w:kern w:val="0"/>
          <w:lang w:eastAsia="es-CO"/>
          <w14:ligatures w14:val="none"/>
        </w:rPr>
      </w:pPr>
      <w:r w:rsidRPr="00717F8E">
        <w:rPr>
          <w:rFonts w:ascii="Segoe UI" w:eastAsia="Times New Roman" w:hAnsi="Segoe UI" w:cs="Segoe UI"/>
          <w:b/>
          <w:bCs/>
          <w:color w:val="000000"/>
          <w:kern w:val="0"/>
          <w:lang w:eastAsia="es-CO"/>
          <w14:ligatures w14:val="none"/>
        </w:rPr>
        <w:t>Pregunta:</w:t>
      </w:r>
    </w:p>
    <w:p w14:paraId="274B6C6F" w14:textId="77777777"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p>
    <w:p w14:paraId="4284B772" w14:textId="77777777" w:rsidR="00717F8E" w:rsidRPr="00717F8E" w:rsidRDefault="00717F8E" w:rsidP="00717F8E">
      <w:pPr>
        <w:spacing w:after="0" w:line="360" w:lineRule="auto"/>
        <w:ind w:left="284"/>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9. hay algún teléfono o correo especial para comunicación con los consejeros, para hacer consultas que requieran de una respuesta urgente.</w:t>
      </w:r>
    </w:p>
    <w:p w14:paraId="787E66E1"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243DB71B"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Dando respuesta a su pregunta, le invitamos a leer la información contenida en el siguiente enlace: </w:t>
      </w:r>
      <w:hyperlink r:id="rId12" w:tgtFrame="_blank" w:history="1">
        <w:r w:rsidRPr="00717F8E">
          <w:rPr>
            <w:rFonts w:ascii="Segoe UI" w:eastAsia="Times New Roman" w:hAnsi="Segoe UI" w:cs="Segoe UI"/>
            <w:color w:val="0645AD"/>
            <w:kern w:val="0"/>
            <w:u w:val="single"/>
            <w:lang w:eastAsia="es-CO"/>
            <w14:ligatures w14:val="none"/>
          </w:rPr>
          <w:t>https://www.ctcp.gov.co/noticias/2022/a-partir-del-primero-1-de-mayo-de-dos-mil-veintido</w:t>
        </w:r>
      </w:hyperlink>
    </w:p>
    <w:p w14:paraId="6EA659E7"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7ED3DD9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xml:space="preserve">En los términos anteriores se absuelve la consulta, indicando que, para hacerlo, este organismo se ciñó a la información presentada por el consultante y los efectos de </w:t>
      </w:r>
      <w:r w:rsidRPr="00717F8E">
        <w:rPr>
          <w:rFonts w:ascii="Segoe UI" w:eastAsia="Times New Roman" w:hAnsi="Segoe UI" w:cs="Segoe UI"/>
          <w:color w:val="000000"/>
          <w:kern w:val="0"/>
          <w:lang w:eastAsia="es-CO"/>
          <w14:ligatures w14:val="none"/>
        </w:rPr>
        <w:lastRenderedPageBreak/>
        <w:t>este concepto son los previstos por el artículo 28 de la Ley 1437 de 2011, modificado por el artículo 1 de la Ley 1755 de 2015.</w:t>
      </w:r>
    </w:p>
    <w:p w14:paraId="20E9C30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42EC9CAB"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Cordialmente,</w:t>
      </w:r>
    </w:p>
    <w:p w14:paraId="0A4328E3"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64D81AC2" w14:textId="6E6A9FDD"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b/>
          <w:bCs/>
          <w:color w:val="000000"/>
          <w:kern w:val="0"/>
          <w:lang w:eastAsia="es-CO"/>
          <w14:ligatures w14:val="none"/>
        </w:rPr>
        <w:t>CARLOS AUGUSTO MOLANO RODRÍGUEZ</w:t>
      </w:r>
    </w:p>
    <w:p w14:paraId="51876150"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Consejero CTCP</w:t>
      </w:r>
    </w:p>
    <w:p w14:paraId="51AD15ED" w14:textId="77777777" w:rsidR="00717F8E" w:rsidRPr="00717F8E" w:rsidRDefault="00717F8E" w:rsidP="00717F8E">
      <w:pPr>
        <w:spacing w:after="0" w:line="360" w:lineRule="auto"/>
        <w:jc w:val="both"/>
        <w:rPr>
          <w:rFonts w:ascii="Segoe UI" w:eastAsia="Times New Roman" w:hAnsi="Segoe UI" w:cs="Segoe UI"/>
          <w:color w:val="000000"/>
          <w:kern w:val="0"/>
          <w:lang w:eastAsia="es-CO"/>
          <w14:ligatures w14:val="none"/>
        </w:rPr>
      </w:pPr>
      <w:r w:rsidRPr="00717F8E">
        <w:rPr>
          <w:rFonts w:ascii="Segoe UI" w:eastAsia="Times New Roman" w:hAnsi="Segoe UI" w:cs="Segoe UI"/>
          <w:color w:val="000000"/>
          <w:kern w:val="0"/>
          <w:lang w:eastAsia="es-CO"/>
          <w14:ligatures w14:val="none"/>
        </w:rPr>
        <w:t> </w:t>
      </w:r>
    </w:p>
    <w:p w14:paraId="7017DCAB" w14:textId="77777777" w:rsidR="00717F8E" w:rsidRDefault="00717F8E" w:rsidP="00717F8E">
      <w:pPr>
        <w:spacing w:after="285" w:line="360" w:lineRule="auto"/>
        <w:jc w:val="both"/>
        <w:outlineLvl w:val="2"/>
        <w:rPr>
          <w:rFonts w:ascii="Segoe UI" w:eastAsia="Times New Roman" w:hAnsi="Segoe UI" w:cs="Segoe UI"/>
          <w:b/>
          <w:bCs/>
          <w:color w:val="000000"/>
          <w:kern w:val="0"/>
          <w:lang w:eastAsia="es-CO"/>
          <w14:ligatures w14:val="none"/>
        </w:rPr>
      </w:pPr>
      <w:r w:rsidRPr="00717F8E">
        <w:rPr>
          <w:rFonts w:ascii="Segoe UI" w:eastAsia="Times New Roman" w:hAnsi="Segoe UI" w:cs="Segoe UI"/>
          <w:b/>
          <w:bCs/>
          <w:color w:val="000000"/>
          <w:kern w:val="0"/>
          <w:lang w:eastAsia="es-CO"/>
          <w14:ligatures w14:val="none"/>
        </w:rPr>
        <w:t>Notas al pie</w:t>
      </w:r>
    </w:p>
    <w:p w14:paraId="6D8A61C4" w14:textId="6488D31D" w:rsidR="00717F8E" w:rsidRPr="00717F8E" w:rsidRDefault="00717F8E" w:rsidP="00717F8E">
      <w:pPr>
        <w:spacing w:after="285" w:line="360" w:lineRule="auto"/>
        <w:jc w:val="both"/>
        <w:outlineLvl w:val="2"/>
        <w:rPr>
          <w:rFonts w:ascii="Segoe UI" w:eastAsia="Times New Roman" w:hAnsi="Segoe UI" w:cs="Segoe UI"/>
          <w:b/>
          <w:bCs/>
          <w:color w:val="000000"/>
          <w:kern w:val="0"/>
          <w:lang w:eastAsia="es-CO"/>
          <w14:ligatures w14:val="none"/>
        </w:rPr>
      </w:pPr>
      <w:r w:rsidRPr="00717F8E">
        <w:rPr>
          <w:rFonts w:ascii="Segoe UI" w:hAnsi="Segoe UI" w:cs="Segoe UI"/>
          <w:i/>
          <w:iCs/>
          <w:color w:val="000000"/>
          <w:shd w:val="clear" w:color="auto" w:fill="FFFFFF"/>
        </w:rPr>
        <w:t>________________________________________________________________________________________</w:t>
      </w:r>
    </w:p>
    <w:p w14:paraId="02F61179" w14:textId="77777777" w:rsidR="00717F8E" w:rsidRPr="00717F8E" w:rsidRDefault="00717F8E" w:rsidP="00717F8E">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lang w:eastAsia="es-CO"/>
          <w14:ligatures w14:val="none"/>
        </w:rPr>
      </w:pPr>
      <w:hyperlink r:id="rId13" w:anchor="cite_ref-1" w:tooltip="Volver arriba" w:history="1">
        <w:r w:rsidRPr="00717F8E">
          <w:rPr>
            <w:rFonts w:ascii="Segoe UI" w:eastAsia="Times New Roman" w:hAnsi="Segoe UI" w:cs="Segoe UI"/>
            <w:color w:val="0645AD"/>
            <w:kern w:val="0"/>
            <w:u w:val="single"/>
            <w:lang w:eastAsia="es-CO"/>
            <w14:ligatures w14:val="none"/>
          </w:rPr>
          <w:t>↑</w:t>
        </w:r>
      </w:hyperlink>
      <w:r w:rsidRPr="00717F8E">
        <w:rPr>
          <w:rFonts w:ascii="Segoe UI" w:eastAsia="Times New Roman" w:hAnsi="Segoe UI" w:cs="Segoe UI"/>
          <w:color w:val="000000"/>
          <w:kern w:val="0"/>
          <w:lang w:eastAsia="es-CO"/>
          <w14:ligatures w14:val="none"/>
        </w:rPr>
        <w:t> Tomado del anexo 3 del DUR 2420 de 2015. Numeral “</w:t>
      </w:r>
      <w:r w:rsidRPr="00717F8E">
        <w:rPr>
          <w:rFonts w:ascii="Segoe UI" w:eastAsia="Times New Roman" w:hAnsi="Segoe UI" w:cs="Segoe UI"/>
          <w:i/>
          <w:iCs/>
          <w:color w:val="000000"/>
          <w:kern w:val="0"/>
          <w:lang w:eastAsia="es-CO"/>
          <w14:ligatures w14:val="none"/>
        </w:rPr>
        <w:t>2.13 Los estados financieros de una microempresa deben ser comparables a lo largo del tiempo, para identificar las tendencias de su situación financiera y en el resultado de sus operaciones. Por tanto, la medida y presentación de transacciones similares y otros sucesos y condiciones deben ser llevadas a cabo de una forma uniforme a través del tiempo”.</w:t>
      </w:r>
    </w:p>
    <w:p w14:paraId="1F9573AE" w14:textId="6EC280F7" w:rsidR="00717F8E" w:rsidRPr="00717F8E" w:rsidRDefault="00717F8E" w:rsidP="00717F8E">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lang w:eastAsia="es-CO"/>
          <w14:ligatures w14:val="none"/>
        </w:rPr>
      </w:pPr>
      <w:hyperlink r:id="rId14" w:anchor="cite_ref-2" w:tooltip="Volver arriba" w:history="1">
        <w:r w:rsidRPr="00717F8E">
          <w:rPr>
            <w:rFonts w:ascii="Segoe UI" w:eastAsia="Times New Roman" w:hAnsi="Segoe UI" w:cs="Segoe UI"/>
            <w:color w:val="0645AD"/>
            <w:kern w:val="0"/>
            <w:u w:val="single"/>
            <w:lang w:eastAsia="es-CO"/>
            <w14:ligatures w14:val="none"/>
          </w:rPr>
          <w:t>↑</w:t>
        </w:r>
      </w:hyperlink>
      <w:r w:rsidRPr="00717F8E">
        <w:rPr>
          <w:rFonts w:ascii="Segoe UI" w:eastAsia="Times New Roman" w:hAnsi="Segoe UI" w:cs="Segoe UI"/>
          <w:color w:val="000000"/>
          <w:kern w:val="0"/>
          <w:lang w:eastAsia="es-CO"/>
          <w14:ligatures w14:val="none"/>
        </w:rPr>
        <w:t> </w:t>
      </w:r>
      <w:proofErr w:type="spellStart"/>
      <w:r w:rsidRPr="00717F8E">
        <w:rPr>
          <w:rFonts w:ascii="Segoe UI" w:eastAsia="Times New Roman" w:hAnsi="Segoe UI" w:cs="Segoe UI"/>
          <w:color w:val="000000"/>
          <w:kern w:val="0"/>
          <w:lang w:eastAsia="es-CO"/>
          <w14:ligatures w14:val="none"/>
        </w:rPr>
        <w:t>Dec</w:t>
      </w:r>
      <w:proofErr w:type="spellEnd"/>
      <w:r w:rsidRPr="00717F8E">
        <w:rPr>
          <w:rFonts w:ascii="Segoe UI" w:eastAsia="Times New Roman" w:hAnsi="Segoe UI" w:cs="Segoe UI"/>
          <w:color w:val="000000"/>
          <w:kern w:val="0"/>
          <w:lang w:eastAsia="es-CO"/>
          <w14:ligatures w14:val="none"/>
        </w:rPr>
        <w:t>. 422 de 1991 "</w:t>
      </w:r>
      <w:r w:rsidRPr="00717F8E">
        <w:rPr>
          <w:rFonts w:ascii="Segoe UI" w:eastAsia="Times New Roman" w:hAnsi="Segoe UI" w:cs="Segoe UI"/>
          <w:i/>
          <w:iCs/>
          <w:color w:val="000000"/>
          <w:kern w:val="0"/>
          <w:lang w:eastAsia="es-CO"/>
          <w14:ligatures w14:val="none"/>
        </w:rPr>
        <w:t>Artículo 1. Contabilidad simplificada. Para efectos tributarios, la contabilidad simplificada consiste en conservar las facturas de</w:t>
      </w:r>
      <w:r w:rsidRPr="00717F8E">
        <w:rPr>
          <w:rFonts w:ascii="Segoe UI" w:eastAsia="Times New Roman" w:hAnsi="Segoe UI" w:cs="Segoe UI"/>
          <w:color w:val="000000"/>
          <w:kern w:val="0"/>
          <w:lang w:eastAsia="es-CO"/>
          <w14:ligatures w14:val="none"/>
        </w:rPr>
        <w:t xml:space="preserve"> </w:t>
      </w:r>
      <w:r w:rsidRPr="00717F8E">
        <w:rPr>
          <w:rFonts w:ascii="Segoe UI" w:hAnsi="Segoe UI" w:cs="Segoe UI"/>
          <w:i/>
          <w:iCs/>
          <w:color w:val="000000"/>
          <w:shd w:val="clear" w:color="auto" w:fill="FFFFFF"/>
        </w:rPr>
        <w:t>compra de bienes y servicios y llevar el libro fiscal de registro de operaciones diarias, en el que se consignen los ingresos diarios de cada establecimiento de comercio”</w:t>
      </w:r>
    </w:p>
    <w:sectPr w:rsidR="00717F8E" w:rsidRPr="00717F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32367"/>
    <w:multiLevelType w:val="multilevel"/>
    <w:tmpl w:val="D21E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E2CD2"/>
    <w:multiLevelType w:val="multilevel"/>
    <w:tmpl w:val="40CC3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1232461">
    <w:abstractNumId w:val="1"/>
  </w:num>
  <w:num w:numId="2" w16cid:durableId="11322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8E"/>
    <w:rsid w:val="002B5A40"/>
    <w:rsid w:val="00717F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23CB"/>
  <w15:chartTrackingRefBased/>
  <w15:docId w15:val="{5D0FCB5A-6FF4-46C9-B609-864BECE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7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7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7F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7F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17F8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17F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17F8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17F8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17F8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7F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7F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7F8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7F8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17F8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17F8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17F8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17F8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17F8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17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7F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7F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7F8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17F8E"/>
    <w:pPr>
      <w:spacing w:before="160"/>
      <w:jc w:val="center"/>
    </w:pPr>
    <w:rPr>
      <w:i/>
      <w:iCs/>
      <w:color w:val="404040" w:themeColor="text1" w:themeTint="BF"/>
    </w:rPr>
  </w:style>
  <w:style w:type="character" w:customStyle="1" w:styleId="CitaCar">
    <w:name w:val="Cita Car"/>
    <w:basedOn w:val="Fuentedeprrafopredeter"/>
    <w:link w:val="Cita"/>
    <w:uiPriority w:val="29"/>
    <w:rsid w:val="00717F8E"/>
    <w:rPr>
      <w:i/>
      <w:iCs/>
      <w:color w:val="404040" w:themeColor="text1" w:themeTint="BF"/>
    </w:rPr>
  </w:style>
  <w:style w:type="paragraph" w:styleId="Prrafodelista">
    <w:name w:val="List Paragraph"/>
    <w:basedOn w:val="Normal"/>
    <w:uiPriority w:val="34"/>
    <w:qFormat/>
    <w:rsid w:val="00717F8E"/>
    <w:pPr>
      <w:ind w:left="720"/>
      <w:contextualSpacing/>
    </w:pPr>
  </w:style>
  <w:style w:type="character" w:styleId="nfasisintenso">
    <w:name w:val="Intense Emphasis"/>
    <w:basedOn w:val="Fuentedeprrafopredeter"/>
    <w:uiPriority w:val="21"/>
    <w:qFormat/>
    <w:rsid w:val="00717F8E"/>
    <w:rPr>
      <w:i/>
      <w:iCs/>
      <w:color w:val="0F4761" w:themeColor="accent1" w:themeShade="BF"/>
    </w:rPr>
  </w:style>
  <w:style w:type="paragraph" w:styleId="Citadestacada">
    <w:name w:val="Intense Quote"/>
    <w:basedOn w:val="Normal"/>
    <w:next w:val="Normal"/>
    <w:link w:val="CitadestacadaCar"/>
    <w:uiPriority w:val="30"/>
    <w:qFormat/>
    <w:rsid w:val="00717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7F8E"/>
    <w:rPr>
      <w:i/>
      <w:iCs/>
      <w:color w:val="0F4761" w:themeColor="accent1" w:themeShade="BF"/>
    </w:rPr>
  </w:style>
  <w:style w:type="character" w:styleId="Referenciaintensa">
    <w:name w:val="Intense Reference"/>
    <w:basedOn w:val="Fuentedeprrafopredeter"/>
    <w:uiPriority w:val="32"/>
    <w:qFormat/>
    <w:rsid w:val="00717F8E"/>
    <w:rPr>
      <w:b/>
      <w:bCs/>
      <w:smallCaps/>
      <w:color w:val="0F4761" w:themeColor="accent1" w:themeShade="BF"/>
      <w:spacing w:val="5"/>
    </w:rPr>
  </w:style>
  <w:style w:type="paragraph" w:styleId="NormalWeb">
    <w:name w:val="Normal (Web)"/>
    <w:basedOn w:val="Normal"/>
    <w:uiPriority w:val="99"/>
    <w:unhideWhenUsed/>
    <w:rsid w:val="00717F8E"/>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717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4">
      <w:bodyDiv w:val="1"/>
      <w:marLeft w:val="0"/>
      <w:marRight w:val="0"/>
      <w:marTop w:val="0"/>
      <w:marBottom w:val="0"/>
      <w:divBdr>
        <w:top w:val="none" w:sz="0" w:space="0" w:color="auto"/>
        <w:left w:val="none" w:sz="0" w:space="0" w:color="auto"/>
        <w:bottom w:val="none" w:sz="0" w:space="0" w:color="auto"/>
        <w:right w:val="none" w:sz="0" w:space="0" w:color="auto"/>
      </w:divBdr>
    </w:div>
    <w:div w:id="308049904">
      <w:bodyDiv w:val="1"/>
      <w:marLeft w:val="0"/>
      <w:marRight w:val="0"/>
      <w:marTop w:val="0"/>
      <w:marBottom w:val="0"/>
      <w:divBdr>
        <w:top w:val="none" w:sz="0" w:space="0" w:color="auto"/>
        <w:left w:val="none" w:sz="0" w:space="0" w:color="auto"/>
        <w:bottom w:val="none" w:sz="0" w:space="0" w:color="auto"/>
        <w:right w:val="none" w:sz="0" w:space="0" w:color="auto"/>
      </w:divBdr>
    </w:div>
    <w:div w:id="308753182">
      <w:bodyDiv w:val="1"/>
      <w:marLeft w:val="0"/>
      <w:marRight w:val="0"/>
      <w:marTop w:val="0"/>
      <w:marBottom w:val="0"/>
      <w:divBdr>
        <w:top w:val="none" w:sz="0" w:space="0" w:color="auto"/>
        <w:left w:val="none" w:sz="0" w:space="0" w:color="auto"/>
        <w:bottom w:val="none" w:sz="0" w:space="0" w:color="auto"/>
        <w:right w:val="none" w:sz="0" w:space="0" w:color="auto"/>
      </w:divBdr>
    </w:div>
    <w:div w:id="731385455">
      <w:bodyDiv w:val="1"/>
      <w:marLeft w:val="0"/>
      <w:marRight w:val="0"/>
      <w:marTop w:val="0"/>
      <w:marBottom w:val="0"/>
      <w:divBdr>
        <w:top w:val="none" w:sz="0" w:space="0" w:color="auto"/>
        <w:left w:val="none" w:sz="0" w:space="0" w:color="auto"/>
        <w:bottom w:val="none" w:sz="0" w:space="0" w:color="auto"/>
        <w:right w:val="none" w:sz="0" w:space="0" w:color="auto"/>
      </w:divBdr>
    </w:div>
    <w:div w:id="1172186883">
      <w:bodyDiv w:val="1"/>
      <w:marLeft w:val="0"/>
      <w:marRight w:val="0"/>
      <w:marTop w:val="0"/>
      <w:marBottom w:val="0"/>
      <w:divBdr>
        <w:top w:val="none" w:sz="0" w:space="0" w:color="auto"/>
        <w:left w:val="none" w:sz="0" w:space="0" w:color="auto"/>
        <w:bottom w:val="none" w:sz="0" w:space="0" w:color="auto"/>
        <w:right w:val="none" w:sz="0" w:space="0" w:color="auto"/>
      </w:divBdr>
    </w:div>
    <w:div w:id="1417939892">
      <w:bodyDiv w:val="1"/>
      <w:marLeft w:val="0"/>
      <w:marRight w:val="0"/>
      <w:marTop w:val="0"/>
      <w:marBottom w:val="0"/>
      <w:divBdr>
        <w:top w:val="none" w:sz="0" w:space="0" w:color="auto"/>
        <w:left w:val="none" w:sz="0" w:space="0" w:color="auto"/>
        <w:bottom w:val="none" w:sz="0" w:space="0" w:color="auto"/>
        <w:right w:val="none" w:sz="0" w:space="0" w:color="auto"/>
      </w:divBdr>
    </w:div>
    <w:div w:id="1511946487">
      <w:bodyDiv w:val="1"/>
      <w:marLeft w:val="0"/>
      <w:marRight w:val="0"/>
      <w:marTop w:val="0"/>
      <w:marBottom w:val="0"/>
      <w:divBdr>
        <w:top w:val="none" w:sz="0" w:space="0" w:color="auto"/>
        <w:left w:val="none" w:sz="0" w:space="0" w:color="auto"/>
        <w:bottom w:val="none" w:sz="0" w:space="0" w:color="auto"/>
        <w:right w:val="none" w:sz="0" w:space="0" w:color="auto"/>
      </w:divBdr>
    </w:div>
    <w:div w:id="1838958814">
      <w:bodyDiv w:val="1"/>
      <w:marLeft w:val="0"/>
      <w:marRight w:val="0"/>
      <w:marTop w:val="0"/>
      <w:marBottom w:val="0"/>
      <w:divBdr>
        <w:top w:val="none" w:sz="0" w:space="0" w:color="auto"/>
        <w:left w:val="none" w:sz="0" w:space="0" w:color="auto"/>
        <w:bottom w:val="none" w:sz="0" w:space="0" w:color="auto"/>
        <w:right w:val="none" w:sz="0" w:space="0" w:color="auto"/>
      </w:divBdr>
    </w:div>
    <w:div w:id="1864973423">
      <w:bodyDiv w:val="1"/>
      <w:marLeft w:val="0"/>
      <w:marRight w:val="0"/>
      <w:marTop w:val="0"/>
      <w:marBottom w:val="0"/>
      <w:divBdr>
        <w:top w:val="none" w:sz="0" w:space="0" w:color="auto"/>
        <w:left w:val="none" w:sz="0" w:space="0" w:color="auto"/>
        <w:bottom w:val="none" w:sz="0" w:space="0" w:color="auto"/>
        <w:right w:val="none" w:sz="0" w:space="0" w:color="auto"/>
      </w:divBdr>
    </w:div>
    <w:div w:id="20364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126" TargetMode="External"/><Relationship Id="rId13" Type="http://schemas.openxmlformats.org/officeDocument/2006/relationships/hyperlink" Target="https://www.ceta.org.co/html/vista_de_un_documento.asp?DocumentoID=5112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tcp.gov.co/noticias/2022/a-partir-del-primero-1-de-mayo-de-dos-mil-veintid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ta.org.co/html/vista_de_un_documento.asp?DocumentoID=51126" TargetMode="External"/><Relationship Id="rId11" Type="http://schemas.openxmlformats.org/officeDocument/2006/relationships/hyperlink" Target="https://www.ctcp.gov.co/publicaciones-ctcp/compilaciones-normativas/anexo-3-del-dur-2420-de-2015-normas-de-informacion/compilacion-anexo-3-a-diciembre-31-de-2020-microem" TargetMode="External"/><Relationship Id="rId5" Type="http://schemas.openxmlformats.org/officeDocument/2006/relationships/hyperlink" Target="http://www.ctcp.gov.co/conceptos" TargetMode="External"/><Relationship Id="rId15" Type="http://schemas.openxmlformats.org/officeDocument/2006/relationships/fontTable" Target="fontTable.xml"/><Relationship Id="rId10" Type="http://schemas.openxmlformats.org/officeDocument/2006/relationships/hyperlink" Target="http://www.ctcp.gov.co/publicaciones" TargetMode="External"/><Relationship Id="rId4" Type="http://schemas.openxmlformats.org/officeDocument/2006/relationships/webSettings" Target="webSettings.xml"/><Relationship Id="rId9" Type="http://schemas.openxmlformats.org/officeDocument/2006/relationships/hyperlink" Target="http://www.ctcp.gov.co/" TargetMode="External"/><Relationship Id="rId14" Type="http://schemas.openxmlformats.org/officeDocument/2006/relationships/hyperlink" Target="https://www.ceta.org.co/html/vista_de_un_documento.asp?DocumentoID=511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2270</Words>
  <Characters>12490</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2024-03-15T15:30:00Z</dcterms:created>
  <dcterms:modified xsi:type="dcterms:W3CDTF">2024-03-15T15:41:00Z</dcterms:modified>
</cp:coreProperties>
</file>