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B519E" w14:textId="77777777" w:rsidR="009522FE" w:rsidRPr="00BA4161" w:rsidRDefault="009522FE" w:rsidP="00E9529A">
      <w:pPr>
        <w:shd w:val="clear" w:color="auto" w:fill="FFFFFF"/>
        <w:spacing w:after="150" w:line="360" w:lineRule="auto"/>
        <w:jc w:val="center"/>
        <w:rPr>
          <w:rFonts w:eastAsia="Times New Roman" w:cs="Arial"/>
          <w:lang w:eastAsia="es-419"/>
        </w:rPr>
      </w:pPr>
      <w:r w:rsidRPr="00BA4161">
        <w:rPr>
          <w:rFonts w:eastAsia="Times New Roman" w:cs="Arial"/>
          <w:b/>
          <w:bCs/>
          <w:lang w:eastAsia="es-419"/>
        </w:rPr>
        <w:br/>
        <w:t xml:space="preserve">Concepto </w:t>
      </w:r>
      <w:proofErr w:type="spellStart"/>
      <w:r w:rsidRPr="00BA4161">
        <w:rPr>
          <w:rFonts w:eastAsia="Times New Roman" w:cs="Arial"/>
          <w:b/>
          <w:bCs/>
          <w:lang w:eastAsia="es-419"/>
        </w:rPr>
        <w:t>Nº</w:t>
      </w:r>
      <w:proofErr w:type="spellEnd"/>
      <w:r w:rsidRPr="00BA4161">
        <w:rPr>
          <w:rFonts w:eastAsia="Times New Roman" w:cs="Arial"/>
          <w:b/>
          <w:bCs/>
          <w:lang w:eastAsia="es-419"/>
        </w:rPr>
        <w:t xml:space="preserve"> 0489</w:t>
      </w:r>
    </w:p>
    <w:p w14:paraId="3D56DF2F" w14:textId="77777777" w:rsidR="009522FE" w:rsidRPr="00BA4161" w:rsidRDefault="009522FE" w:rsidP="00E9529A">
      <w:pPr>
        <w:shd w:val="clear" w:color="auto" w:fill="FFFFFF"/>
        <w:spacing w:after="150" w:line="360" w:lineRule="auto"/>
        <w:jc w:val="center"/>
        <w:rPr>
          <w:rFonts w:eastAsia="Times New Roman" w:cs="Arial"/>
          <w:lang w:eastAsia="es-419"/>
        </w:rPr>
      </w:pPr>
      <w:r w:rsidRPr="00BA4161">
        <w:rPr>
          <w:rFonts w:eastAsia="Times New Roman" w:cs="Arial"/>
          <w:b/>
          <w:bCs/>
          <w:lang w:eastAsia="es-419"/>
        </w:rPr>
        <w:t>13-12-2022</w:t>
      </w:r>
    </w:p>
    <w:p w14:paraId="48BCDE2C" w14:textId="77777777" w:rsidR="009522FE" w:rsidRPr="00BA4161" w:rsidRDefault="009522FE" w:rsidP="00E9529A">
      <w:pPr>
        <w:shd w:val="clear" w:color="auto" w:fill="FFFFFF"/>
        <w:spacing w:after="150" w:line="360" w:lineRule="auto"/>
        <w:jc w:val="center"/>
        <w:rPr>
          <w:rFonts w:eastAsia="Times New Roman" w:cs="Arial"/>
          <w:lang w:eastAsia="es-419"/>
        </w:rPr>
      </w:pPr>
      <w:r w:rsidRPr="00BA4161">
        <w:rPr>
          <w:rFonts w:eastAsia="Times New Roman" w:cs="Arial"/>
          <w:b/>
          <w:bCs/>
          <w:lang w:eastAsia="es-419"/>
        </w:rPr>
        <w:t>Consejo Técnico de la Contaduría Pública</w:t>
      </w:r>
    </w:p>
    <w:p w14:paraId="10A41E7F" w14:textId="6E66BDCC" w:rsidR="009522FE" w:rsidRPr="00BA4161" w:rsidRDefault="009522FE" w:rsidP="00E9529A">
      <w:pPr>
        <w:shd w:val="clear" w:color="auto" w:fill="FFFFFF"/>
        <w:spacing w:after="150" w:line="360" w:lineRule="auto"/>
        <w:jc w:val="center"/>
        <w:rPr>
          <w:rFonts w:eastAsia="Times New Roman" w:cs="Arial"/>
          <w:lang w:eastAsia="es-419"/>
        </w:rPr>
      </w:pPr>
    </w:p>
    <w:p w14:paraId="4829D8D0" w14:textId="5DCE73C5"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lang w:eastAsia="es-419"/>
        </w:rPr>
        <w:t>Bogotá, D.C.,</w:t>
      </w:r>
    </w:p>
    <w:p w14:paraId="086F6CC6" w14:textId="77777777"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lang w:eastAsia="es-419"/>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77"/>
        <w:gridCol w:w="3523"/>
      </w:tblGrid>
      <w:tr w:rsidR="00BA4161" w:rsidRPr="00BA4161" w14:paraId="2C7B9608" w14:textId="77777777" w:rsidTr="009522FE">
        <w:tc>
          <w:tcPr>
            <w:tcW w:w="0" w:type="auto"/>
            <w:shd w:val="clear" w:color="auto" w:fill="FFFFFF"/>
            <w:tcMar>
              <w:top w:w="0" w:type="dxa"/>
              <w:left w:w="0" w:type="dxa"/>
              <w:bottom w:w="0" w:type="dxa"/>
              <w:right w:w="0" w:type="dxa"/>
            </w:tcMar>
            <w:hideMark/>
          </w:tcPr>
          <w:p w14:paraId="35AC9DCE" w14:textId="77777777" w:rsidR="009522FE" w:rsidRPr="00BA4161" w:rsidRDefault="009522FE" w:rsidP="00E9529A">
            <w:pPr>
              <w:spacing w:line="360" w:lineRule="auto"/>
              <w:rPr>
                <w:rFonts w:eastAsia="Times New Roman" w:cs="Arial"/>
                <w:lang w:eastAsia="es-419"/>
              </w:rPr>
            </w:pPr>
            <w:r w:rsidRPr="00BA4161">
              <w:rPr>
                <w:rFonts w:eastAsia="Times New Roman" w:cs="Arial"/>
                <w:b/>
                <w:bCs/>
                <w:lang w:eastAsia="es-419"/>
              </w:rPr>
              <w:t>REFERENCIA:</w:t>
            </w:r>
          </w:p>
        </w:tc>
        <w:tc>
          <w:tcPr>
            <w:tcW w:w="0" w:type="auto"/>
            <w:shd w:val="clear" w:color="auto" w:fill="FFFFFF"/>
            <w:tcMar>
              <w:top w:w="0" w:type="dxa"/>
              <w:left w:w="0" w:type="dxa"/>
              <w:bottom w:w="0" w:type="dxa"/>
              <w:right w:w="0" w:type="dxa"/>
            </w:tcMar>
            <w:hideMark/>
          </w:tcPr>
          <w:p w14:paraId="3A2EB251" w14:textId="77777777" w:rsidR="009522FE" w:rsidRPr="00BA4161" w:rsidRDefault="009522FE" w:rsidP="00E9529A">
            <w:pPr>
              <w:spacing w:line="360" w:lineRule="auto"/>
              <w:rPr>
                <w:rFonts w:eastAsia="Times New Roman" w:cs="Arial"/>
                <w:lang w:eastAsia="es-419"/>
              </w:rPr>
            </w:pPr>
            <w:r w:rsidRPr="00BA4161">
              <w:rPr>
                <w:rFonts w:eastAsia="Times New Roman" w:cs="Arial"/>
                <w:lang w:eastAsia="es-419"/>
              </w:rPr>
              <w:t> </w:t>
            </w:r>
          </w:p>
        </w:tc>
      </w:tr>
      <w:tr w:rsidR="00BA4161" w:rsidRPr="00BA4161" w14:paraId="65C0914A" w14:textId="77777777" w:rsidTr="009522FE">
        <w:tc>
          <w:tcPr>
            <w:tcW w:w="0" w:type="auto"/>
            <w:shd w:val="clear" w:color="auto" w:fill="FFFFFF"/>
            <w:tcMar>
              <w:top w:w="0" w:type="dxa"/>
              <w:left w:w="0" w:type="dxa"/>
              <w:bottom w:w="0" w:type="dxa"/>
              <w:right w:w="0" w:type="dxa"/>
            </w:tcMar>
            <w:hideMark/>
          </w:tcPr>
          <w:p w14:paraId="1C378B1F" w14:textId="77777777" w:rsidR="009522FE" w:rsidRPr="00BA4161" w:rsidRDefault="009522FE" w:rsidP="00E9529A">
            <w:pPr>
              <w:spacing w:line="360" w:lineRule="auto"/>
              <w:rPr>
                <w:rFonts w:eastAsia="Times New Roman" w:cs="Arial"/>
                <w:lang w:eastAsia="es-419"/>
              </w:rPr>
            </w:pPr>
            <w:r w:rsidRPr="00BA4161">
              <w:rPr>
                <w:rFonts w:eastAsia="Times New Roman" w:cs="Arial"/>
                <w:lang w:eastAsia="es-419"/>
              </w:rPr>
              <w:t>No. del Radicado</w:t>
            </w:r>
          </w:p>
        </w:tc>
        <w:tc>
          <w:tcPr>
            <w:tcW w:w="0" w:type="auto"/>
            <w:shd w:val="clear" w:color="auto" w:fill="FFFFFF"/>
            <w:tcMar>
              <w:top w:w="0" w:type="dxa"/>
              <w:left w:w="0" w:type="dxa"/>
              <w:bottom w:w="0" w:type="dxa"/>
              <w:right w:w="0" w:type="dxa"/>
            </w:tcMar>
            <w:hideMark/>
          </w:tcPr>
          <w:p w14:paraId="19E0F26A" w14:textId="795125E6" w:rsidR="009522FE" w:rsidRPr="00BA4161" w:rsidRDefault="009522FE" w:rsidP="00E9529A">
            <w:pPr>
              <w:spacing w:line="360" w:lineRule="auto"/>
              <w:rPr>
                <w:rFonts w:eastAsia="Times New Roman" w:cs="Arial"/>
                <w:lang w:eastAsia="es-419"/>
              </w:rPr>
            </w:pPr>
            <w:r w:rsidRPr="00BA4161">
              <w:rPr>
                <w:rFonts w:eastAsia="Times New Roman" w:cs="Arial"/>
                <w:lang w:eastAsia="es-419"/>
              </w:rPr>
              <w:t xml:space="preserve"> 1-2022-028724 / 1-2022-028725</w:t>
            </w:r>
          </w:p>
        </w:tc>
      </w:tr>
      <w:tr w:rsidR="00BA4161" w:rsidRPr="00BA4161" w14:paraId="7D7CFA5C" w14:textId="77777777" w:rsidTr="009522FE">
        <w:tc>
          <w:tcPr>
            <w:tcW w:w="0" w:type="auto"/>
            <w:shd w:val="clear" w:color="auto" w:fill="FFFFFF"/>
            <w:tcMar>
              <w:top w:w="0" w:type="dxa"/>
              <w:left w:w="0" w:type="dxa"/>
              <w:bottom w:w="0" w:type="dxa"/>
              <w:right w:w="0" w:type="dxa"/>
            </w:tcMar>
            <w:hideMark/>
          </w:tcPr>
          <w:p w14:paraId="2792BA59" w14:textId="77777777" w:rsidR="009522FE" w:rsidRPr="00BA4161" w:rsidRDefault="009522FE" w:rsidP="00E9529A">
            <w:pPr>
              <w:spacing w:line="360" w:lineRule="auto"/>
              <w:rPr>
                <w:rFonts w:eastAsia="Times New Roman" w:cs="Arial"/>
                <w:lang w:eastAsia="es-419"/>
              </w:rPr>
            </w:pPr>
            <w:r w:rsidRPr="00BA4161">
              <w:rPr>
                <w:rFonts w:eastAsia="Times New Roman" w:cs="Arial"/>
                <w:lang w:eastAsia="es-419"/>
              </w:rPr>
              <w:t>Fecha de Radicado</w:t>
            </w:r>
          </w:p>
        </w:tc>
        <w:tc>
          <w:tcPr>
            <w:tcW w:w="0" w:type="auto"/>
            <w:shd w:val="clear" w:color="auto" w:fill="FFFFFF"/>
            <w:tcMar>
              <w:top w:w="0" w:type="dxa"/>
              <w:left w:w="0" w:type="dxa"/>
              <w:bottom w:w="0" w:type="dxa"/>
              <w:right w:w="0" w:type="dxa"/>
            </w:tcMar>
            <w:hideMark/>
          </w:tcPr>
          <w:p w14:paraId="4303A27A" w14:textId="3927D487" w:rsidR="009522FE" w:rsidRPr="00BA4161" w:rsidRDefault="009522FE" w:rsidP="00E9529A">
            <w:pPr>
              <w:spacing w:line="360" w:lineRule="auto"/>
              <w:rPr>
                <w:rFonts w:eastAsia="Times New Roman" w:cs="Arial"/>
                <w:lang w:eastAsia="es-419"/>
              </w:rPr>
            </w:pPr>
            <w:r w:rsidRPr="00BA4161">
              <w:rPr>
                <w:rFonts w:eastAsia="Times New Roman" w:cs="Arial"/>
                <w:lang w:eastAsia="es-419"/>
              </w:rPr>
              <w:t xml:space="preserve"> 27 de septiembre de 2022</w:t>
            </w:r>
          </w:p>
        </w:tc>
      </w:tr>
      <w:tr w:rsidR="00BA4161" w:rsidRPr="00BA4161" w14:paraId="61476B46" w14:textId="77777777" w:rsidTr="009522FE">
        <w:tc>
          <w:tcPr>
            <w:tcW w:w="0" w:type="auto"/>
            <w:shd w:val="clear" w:color="auto" w:fill="FFFFFF"/>
            <w:tcMar>
              <w:top w:w="0" w:type="dxa"/>
              <w:left w:w="0" w:type="dxa"/>
              <w:bottom w:w="0" w:type="dxa"/>
              <w:right w:w="0" w:type="dxa"/>
            </w:tcMar>
            <w:hideMark/>
          </w:tcPr>
          <w:p w14:paraId="3E9D85AC" w14:textId="77777777" w:rsidR="009522FE" w:rsidRPr="00BA4161" w:rsidRDefault="009522FE" w:rsidP="00E9529A">
            <w:pPr>
              <w:spacing w:line="360" w:lineRule="auto"/>
              <w:rPr>
                <w:rFonts w:eastAsia="Times New Roman" w:cs="Arial"/>
                <w:lang w:eastAsia="es-419"/>
              </w:rPr>
            </w:pPr>
            <w:proofErr w:type="spellStart"/>
            <w:r w:rsidRPr="00BA4161">
              <w:rPr>
                <w:rFonts w:eastAsia="Times New Roman" w:cs="Arial"/>
                <w:lang w:eastAsia="es-419"/>
              </w:rPr>
              <w:t>N°</w:t>
            </w:r>
            <w:proofErr w:type="spellEnd"/>
            <w:r w:rsidRPr="00BA4161">
              <w:rPr>
                <w:rFonts w:eastAsia="Times New Roman" w:cs="Arial"/>
                <w:lang w:eastAsia="es-419"/>
              </w:rPr>
              <w:t xml:space="preserve"> de Radicación </w:t>
            </w:r>
            <w:proofErr w:type="spellStart"/>
            <w:r w:rsidRPr="00BA4161">
              <w:rPr>
                <w:rFonts w:eastAsia="Times New Roman" w:cs="Arial"/>
                <w:lang w:eastAsia="es-419"/>
              </w:rPr>
              <w:t>CTCP</w:t>
            </w:r>
            <w:proofErr w:type="spellEnd"/>
          </w:p>
        </w:tc>
        <w:tc>
          <w:tcPr>
            <w:tcW w:w="0" w:type="auto"/>
            <w:shd w:val="clear" w:color="auto" w:fill="FFFFFF"/>
            <w:tcMar>
              <w:top w:w="0" w:type="dxa"/>
              <w:left w:w="0" w:type="dxa"/>
              <w:bottom w:w="0" w:type="dxa"/>
              <w:right w:w="0" w:type="dxa"/>
            </w:tcMar>
            <w:hideMark/>
          </w:tcPr>
          <w:p w14:paraId="3C1DE0D7" w14:textId="768C2415" w:rsidR="009522FE" w:rsidRPr="00BA4161" w:rsidRDefault="009522FE" w:rsidP="00E9529A">
            <w:pPr>
              <w:spacing w:line="360" w:lineRule="auto"/>
              <w:rPr>
                <w:rFonts w:eastAsia="Times New Roman" w:cs="Arial"/>
                <w:lang w:eastAsia="es-419"/>
              </w:rPr>
            </w:pPr>
            <w:r w:rsidRPr="00BA4161">
              <w:rPr>
                <w:rFonts w:eastAsia="Times New Roman" w:cs="Arial"/>
                <w:lang w:eastAsia="es-419"/>
              </w:rPr>
              <w:t xml:space="preserve"> 2022-0489</w:t>
            </w:r>
          </w:p>
        </w:tc>
      </w:tr>
      <w:tr w:rsidR="00BA4161" w:rsidRPr="00BA4161" w14:paraId="2A85A348" w14:textId="77777777" w:rsidTr="009522FE">
        <w:tc>
          <w:tcPr>
            <w:tcW w:w="0" w:type="auto"/>
            <w:shd w:val="clear" w:color="auto" w:fill="FFFFFF"/>
            <w:tcMar>
              <w:top w:w="0" w:type="dxa"/>
              <w:left w:w="0" w:type="dxa"/>
              <w:bottom w:w="0" w:type="dxa"/>
              <w:right w:w="0" w:type="dxa"/>
            </w:tcMar>
            <w:hideMark/>
          </w:tcPr>
          <w:p w14:paraId="0BEB4E19" w14:textId="77777777" w:rsidR="009522FE" w:rsidRPr="00BA4161" w:rsidRDefault="009522FE" w:rsidP="00E9529A">
            <w:pPr>
              <w:spacing w:line="360" w:lineRule="auto"/>
              <w:rPr>
                <w:rFonts w:eastAsia="Times New Roman" w:cs="Arial"/>
                <w:highlight w:val="yellow"/>
                <w:lang w:eastAsia="es-419"/>
              </w:rPr>
            </w:pPr>
            <w:r w:rsidRPr="00BA4161">
              <w:rPr>
                <w:rFonts w:eastAsia="Times New Roman" w:cs="Arial"/>
                <w:highlight w:val="yellow"/>
                <w:lang w:eastAsia="es-419"/>
              </w:rPr>
              <w:t>Tema</w:t>
            </w:r>
          </w:p>
        </w:tc>
        <w:tc>
          <w:tcPr>
            <w:tcW w:w="0" w:type="auto"/>
            <w:shd w:val="clear" w:color="auto" w:fill="FFFFFF"/>
            <w:tcMar>
              <w:top w:w="0" w:type="dxa"/>
              <w:left w:w="0" w:type="dxa"/>
              <w:bottom w:w="0" w:type="dxa"/>
              <w:right w:w="0" w:type="dxa"/>
            </w:tcMar>
            <w:hideMark/>
          </w:tcPr>
          <w:p w14:paraId="5D1FDD9C" w14:textId="77777777" w:rsidR="009522FE" w:rsidRPr="00BA4161" w:rsidRDefault="009522FE" w:rsidP="00E9529A">
            <w:pPr>
              <w:spacing w:line="360" w:lineRule="auto"/>
              <w:rPr>
                <w:rFonts w:eastAsia="Times New Roman" w:cs="Arial"/>
                <w:highlight w:val="yellow"/>
                <w:lang w:eastAsia="es-419"/>
              </w:rPr>
            </w:pPr>
            <w:r w:rsidRPr="00BA4161">
              <w:rPr>
                <w:rFonts w:eastAsia="Times New Roman" w:cs="Arial"/>
                <w:highlight w:val="yellow"/>
                <w:lang w:eastAsia="es-419"/>
              </w:rPr>
              <w:t>Ingresos Brutos Contables</w:t>
            </w:r>
          </w:p>
        </w:tc>
      </w:tr>
    </w:tbl>
    <w:p w14:paraId="63D5D36D" w14:textId="77777777"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lang w:eastAsia="es-419"/>
        </w:rPr>
        <w:t> </w:t>
      </w:r>
    </w:p>
    <w:p w14:paraId="78E4FB21" w14:textId="3F1DF6E2"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b/>
          <w:bCs/>
          <w:lang w:eastAsia="es-419"/>
        </w:rPr>
        <w:t>CONSULTA (TEXTUAL)</w:t>
      </w:r>
    </w:p>
    <w:p w14:paraId="56F3B9B0" w14:textId="1F2D2A9C"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i/>
          <w:iCs/>
          <w:lang w:eastAsia="es-419"/>
        </w:rPr>
        <w:t>“(...) Me dirijo a ustedes, con la finalidad de resolver una inquietud con respecto a la obligatoriedad para tener revisor fiscal en una SAS. En este caso reviso el artículo 13 de la Ley 43 de 1990 que señala “que las sociedades comerciales, de cualquier naturaleza, cuyos activos brutos al 31 de diciembre del año inmediatamente anterior sean o excedan el equivalente de 5.000 salarios mínimos y/o cuyos ingresos brutos durante el año inmediatamente anterior sean o excedan al equivalente a 3.000 salarios mínimos, se encuentran obligadas a contar con revisor fiscal en todas las sociedades.”</w:t>
      </w:r>
    </w:p>
    <w:p w14:paraId="07363571" w14:textId="24AB1DA9"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i/>
          <w:iCs/>
          <w:lang w:eastAsia="es-419"/>
        </w:rPr>
        <w:t>Con respecto a los Ingresos brutos, quisiera saber si se toma como Base los ingresos antes de devoluciones, o después de devoluciones. La razón es porque durante el año en curso, 2022 se elaboró una factura electrónica por $20.000.000.000 por error y seguidamente se elaboró una Nota crédito por este mismo Valor, y tenemos duda si por este error y al revisar solo ingresos antes de devoluciones debemos tener para el próximo año revisor fiscal; ya que si no hubiese sido por este error no se superarían los topes”.</w:t>
      </w:r>
    </w:p>
    <w:p w14:paraId="729220FF" w14:textId="77777777" w:rsidR="00FD5ECA" w:rsidRDefault="00FD5ECA" w:rsidP="00E9529A">
      <w:pPr>
        <w:shd w:val="clear" w:color="auto" w:fill="FFFFFF"/>
        <w:spacing w:after="150" w:line="360" w:lineRule="auto"/>
        <w:rPr>
          <w:rFonts w:eastAsia="Times New Roman" w:cs="Arial"/>
          <w:b/>
          <w:bCs/>
          <w:lang w:eastAsia="es-419"/>
        </w:rPr>
      </w:pPr>
    </w:p>
    <w:p w14:paraId="4CD64B79" w14:textId="77777777" w:rsidR="00FD5ECA" w:rsidRDefault="00FD5ECA" w:rsidP="00E9529A">
      <w:pPr>
        <w:shd w:val="clear" w:color="auto" w:fill="FFFFFF"/>
        <w:spacing w:after="150" w:line="360" w:lineRule="auto"/>
        <w:rPr>
          <w:rFonts w:eastAsia="Times New Roman" w:cs="Arial"/>
          <w:b/>
          <w:bCs/>
          <w:lang w:eastAsia="es-419"/>
        </w:rPr>
      </w:pPr>
    </w:p>
    <w:p w14:paraId="15F1D496" w14:textId="6B08D4BD"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b/>
          <w:bCs/>
          <w:lang w:eastAsia="es-419"/>
        </w:rPr>
        <w:lastRenderedPageBreak/>
        <w:t>CONSIDERACIONES Y CONCEPTO</w:t>
      </w:r>
    </w:p>
    <w:p w14:paraId="79754213" w14:textId="77777777"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lang w:eastAsia="es-419"/>
        </w:rPr>
        <w:t> </w:t>
      </w:r>
    </w:p>
    <w:p w14:paraId="2274CCF6" w14:textId="77777777"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lang w:eastAsia="es-419"/>
        </w:rPr>
        <w:t>El Consejo Técnico de la Contaduría Pública (CTCP) en su carácter de Organismo Orientador técnico-científico de la profesión y Normalizador de las Normas de Contabilidad, de Información Financiera y de Aseguramiento de la Información, conforme a las normas legales vigentes, especialmente por lo dispuesto en la Ley 43 de 1990, la Ley 1314 de 2009, y en sus Decretos Reglamentarios, procede a dar respuesta a la consulta anterior de manera general, pues no se pretende resolver casos particulares, en los siguientes términos:</w:t>
      </w:r>
    </w:p>
    <w:p w14:paraId="590330E8" w14:textId="5FECE0F0"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lang w:eastAsia="es-419"/>
        </w:rPr>
        <w:t>Es pertinente señalar que el término “ingreso bruto” al que se hace mención en la consulta, no está expresado en las normas de contabilidad ni de información financiera. Conforme a los marcos técnicos legales vigentes, la NIIF 15 de las NIIF Plenas, la Sección 23 de la NIIF para las Pymes y el Capítulo 12 de la NIF para las Microempresas no tratan el concepto de ingresos brutos ni de ingresos netos por separado, dado que el “ingreso de actividades ordinarias” por definición comprende las entradas brutas de beneficios económicos recibidos y por recibir, por parte de la entidad y por cuenta propia, si bien es cierto que se deducen de esas entradas brutas las rebajas y descuentos a que hubiera lugar. En ese orden de ideas, para efectos contables, a pesar de ser entradas brutas, se presentan netas de rebajas, descuentos y devoluciones, esto es los ingresos netos.</w:t>
      </w:r>
    </w:p>
    <w:p w14:paraId="3BC4A20B" w14:textId="2E30943E"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highlight w:val="yellow"/>
          <w:lang w:eastAsia="es-419"/>
        </w:rPr>
        <w:t>No obstante, mediante el concepto 2022-0360</w:t>
      </w:r>
      <w:hyperlink r:id="rId5" w:anchor="cite_note-1" w:history="1">
        <w:r w:rsidRPr="00BA4161">
          <w:rPr>
            <w:rFonts w:eastAsia="Times New Roman" w:cs="Arial"/>
            <w:highlight w:val="yellow"/>
            <w:u w:val="single"/>
            <w:vertAlign w:val="superscript"/>
            <w:lang w:eastAsia="es-419"/>
          </w:rPr>
          <w:t>1</w:t>
        </w:r>
      </w:hyperlink>
      <w:r w:rsidRPr="00BA4161">
        <w:rPr>
          <w:rFonts w:eastAsia="Times New Roman" w:cs="Arial"/>
          <w:highlight w:val="yellow"/>
          <w:lang w:eastAsia="es-419"/>
        </w:rPr>
        <w:t> que emitió el CTCP, con relación a los ingresos brutos e ingresos netos, se manifestó lo siguiente</w:t>
      </w:r>
      <w:r w:rsidRPr="00BA4161">
        <w:rPr>
          <w:rFonts w:eastAsia="Times New Roman" w:cs="Arial"/>
          <w:lang w:eastAsia="es-419"/>
        </w:rPr>
        <w:t> </w:t>
      </w:r>
    </w:p>
    <w:p w14:paraId="01894C21" w14:textId="77777777"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i/>
          <w:iCs/>
          <w:lang w:eastAsia="es-419"/>
        </w:rPr>
        <w:t>“(...) se debe tener en cuenta que la venta neta conforme al diccionario de términos contables para Colombia editado por la Editorial de la Universidad de Antioquia es definida como: “Rubro del estado de resultados que expresa el importe total de las ventas, menos las devoluciones, rebajas y bonificaciones, y algunas veces, los descuentos por pronto pago”. Para entender el concepto en comento, es necesario referirnos a las ventas brutas</w:t>
      </w:r>
      <w:r w:rsidRPr="00BA4161">
        <w:rPr>
          <w:rFonts w:eastAsia="Times New Roman" w:cs="Arial"/>
          <w:i/>
          <w:iCs/>
          <w:highlight w:val="yellow"/>
          <w:lang w:eastAsia="es-419"/>
        </w:rPr>
        <w:t>. Las ventas brutas son una métrica que representa el total de las ventas de bienes o servicios enajenados en un período determinado, sin ninguna deducción. En tanto que las ventas netas se determinan a partir de las ventas brutas restando todas las rebajas, devoluciones, descuentos e incentivos.</w:t>
      </w:r>
    </w:p>
    <w:p w14:paraId="0B3A3016" w14:textId="77777777"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lang w:eastAsia="es-419"/>
        </w:rPr>
        <w:t> </w:t>
      </w:r>
    </w:p>
    <w:p w14:paraId="525361E8" w14:textId="77777777"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i/>
          <w:iCs/>
          <w:lang w:eastAsia="es-419"/>
        </w:rPr>
        <w:t>Es importante señalar que la venta neta no constituye en ningún caso un margen de ganancia total. Si no que son un simple elemento de medición de los ingresos.</w:t>
      </w:r>
    </w:p>
    <w:p w14:paraId="1F1B0812" w14:textId="443A3F42"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i/>
          <w:iCs/>
          <w:lang w:eastAsia="es-419"/>
        </w:rPr>
        <w:t>Las ventas netas ofrecen una imagen más fiel del desempeño de una empresa, ya que las ventas brutas no tienen en cuenta aspectos tales como las devoluciones, las rebajas y los descuentos, que pueden presentar una imagen engañosa de los ingresos que obtiene la compañía”.</w:t>
      </w:r>
    </w:p>
    <w:p w14:paraId="14F89DF4" w14:textId="2BA8F1C0"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highlight w:val="cyan"/>
          <w:lang w:eastAsia="es-419"/>
        </w:rPr>
        <w:t>Obsérvese que cuando se hace referencia a los ingresos brutos, no solo se está refiriendo a los producidos como resultado de las ventas, sino de toda enajenación clasificable en las cuentas de resultado. El diccionario a que se ha hecho referencia define el ingreso bruto, como: “incrementos patrimoniales obtenidos antes de deducir cualquier concepto de gastos.”, en tanto que los ingresos netos los define como: “Importe de los ingresos brutos realizados, menos los descuentos, rebajas y las devoluciones”.</w:t>
      </w:r>
    </w:p>
    <w:p w14:paraId="70DDD892" w14:textId="770CC9ED"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lang w:eastAsia="es-419"/>
        </w:rPr>
        <w:t>En los términos anteriores se absuelve la consulta, indicando que, para hacerlo, este organismo se ciñó a la información presentada por el consultante y los efectos de este concepto son los previstos por el artículo 28 de la Ley 1437 de 2011, modificado por el artículo 1 de la Ley 1755 de 2015.</w:t>
      </w:r>
    </w:p>
    <w:p w14:paraId="2FA3D5BE" w14:textId="0C52683E"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lang w:eastAsia="es-419"/>
        </w:rPr>
        <w:t>Cordialmente,</w:t>
      </w:r>
    </w:p>
    <w:p w14:paraId="554E2E76" w14:textId="07788DA9" w:rsidR="009522FE" w:rsidRPr="00BA4161" w:rsidRDefault="009522FE" w:rsidP="00E9529A">
      <w:pPr>
        <w:shd w:val="clear" w:color="auto" w:fill="FFFFFF"/>
        <w:spacing w:after="150" w:line="360" w:lineRule="auto"/>
        <w:rPr>
          <w:rFonts w:eastAsia="Times New Roman" w:cs="Arial"/>
          <w:lang w:eastAsia="es-419"/>
        </w:rPr>
      </w:pPr>
      <w:r w:rsidRPr="00BA4161">
        <w:rPr>
          <w:rFonts w:eastAsia="Times New Roman" w:cs="Arial"/>
          <w:b/>
          <w:bCs/>
          <w:lang w:eastAsia="es-419"/>
        </w:rPr>
        <w:t>JAIRO ENRIQUE CERVERA RODRÍGUEZ</w:t>
      </w:r>
    </w:p>
    <w:p w14:paraId="33593F28" w14:textId="0F0F25F2" w:rsidR="009522FE" w:rsidRPr="00BA4161" w:rsidRDefault="009522FE" w:rsidP="00E9529A">
      <w:pPr>
        <w:shd w:val="clear" w:color="auto" w:fill="FFFFFF"/>
        <w:spacing w:line="360" w:lineRule="auto"/>
        <w:rPr>
          <w:rFonts w:eastAsia="Times New Roman" w:cs="Arial"/>
          <w:lang w:eastAsia="es-419"/>
        </w:rPr>
      </w:pPr>
      <w:r w:rsidRPr="00BA4161">
        <w:rPr>
          <w:rFonts w:eastAsia="Times New Roman" w:cs="Arial"/>
          <w:lang w:eastAsia="es-419"/>
        </w:rPr>
        <w:t>Consejero – CTCP</w:t>
      </w:r>
    </w:p>
    <w:p w14:paraId="2B23FC65" w14:textId="19B56A6D" w:rsidR="009522FE" w:rsidRPr="00BA4161" w:rsidRDefault="009522FE" w:rsidP="00E9529A">
      <w:pPr>
        <w:shd w:val="clear" w:color="auto" w:fill="FFFFFF"/>
        <w:spacing w:line="360" w:lineRule="auto"/>
        <w:rPr>
          <w:rFonts w:eastAsia="Times New Roman" w:cs="Arial"/>
          <w:lang w:eastAsia="es-419"/>
        </w:rPr>
      </w:pPr>
      <w:r w:rsidRPr="00BA4161">
        <w:rPr>
          <w:rFonts w:eastAsia="Times New Roman" w:cs="Arial"/>
          <w:lang w:eastAsia="es-419"/>
        </w:rPr>
        <w:t>______________________________________________________________________</w:t>
      </w:r>
    </w:p>
    <w:p w14:paraId="60299526" w14:textId="77777777" w:rsidR="002F3F02" w:rsidRPr="00BA4161" w:rsidRDefault="002F3F02" w:rsidP="00E9529A">
      <w:pPr>
        <w:spacing w:line="360" w:lineRule="auto"/>
        <w:rPr>
          <w:rFonts w:cs="Arial"/>
        </w:rPr>
      </w:pPr>
    </w:p>
    <w:p w14:paraId="01EA357B" w14:textId="77777777" w:rsidR="009522FE" w:rsidRPr="00BA4161" w:rsidRDefault="009522FE" w:rsidP="00E9529A">
      <w:pPr>
        <w:spacing w:line="360" w:lineRule="auto"/>
        <w:rPr>
          <w:rFonts w:cs="Arial"/>
        </w:rPr>
      </w:pPr>
    </w:p>
    <w:sectPr w:rsidR="009522FE" w:rsidRPr="00BA4161" w:rsidSect="00DE361E">
      <w:pgSz w:w="12242" w:h="15842" w:code="1"/>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60C40"/>
    <w:multiLevelType w:val="multilevel"/>
    <w:tmpl w:val="580A001D"/>
    <w:styleLink w:val="DEMANDAS"/>
    <w:lvl w:ilvl="0">
      <w:start w:val="1"/>
      <w:numFmt w:val="decimal"/>
      <w:lvlText w:val="%1)"/>
      <w:lvlJc w:val="left"/>
      <w:pPr>
        <w:ind w:left="360" w:hanging="360"/>
      </w:pPr>
      <w:rPr>
        <w:rFonts w:ascii="Century Gothic" w:hAnsi="Century Gothic"/>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068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FE"/>
    <w:rsid w:val="000B57B4"/>
    <w:rsid w:val="002F3F02"/>
    <w:rsid w:val="003159D8"/>
    <w:rsid w:val="003B2A0F"/>
    <w:rsid w:val="0044399E"/>
    <w:rsid w:val="004A489D"/>
    <w:rsid w:val="004F1D2E"/>
    <w:rsid w:val="005173B2"/>
    <w:rsid w:val="005B14BF"/>
    <w:rsid w:val="005B6BAD"/>
    <w:rsid w:val="00671273"/>
    <w:rsid w:val="00840411"/>
    <w:rsid w:val="00885E73"/>
    <w:rsid w:val="009522FE"/>
    <w:rsid w:val="009705EC"/>
    <w:rsid w:val="00A06DF4"/>
    <w:rsid w:val="00A613E5"/>
    <w:rsid w:val="00A91F78"/>
    <w:rsid w:val="00AE7AD8"/>
    <w:rsid w:val="00B21583"/>
    <w:rsid w:val="00B76269"/>
    <w:rsid w:val="00BA4161"/>
    <w:rsid w:val="00BB4D1A"/>
    <w:rsid w:val="00BE074B"/>
    <w:rsid w:val="00CA1F22"/>
    <w:rsid w:val="00CC19F3"/>
    <w:rsid w:val="00CC2D9A"/>
    <w:rsid w:val="00CD2735"/>
    <w:rsid w:val="00D65024"/>
    <w:rsid w:val="00DE361E"/>
    <w:rsid w:val="00E60DE7"/>
    <w:rsid w:val="00E9529A"/>
    <w:rsid w:val="00FD5E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D1B8"/>
  <w15:chartTrackingRefBased/>
  <w15:docId w15:val="{73A209A5-F945-4A30-9DB7-9CCDD632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s-419"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024"/>
  </w:style>
  <w:style w:type="paragraph" w:styleId="Ttulo1">
    <w:name w:val="heading 1"/>
    <w:basedOn w:val="Normal"/>
    <w:next w:val="Normal"/>
    <w:link w:val="Ttulo1Car"/>
    <w:uiPriority w:val="9"/>
    <w:qFormat/>
    <w:rsid w:val="00CC2D9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
    <w:uiPriority w:val="9"/>
    <w:semiHidden/>
    <w:unhideWhenUsed/>
    <w:qFormat/>
    <w:rsid w:val="00CC2D9A"/>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next w:val="Normal"/>
    <w:link w:val="Ttulo3Car"/>
    <w:uiPriority w:val="9"/>
    <w:semiHidden/>
    <w:unhideWhenUsed/>
    <w:qFormat/>
    <w:rsid w:val="009522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22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522F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522F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522F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522F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522F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DEMANDAS">
    <w:name w:val="DEMANDAS"/>
    <w:uiPriority w:val="99"/>
    <w:rsid w:val="00885E73"/>
    <w:pPr>
      <w:numPr>
        <w:numId w:val="1"/>
      </w:numPr>
    </w:pPr>
  </w:style>
  <w:style w:type="character" w:customStyle="1" w:styleId="Ttulo1Car">
    <w:name w:val="Título 1 Car"/>
    <w:basedOn w:val="Fuentedeprrafopredeter"/>
    <w:link w:val="Ttulo1"/>
    <w:uiPriority w:val="9"/>
    <w:rsid w:val="00CC2D9A"/>
    <w:rPr>
      <w:rFonts w:asciiTheme="majorHAnsi" w:eastAsiaTheme="majorEastAsia" w:hAnsiTheme="majorHAnsi" w:cstheme="majorBidi"/>
      <w:color w:val="0F4761" w:themeColor="accent1" w:themeShade="BF"/>
      <w:sz w:val="32"/>
      <w:szCs w:val="32"/>
    </w:rPr>
  </w:style>
  <w:style w:type="character" w:customStyle="1" w:styleId="Ttulo2Car">
    <w:name w:val="Título 2 Car"/>
    <w:basedOn w:val="Fuentedeprrafopredeter"/>
    <w:link w:val="Ttulo2"/>
    <w:uiPriority w:val="9"/>
    <w:semiHidden/>
    <w:rsid w:val="00CC2D9A"/>
    <w:rPr>
      <w:rFonts w:asciiTheme="majorHAnsi" w:eastAsiaTheme="majorEastAsia" w:hAnsiTheme="majorHAnsi" w:cstheme="majorBidi"/>
      <w:color w:val="0F4761" w:themeColor="accent1" w:themeShade="BF"/>
      <w:sz w:val="26"/>
      <w:szCs w:val="26"/>
    </w:rPr>
  </w:style>
  <w:style w:type="character" w:styleId="Textoennegrita">
    <w:name w:val="Strong"/>
    <w:basedOn w:val="Fuentedeprrafopredeter"/>
    <w:uiPriority w:val="22"/>
    <w:qFormat/>
    <w:rsid w:val="00CC2D9A"/>
    <w:rPr>
      <w:b/>
      <w:bCs/>
    </w:rPr>
  </w:style>
  <w:style w:type="paragraph" w:styleId="Prrafodelista">
    <w:name w:val="List Paragraph"/>
    <w:basedOn w:val="Normal"/>
    <w:uiPriority w:val="34"/>
    <w:qFormat/>
    <w:rsid w:val="00CC2D9A"/>
    <w:pPr>
      <w:ind w:left="720"/>
      <w:contextualSpacing/>
    </w:pPr>
  </w:style>
  <w:style w:type="character" w:customStyle="1" w:styleId="Ttulo3Car">
    <w:name w:val="Título 3 Car"/>
    <w:basedOn w:val="Fuentedeprrafopredeter"/>
    <w:link w:val="Ttulo3"/>
    <w:uiPriority w:val="9"/>
    <w:semiHidden/>
    <w:rsid w:val="009522F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22F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522F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522F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522F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522F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522F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522F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22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22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22F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522F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522FE"/>
    <w:rPr>
      <w:i/>
      <w:iCs/>
      <w:color w:val="404040" w:themeColor="text1" w:themeTint="BF"/>
    </w:rPr>
  </w:style>
  <w:style w:type="character" w:styleId="nfasisintenso">
    <w:name w:val="Intense Emphasis"/>
    <w:basedOn w:val="Fuentedeprrafopredeter"/>
    <w:uiPriority w:val="21"/>
    <w:qFormat/>
    <w:rsid w:val="009522FE"/>
    <w:rPr>
      <w:i/>
      <w:iCs/>
      <w:color w:val="0F4761" w:themeColor="accent1" w:themeShade="BF"/>
    </w:rPr>
  </w:style>
  <w:style w:type="paragraph" w:styleId="Citadestacada">
    <w:name w:val="Intense Quote"/>
    <w:basedOn w:val="Normal"/>
    <w:next w:val="Normal"/>
    <w:link w:val="CitadestacadaCar"/>
    <w:uiPriority w:val="30"/>
    <w:qFormat/>
    <w:rsid w:val="00952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22FE"/>
    <w:rPr>
      <w:i/>
      <w:iCs/>
      <w:color w:val="0F4761" w:themeColor="accent1" w:themeShade="BF"/>
    </w:rPr>
  </w:style>
  <w:style w:type="character" w:styleId="Referenciaintensa">
    <w:name w:val="Intense Reference"/>
    <w:basedOn w:val="Fuentedeprrafopredeter"/>
    <w:uiPriority w:val="32"/>
    <w:qFormat/>
    <w:rsid w:val="009522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35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eta.org.co/html/vista_de_un_documento.asp?DocumentoID=4561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797</Words>
  <Characters>4387</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4</cp:revision>
  <dcterms:created xsi:type="dcterms:W3CDTF">2024-11-24T16:47:00Z</dcterms:created>
  <dcterms:modified xsi:type="dcterms:W3CDTF">2024-11-24T17:51:00Z</dcterms:modified>
</cp:coreProperties>
</file>