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59BBA" w14:textId="77777777" w:rsidR="004A4ED1" w:rsidRPr="004A4ED1" w:rsidRDefault="004A4ED1" w:rsidP="004A4ED1">
      <w:pPr>
        <w:spacing w:after="0" w:line="240" w:lineRule="auto"/>
        <w:jc w:val="center"/>
        <w:rPr>
          <w:rFonts w:ascii="Arial" w:eastAsia="Times New Roman" w:hAnsi="Arial" w:cs="Arial"/>
          <w:color w:val="000000"/>
          <w:szCs w:val="24"/>
          <w:lang w:eastAsia="es-CO"/>
        </w:rPr>
      </w:pPr>
      <w:r w:rsidRPr="004A4ED1">
        <w:rPr>
          <w:rFonts w:ascii="Segoe UI" w:eastAsia="Times New Roman" w:hAnsi="Segoe UI" w:cs="Segoe UI"/>
          <w:b/>
          <w:bCs/>
          <w:color w:val="0000FF"/>
          <w:szCs w:val="24"/>
          <w:lang w:eastAsia="es-CO"/>
        </w:rPr>
        <w:t>CONSEJO DE ESTADO</w:t>
      </w:r>
    </w:p>
    <w:p w14:paraId="4DB3E2F2" w14:textId="77777777" w:rsidR="004A4ED1" w:rsidRPr="004A4ED1" w:rsidRDefault="004A4ED1" w:rsidP="004A4ED1">
      <w:pPr>
        <w:spacing w:after="0" w:line="240" w:lineRule="auto"/>
        <w:jc w:val="center"/>
        <w:rPr>
          <w:rFonts w:ascii="Arial" w:eastAsia="Times New Roman" w:hAnsi="Arial" w:cs="Arial"/>
          <w:color w:val="000000"/>
          <w:szCs w:val="24"/>
          <w:lang w:eastAsia="es-CO"/>
        </w:rPr>
      </w:pPr>
      <w:r w:rsidRPr="004A4ED1">
        <w:rPr>
          <w:rFonts w:ascii="Segoe UI" w:eastAsia="Times New Roman" w:hAnsi="Segoe UI" w:cs="Segoe UI"/>
          <w:b/>
          <w:bCs/>
          <w:color w:val="0000FF"/>
          <w:szCs w:val="24"/>
          <w:lang w:eastAsia="es-CO"/>
        </w:rPr>
        <w:t>SALA DE LO CONTENCIOSO ADMINISTRATIVO</w:t>
      </w:r>
    </w:p>
    <w:p w14:paraId="0916367C" w14:textId="77777777" w:rsidR="004A4ED1" w:rsidRPr="004A4ED1" w:rsidRDefault="004A4ED1" w:rsidP="004A4ED1">
      <w:pPr>
        <w:spacing w:after="0" w:line="240" w:lineRule="auto"/>
        <w:jc w:val="center"/>
        <w:rPr>
          <w:rFonts w:ascii="Arial" w:eastAsia="Times New Roman" w:hAnsi="Arial" w:cs="Arial"/>
          <w:color w:val="000000"/>
          <w:szCs w:val="24"/>
          <w:lang w:eastAsia="es-CO"/>
        </w:rPr>
      </w:pPr>
      <w:r w:rsidRPr="004A4ED1">
        <w:rPr>
          <w:rFonts w:ascii="Segoe UI" w:eastAsia="Times New Roman" w:hAnsi="Segoe UI" w:cs="Segoe UI"/>
          <w:b/>
          <w:bCs/>
          <w:color w:val="0000FF"/>
          <w:szCs w:val="24"/>
          <w:lang w:eastAsia="es-CO"/>
        </w:rPr>
        <w:t>SECCIÓN CUARTA</w:t>
      </w:r>
    </w:p>
    <w:p w14:paraId="3434DAFC" w14:textId="77777777" w:rsidR="004A4ED1" w:rsidRPr="004A4ED1" w:rsidRDefault="004A4ED1" w:rsidP="004A4ED1">
      <w:pPr>
        <w:spacing w:after="0" w:line="240" w:lineRule="auto"/>
        <w:jc w:val="center"/>
        <w:rPr>
          <w:rFonts w:ascii="Arial" w:eastAsia="Times New Roman" w:hAnsi="Arial" w:cs="Arial"/>
          <w:color w:val="000000"/>
          <w:szCs w:val="24"/>
          <w:lang w:eastAsia="es-CO"/>
        </w:rPr>
      </w:pPr>
      <w:r w:rsidRPr="004A4ED1">
        <w:rPr>
          <w:rFonts w:ascii="Segoe UI" w:eastAsia="Times New Roman" w:hAnsi="Segoe UI" w:cs="Segoe UI"/>
          <w:b/>
          <w:bCs/>
          <w:color w:val="0000FF"/>
          <w:szCs w:val="24"/>
          <w:lang w:eastAsia="es-CO"/>
        </w:rPr>
        <w:t> </w:t>
      </w:r>
    </w:p>
    <w:p w14:paraId="6AC1C844" w14:textId="77777777" w:rsidR="004A4ED1" w:rsidRPr="004A4ED1" w:rsidRDefault="004A4ED1" w:rsidP="004A4ED1">
      <w:pPr>
        <w:spacing w:after="0" w:line="240" w:lineRule="auto"/>
        <w:jc w:val="center"/>
        <w:rPr>
          <w:rFonts w:ascii="Arial" w:eastAsia="Times New Roman" w:hAnsi="Arial" w:cs="Arial"/>
          <w:color w:val="000000"/>
          <w:szCs w:val="24"/>
          <w:lang w:eastAsia="es-CO"/>
        </w:rPr>
      </w:pPr>
      <w:r w:rsidRPr="004A4ED1">
        <w:rPr>
          <w:rFonts w:ascii="Segoe UI" w:eastAsia="Times New Roman" w:hAnsi="Segoe UI" w:cs="Segoe UI"/>
          <w:b/>
          <w:bCs/>
          <w:color w:val="0000FF"/>
          <w:szCs w:val="24"/>
          <w:lang w:eastAsia="es-CO"/>
        </w:rPr>
        <w:t>CONSEJERO PONENTE: JULIO ROBERTO PIZA RODRÍGUEZ</w:t>
      </w:r>
    </w:p>
    <w:p w14:paraId="272CC6ED" w14:textId="77777777" w:rsidR="004A4ED1" w:rsidRPr="004A4ED1" w:rsidRDefault="004A4ED1" w:rsidP="004A4ED1">
      <w:pPr>
        <w:spacing w:after="0" w:line="240" w:lineRule="auto"/>
        <w:jc w:val="center"/>
        <w:rPr>
          <w:rFonts w:ascii="Arial" w:eastAsia="Times New Roman" w:hAnsi="Arial" w:cs="Arial"/>
          <w:color w:val="000000"/>
          <w:szCs w:val="24"/>
          <w:lang w:eastAsia="es-CO"/>
        </w:rPr>
      </w:pPr>
      <w:r w:rsidRPr="004A4ED1">
        <w:rPr>
          <w:rFonts w:ascii="Segoe UI" w:eastAsia="Times New Roman" w:hAnsi="Segoe UI" w:cs="Segoe UI"/>
          <w:b/>
          <w:bCs/>
          <w:color w:val="0000FF"/>
          <w:szCs w:val="24"/>
          <w:lang w:eastAsia="es-CO"/>
        </w:rPr>
        <w:t>Bogotá, D.C., cuatro (04) de noviembre de dos mil veintiuno (2021)</w:t>
      </w:r>
    </w:p>
    <w:p w14:paraId="7BD82CFD" w14:textId="77777777" w:rsidR="004A4ED1" w:rsidRPr="004A4ED1" w:rsidRDefault="004A4ED1" w:rsidP="004A4ED1">
      <w:pPr>
        <w:spacing w:after="0" w:line="240" w:lineRule="auto"/>
        <w:jc w:val="center"/>
        <w:rPr>
          <w:rFonts w:ascii="Arial" w:eastAsia="Times New Roman" w:hAnsi="Arial" w:cs="Arial"/>
          <w:color w:val="000000"/>
          <w:szCs w:val="24"/>
          <w:lang w:eastAsia="es-CO"/>
        </w:rPr>
      </w:pPr>
      <w:r w:rsidRPr="004A4ED1">
        <w:rPr>
          <w:rFonts w:ascii="Segoe UI" w:eastAsia="Times New Roman" w:hAnsi="Segoe UI" w:cs="Segoe UI"/>
          <w:b/>
          <w:bCs/>
          <w:color w:val="0000FF"/>
          <w:szCs w:val="24"/>
          <w:lang w:eastAsia="es-CO"/>
        </w:rPr>
        <w:t>Referencia: Nulidad y restablecimiento del derecho</w:t>
      </w:r>
    </w:p>
    <w:p w14:paraId="2F42DD46" w14:textId="77777777" w:rsidR="004A4ED1" w:rsidRPr="004A4ED1" w:rsidRDefault="004A4ED1" w:rsidP="004A4ED1">
      <w:pPr>
        <w:spacing w:after="0" w:line="240" w:lineRule="auto"/>
        <w:jc w:val="center"/>
        <w:rPr>
          <w:rFonts w:ascii="Arial" w:eastAsia="Times New Roman" w:hAnsi="Arial" w:cs="Arial"/>
          <w:color w:val="000000"/>
          <w:szCs w:val="24"/>
          <w:lang w:eastAsia="es-CO"/>
        </w:rPr>
      </w:pPr>
      <w:r w:rsidRPr="004A4ED1">
        <w:rPr>
          <w:rFonts w:ascii="Segoe UI" w:eastAsia="Times New Roman" w:hAnsi="Segoe UI" w:cs="Segoe UI"/>
          <w:b/>
          <w:bCs/>
          <w:color w:val="0000FF"/>
          <w:szCs w:val="24"/>
          <w:lang w:eastAsia="es-CO"/>
        </w:rPr>
        <w:t>Radicación: 25000-23-37-000-2016-01264-01 (24444)</w:t>
      </w:r>
    </w:p>
    <w:p w14:paraId="332F878B" w14:textId="77777777" w:rsidR="004A4ED1" w:rsidRPr="004A4ED1" w:rsidRDefault="004A4ED1" w:rsidP="004A4ED1">
      <w:pPr>
        <w:spacing w:after="0" w:line="240" w:lineRule="auto"/>
        <w:jc w:val="center"/>
        <w:rPr>
          <w:rFonts w:ascii="Arial" w:eastAsia="Times New Roman" w:hAnsi="Arial" w:cs="Arial"/>
          <w:color w:val="000000"/>
          <w:szCs w:val="24"/>
          <w:lang w:eastAsia="es-CO"/>
        </w:rPr>
      </w:pPr>
      <w:r w:rsidRPr="004A4ED1">
        <w:rPr>
          <w:rFonts w:ascii="Segoe UI" w:eastAsia="Times New Roman" w:hAnsi="Segoe UI" w:cs="Segoe UI"/>
          <w:b/>
          <w:bCs/>
          <w:color w:val="0000FF"/>
          <w:szCs w:val="24"/>
          <w:lang w:eastAsia="es-CO"/>
        </w:rPr>
        <w:t>Demandante: Bingos Codere S.A.</w:t>
      </w:r>
    </w:p>
    <w:p w14:paraId="416FB36B" w14:textId="77777777" w:rsidR="004A4ED1" w:rsidRPr="004A4ED1" w:rsidRDefault="004A4ED1" w:rsidP="004A4ED1">
      <w:pPr>
        <w:spacing w:after="0" w:line="240" w:lineRule="auto"/>
        <w:jc w:val="center"/>
        <w:rPr>
          <w:rFonts w:ascii="Arial" w:eastAsia="Times New Roman" w:hAnsi="Arial" w:cs="Arial"/>
          <w:color w:val="000000"/>
          <w:szCs w:val="24"/>
          <w:lang w:eastAsia="es-CO"/>
        </w:rPr>
      </w:pPr>
      <w:r w:rsidRPr="004A4ED1">
        <w:rPr>
          <w:rFonts w:ascii="Segoe UI" w:eastAsia="Times New Roman" w:hAnsi="Segoe UI" w:cs="Segoe UI"/>
          <w:b/>
          <w:bCs/>
          <w:color w:val="0000FF"/>
          <w:szCs w:val="24"/>
          <w:lang w:eastAsia="es-CO"/>
        </w:rPr>
        <w:t>Demandado: DIAN</w:t>
      </w:r>
    </w:p>
    <w:p w14:paraId="7542D421" w14:textId="77777777" w:rsidR="004A4ED1" w:rsidRPr="004A4ED1" w:rsidRDefault="004A4ED1" w:rsidP="004A4ED1">
      <w:pPr>
        <w:spacing w:after="0" w:line="240" w:lineRule="auto"/>
        <w:jc w:val="center"/>
        <w:rPr>
          <w:rFonts w:ascii="Arial" w:eastAsia="Times New Roman" w:hAnsi="Arial" w:cs="Arial"/>
          <w:color w:val="000000"/>
          <w:szCs w:val="24"/>
          <w:lang w:eastAsia="es-CO"/>
        </w:rPr>
      </w:pPr>
      <w:r w:rsidRPr="004A4ED1">
        <w:rPr>
          <w:rFonts w:ascii="Segoe UI" w:eastAsia="Times New Roman" w:hAnsi="Segoe UI" w:cs="Segoe UI"/>
          <w:b/>
          <w:bCs/>
          <w:color w:val="0000FF"/>
          <w:szCs w:val="24"/>
          <w:lang w:eastAsia="es-CO"/>
        </w:rPr>
        <w:t>Temas: Renta. 2012. Deducciones. Gastos operacionales de administración. Utilidad del partícipe oculto. Gastos de recreación y deporte.</w:t>
      </w:r>
    </w:p>
    <w:p w14:paraId="1FD0E20A" w14:textId="77777777" w:rsidR="004A4ED1" w:rsidRPr="004A4ED1" w:rsidRDefault="004A4ED1" w:rsidP="004A4ED1">
      <w:pPr>
        <w:spacing w:after="0" w:line="240" w:lineRule="auto"/>
        <w:jc w:val="center"/>
        <w:rPr>
          <w:rFonts w:ascii="Arial" w:eastAsia="Times New Roman" w:hAnsi="Arial" w:cs="Arial"/>
          <w:color w:val="000000"/>
          <w:szCs w:val="24"/>
          <w:lang w:eastAsia="es-CO"/>
        </w:rPr>
      </w:pPr>
      <w:r w:rsidRPr="004A4ED1">
        <w:rPr>
          <w:rFonts w:ascii="Segoe UI" w:eastAsia="Times New Roman" w:hAnsi="Segoe UI" w:cs="Segoe UI"/>
          <w:b/>
          <w:bCs/>
          <w:color w:val="0000FF"/>
          <w:szCs w:val="24"/>
          <w:lang w:eastAsia="es-CO"/>
        </w:rPr>
        <w:t> </w:t>
      </w:r>
    </w:p>
    <w:p w14:paraId="2B7C4A6A" w14:textId="77777777" w:rsidR="004A4ED1" w:rsidRPr="004A4ED1" w:rsidRDefault="004A4ED1" w:rsidP="004A4ED1">
      <w:pPr>
        <w:spacing w:after="0" w:line="240" w:lineRule="auto"/>
        <w:jc w:val="center"/>
        <w:rPr>
          <w:rFonts w:ascii="Arial" w:eastAsia="Times New Roman" w:hAnsi="Arial" w:cs="Arial"/>
          <w:color w:val="000000"/>
          <w:szCs w:val="24"/>
          <w:lang w:eastAsia="es-CO"/>
        </w:rPr>
      </w:pPr>
      <w:r w:rsidRPr="004A4ED1">
        <w:rPr>
          <w:rFonts w:ascii="Segoe UI" w:eastAsia="Times New Roman" w:hAnsi="Segoe UI" w:cs="Segoe UI"/>
          <w:b/>
          <w:bCs/>
          <w:color w:val="0000FF"/>
          <w:szCs w:val="24"/>
          <w:lang w:eastAsia="es-CO"/>
        </w:rPr>
        <w:t>SENTENCIA SEGUNDA INSTANCIA</w:t>
      </w:r>
    </w:p>
    <w:p w14:paraId="5A3F8180"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5157DFCB"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333155D9"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La Sala decide el recurso de apelación interpuesto por la demandante contra la sentencia del 16 de noviembre de 2018, proferida por el Tribunal Administrativo de Cundinamarca, Sección Cuarta, Subsección B, que decidió (</w:t>
      </w:r>
      <w:proofErr w:type="spellStart"/>
      <w:r w:rsidRPr="004A4ED1">
        <w:rPr>
          <w:rFonts w:ascii="Segoe UI" w:eastAsia="Times New Roman" w:hAnsi="Segoe UI" w:cs="Segoe UI"/>
          <w:szCs w:val="24"/>
          <w:lang w:eastAsia="es-CO"/>
        </w:rPr>
        <w:t>ff</w:t>
      </w:r>
      <w:proofErr w:type="spellEnd"/>
      <w:r w:rsidRPr="004A4ED1">
        <w:rPr>
          <w:rFonts w:ascii="Segoe UI" w:eastAsia="Times New Roman" w:hAnsi="Segoe UI" w:cs="Segoe UI"/>
          <w:szCs w:val="24"/>
          <w:lang w:eastAsia="es-CO"/>
        </w:rPr>
        <w:t>. 294 y 295 cp2):</w:t>
      </w:r>
    </w:p>
    <w:p w14:paraId="06B73D47"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3EB67F4C"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b/>
          <w:bCs/>
          <w:szCs w:val="24"/>
          <w:lang w:eastAsia="es-CO"/>
        </w:rPr>
        <w:t>Primero:</w:t>
      </w:r>
      <w:r w:rsidRPr="004A4ED1">
        <w:rPr>
          <w:rFonts w:ascii="Segoe UI" w:eastAsia="Times New Roman" w:hAnsi="Segoe UI" w:cs="Segoe UI"/>
          <w:szCs w:val="24"/>
          <w:lang w:eastAsia="es-CO"/>
        </w:rPr>
        <w:t> Declarar la nulidad parcial de los actos administrativos contenidos en la Liquidación Oficial de Revisión No. 312412014000138 del 11 de diciembre de 2014, por medio del cual la DIAN modificó la declaración privada presentada por la sociedad Bingos Codere S.A., correspondiente al impuesto sobre la renta del año 2012; y de la Resolución No. 000145 del 14 de enero de 2016, confirmatoria del acto anterior.</w:t>
      </w:r>
    </w:p>
    <w:p w14:paraId="7A3E4A6B"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42B9D379"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Se advierte que la declaratoria anterior únicamente procede respecto de la reliquidación de la sanción por inexactitud, en aplicación del principio de favorabilidad, de conformidad con las razones expuestas en la parte motiva de esta providencia.</w:t>
      </w:r>
    </w:p>
    <w:p w14:paraId="6DF2924F"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0DE3DA3C"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b/>
          <w:bCs/>
          <w:szCs w:val="24"/>
          <w:lang w:eastAsia="es-CO"/>
        </w:rPr>
        <w:t>Segundo:</w:t>
      </w:r>
      <w:r w:rsidRPr="004A4ED1">
        <w:rPr>
          <w:rFonts w:ascii="Segoe UI" w:eastAsia="Times New Roman" w:hAnsi="Segoe UI" w:cs="Segoe UI"/>
          <w:szCs w:val="24"/>
          <w:lang w:eastAsia="es-CO"/>
        </w:rPr>
        <w:t> En lo demás, negar las pretensiones de la demanda.</w:t>
      </w:r>
    </w:p>
    <w:p w14:paraId="7937FB3F"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b/>
          <w:bCs/>
          <w:szCs w:val="24"/>
          <w:lang w:eastAsia="es-CO"/>
        </w:rPr>
        <w:t> </w:t>
      </w:r>
    </w:p>
    <w:p w14:paraId="73AE9CB7" w14:textId="77777777" w:rsidR="004A4ED1" w:rsidRPr="004A4ED1" w:rsidRDefault="004A4ED1" w:rsidP="004A4ED1">
      <w:pPr>
        <w:spacing w:after="0" w:line="240" w:lineRule="auto"/>
        <w:jc w:val="center"/>
        <w:rPr>
          <w:rFonts w:ascii="Arial" w:eastAsia="Times New Roman" w:hAnsi="Arial" w:cs="Arial"/>
          <w:color w:val="000000"/>
          <w:szCs w:val="24"/>
          <w:lang w:eastAsia="es-CO"/>
        </w:rPr>
      </w:pPr>
      <w:r w:rsidRPr="004A4ED1">
        <w:rPr>
          <w:rFonts w:ascii="Segoe UI" w:eastAsia="Times New Roman" w:hAnsi="Segoe UI" w:cs="Segoe UI"/>
          <w:b/>
          <w:bCs/>
          <w:szCs w:val="24"/>
          <w:lang w:eastAsia="es-CO"/>
        </w:rPr>
        <w:t>ANTECEDENTES DE LA ACTUACIÓN ADMINISTRATIVA</w:t>
      </w:r>
    </w:p>
    <w:p w14:paraId="0CBF0A00"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17EF5CAC"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Con la Liquidación Oficial de Revisión nro. 312412014000138, del 11 de diciembre de 2014, la demandada modificó la declaración del impuesto sobre la renta presentada por la actora por el período gravable 2012, en el sentido de rechazar gastos operacionales de administración, correspondientes a las utilidades pagadas al partícipe oculto de un contrato de cuentas en participación y a actividades deportivas y recreativas, e impuso sanción por inexactitud (</w:t>
      </w:r>
      <w:proofErr w:type="spellStart"/>
      <w:r w:rsidRPr="004A4ED1">
        <w:rPr>
          <w:rFonts w:ascii="Segoe UI" w:eastAsia="Times New Roman" w:hAnsi="Segoe UI" w:cs="Segoe UI"/>
          <w:szCs w:val="24"/>
          <w:lang w:eastAsia="es-CO"/>
        </w:rPr>
        <w:t>ff</w:t>
      </w:r>
      <w:proofErr w:type="spellEnd"/>
      <w:r w:rsidRPr="004A4ED1">
        <w:rPr>
          <w:rFonts w:ascii="Segoe UI" w:eastAsia="Times New Roman" w:hAnsi="Segoe UI" w:cs="Segoe UI"/>
          <w:szCs w:val="24"/>
          <w:lang w:eastAsia="es-CO"/>
        </w:rPr>
        <w:t xml:space="preserve">. 1630 a 1653 </w:t>
      </w:r>
      <w:proofErr w:type="spellStart"/>
      <w:r w:rsidRPr="004A4ED1">
        <w:rPr>
          <w:rFonts w:ascii="Segoe UI" w:eastAsia="Times New Roman" w:hAnsi="Segoe UI" w:cs="Segoe UI"/>
          <w:szCs w:val="24"/>
          <w:lang w:eastAsia="es-CO"/>
        </w:rPr>
        <w:t>caa</w:t>
      </w:r>
      <w:proofErr w:type="spellEnd"/>
      <w:r w:rsidRPr="004A4ED1">
        <w:rPr>
          <w:rFonts w:ascii="Segoe UI" w:eastAsia="Times New Roman" w:hAnsi="Segoe UI" w:cs="Segoe UI"/>
          <w:szCs w:val="24"/>
          <w:lang w:eastAsia="es-CO"/>
        </w:rPr>
        <w:t>). La decisión fue confirmada en la Resolución nro. 000.145, del 14 de enero de 2016 (</w:t>
      </w:r>
      <w:proofErr w:type="spellStart"/>
      <w:r w:rsidRPr="004A4ED1">
        <w:rPr>
          <w:rFonts w:ascii="Segoe UI" w:eastAsia="Times New Roman" w:hAnsi="Segoe UI" w:cs="Segoe UI"/>
          <w:szCs w:val="24"/>
          <w:lang w:eastAsia="es-CO"/>
        </w:rPr>
        <w:t>ff</w:t>
      </w:r>
      <w:proofErr w:type="spellEnd"/>
      <w:r w:rsidRPr="004A4ED1">
        <w:rPr>
          <w:rFonts w:ascii="Segoe UI" w:eastAsia="Times New Roman" w:hAnsi="Segoe UI" w:cs="Segoe UI"/>
          <w:szCs w:val="24"/>
          <w:lang w:eastAsia="es-CO"/>
        </w:rPr>
        <w:t xml:space="preserve">. 2019 a 2039 </w:t>
      </w:r>
      <w:proofErr w:type="spellStart"/>
      <w:r w:rsidRPr="004A4ED1">
        <w:rPr>
          <w:rFonts w:ascii="Segoe UI" w:eastAsia="Times New Roman" w:hAnsi="Segoe UI" w:cs="Segoe UI"/>
          <w:szCs w:val="24"/>
          <w:lang w:eastAsia="es-CO"/>
        </w:rPr>
        <w:t>caa</w:t>
      </w:r>
      <w:proofErr w:type="spellEnd"/>
      <w:r w:rsidRPr="004A4ED1">
        <w:rPr>
          <w:rFonts w:ascii="Segoe UI" w:eastAsia="Times New Roman" w:hAnsi="Segoe UI" w:cs="Segoe UI"/>
          <w:szCs w:val="24"/>
          <w:lang w:eastAsia="es-CO"/>
        </w:rPr>
        <w:t>).</w:t>
      </w:r>
    </w:p>
    <w:p w14:paraId="54C2EE93"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b/>
          <w:bCs/>
          <w:szCs w:val="24"/>
          <w:lang w:eastAsia="es-CO"/>
        </w:rPr>
        <w:t> </w:t>
      </w:r>
    </w:p>
    <w:p w14:paraId="5547712A" w14:textId="77777777" w:rsidR="004A4ED1" w:rsidRPr="004A4ED1" w:rsidRDefault="004A4ED1" w:rsidP="004A4ED1">
      <w:pPr>
        <w:spacing w:after="0" w:line="240" w:lineRule="auto"/>
        <w:jc w:val="center"/>
        <w:rPr>
          <w:rFonts w:ascii="Arial" w:eastAsia="Times New Roman" w:hAnsi="Arial" w:cs="Arial"/>
          <w:color w:val="000000"/>
          <w:szCs w:val="24"/>
          <w:lang w:eastAsia="es-CO"/>
        </w:rPr>
      </w:pPr>
      <w:r w:rsidRPr="004A4ED1">
        <w:rPr>
          <w:rFonts w:ascii="Segoe UI" w:eastAsia="Times New Roman" w:hAnsi="Segoe UI" w:cs="Segoe UI"/>
          <w:b/>
          <w:bCs/>
          <w:szCs w:val="24"/>
          <w:lang w:eastAsia="es-CO"/>
        </w:rPr>
        <w:t>ANTECEDENTES PROCESALES</w:t>
      </w:r>
    </w:p>
    <w:p w14:paraId="30CD4A73"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b/>
          <w:bCs/>
          <w:szCs w:val="24"/>
          <w:lang w:eastAsia="es-CO"/>
        </w:rPr>
        <w:t> </w:t>
      </w:r>
    </w:p>
    <w:p w14:paraId="4EADF0B9"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b/>
          <w:bCs/>
          <w:szCs w:val="24"/>
          <w:lang w:eastAsia="es-CO"/>
        </w:rPr>
        <w:t>Demanda</w:t>
      </w:r>
    </w:p>
    <w:p w14:paraId="01F8C5F9"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color w:val="000000"/>
          <w:szCs w:val="24"/>
          <w:lang w:eastAsia="es-CO"/>
        </w:rPr>
        <w:t> </w:t>
      </w:r>
    </w:p>
    <w:p w14:paraId="3FCF8FFD"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color w:val="000000"/>
          <w:szCs w:val="24"/>
          <w:lang w:eastAsia="es-CO"/>
        </w:rPr>
        <w:t>En ejercicio del medio de control de nulidad y restablecimiento del derecho previsto en el artículo 138 del CPACA (Código de Procedimiento Administrativo y de lo Contencioso Administrativo, Ley 1437 de 2011), la demandante formuló las siguientes pretensiones (f. 7 cp1):</w:t>
      </w:r>
    </w:p>
    <w:p w14:paraId="18D3AF09"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0BEEB9C0"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lastRenderedPageBreak/>
        <w:t>A. Que se declare la nulidad total de la Liquidación Oficial de Revisión Resolución No. 312412014000138 del 11 de diciembre de 2014 y la Resolución No. 000145 del 14 de enero de 2016, proferidas por la Dian.</w:t>
      </w:r>
    </w:p>
    <w:p w14:paraId="6058A72E"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441284E6"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B. A título de restablecimiento del derecho, solicito que se reconozca la validez y firmeza de la declaración privada presentada por Bingos Codere el 12 de abril de 2013 con autoadhesivo No. 9100173270962, correspondiente al año gravable 2012.</w:t>
      </w:r>
    </w:p>
    <w:p w14:paraId="158148B2"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1BCE7FAD"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C. Complementariamente, a título de restablecimiento del derecho, solicito se ordene devolver o continuar con el proceso de devolución activado mediante solicitud No. DI 2012-2013-1875 del 10 de septiembre de 2013, el cual fue suspendido por la liquidación oficial impugnada.</w:t>
      </w:r>
    </w:p>
    <w:p w14:paraId="5C04CD5D"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3F47477F"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En este sentido, solicitamos que se ordene el pago de los intereses corrientes y moratorios a que haya lugar. Teniendo en cuenta que el proceso se originó en un proceso de devolución, solicito se ordene a la Dian el reconocimiento y pago de los intereses corrientes sobre el capital exigible, que en el presente caso lo constituye el saldo a favor cuestionado y no devuelto, desde el 26 de marzo de 2014, fecha en que fue notificado el requerimiento especial (folio 1426 vuelto del expediente administrativo) y hasta la fecha en que se resuelva en forma definitiva la procedencia del saldo a favor cuestionado; y a partir de allí, intereses moratorios, hasta la fecha de pago, conforme a las reglas contempladas en el </w:t>
      </w:r>
      <w:hyperlink r:id="rId4" w:tooltip="Estatuto Tributario CETA" w:history="1">
        <w:r w:rsidRPr="004A4ED1">
          <w:rPr>
            <w:rFonts w:ascii="Segoe UI" w:eastAsia="Times New Roman" w:hAnsi="Segoe UI" w:cs="Segoe UI"/>
            <w:color w:val="0089E1"/>
            <w:szCs w:val="24"/>
            <w:u w:val="single"/>
            <w:lang w:eastAsia="es-CO"/>
          </w:rPr>
          <w:t>artículo 863</w:t>
        </w:r>
      </w:hyperlink>
      <w:r w:rsidRPr="004A4ED1">
        <w:rPr>
          <w:rFonts w:ascii="Segoe UI" w:eastAsia="Times New Roman" w:hAnsi="Segoe UI" w:cs="Segoe UI"/>
          <w:szCs w:val="24"/>
          <w:lang w:eastAsia="es-CO"/>
        </w:rPr>
        <w:t> del Estatuto Tributario.</w:t>
      </w:r>
    </w:p>
    <w:p w14:paraId="2C8E9D64"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7638DF64"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D. Subsidiariamente, en caso de no acceder a la petición A, se modifique la liquidación oficial de revisión excluyendo la sanción por inexactitud.</w:t>
      </w:r>
    </w:p>
    <w:p w14:paraId="7EDEE5E7"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4826C262"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E. Que se condene en costas al demandado en virtud de la ilegalidad de los actos, y en el evento de no acceder a las pretensiones de la presente demanda, no se condene en costas a la parte demandante, comoquiera que la presente acción corresponde al ejercicio legítimo de defensa frente a unas actuaciones contrarias a derecho que han sido proferidas por la Dian.</w:t>
      </w:r>
    </w:p>
    <w:p w14:paraId="11FBFFFF"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0B989DAD"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xml:space="preserve">A los anteriores efectos, invocó como normas vulneradas los artículos 23, 29, 83, 95.9 y 228 de la Constitución; 507 a 510 del </w:t>
      </w:r>
      <w:proofErr w:type="spellStart"/>
      <w:r w:rsidRPr="004A4ED1">
        <w:rPr>
          <w:rFonts w:ascii="Segoe UI" w:eastAsia="Times New Roman" w:hAnsi="Segoe UI" w:cs="Segoe UI"/>
          <w:szCs w:val="24"/>
          <w:lang w:eastAsia="es-CO"/>
        </w:rPr>
        <w:t>CCo</w:t>
      </w:r>
      <w:proofErr w:type="spellEnd"/>
      <w:r w:rsidRPr="004A4ED1">
        <w:rPr>
          <w:rFonts w:ascii="Segoe UI" w:eastAsia="Times New Roman" w:hAnsi="Segoe UI" w:cs="Segoe UI"/>
          <w:szCs w:val="24"/>
          <w:lang w:eastAsia="es-CO"/>
        </w:rPr>
        <w:t xml:space="preserve"> (Código de Comercio, Decreto 410 de 1971); </w:t>
      </w:r>
      <w:hyperlink r:id="rId5" w:tooltip="Estatuto Tributario CETA" w:history="1">
        <w:r w:rsidRPr="004A4ED1">
          <w:rPr>
            <w:rFonts w:ascii="Segoe UI" w:eastAsia="Times New Roman" w:hAnsi="Segoe UI" w:cs="Segoe UI"/>
            <w:color w:val="0089E1"/>
            <w:szCs w:val="24"/>
            <w:u w:val="single"/>
            <w:lang w:eastAsia="es-CO"/>
          </w:rPr>
          <w:t>26</w:t>
        </w:r>
      </w:hyperlink>
      <w:r w:rsidRPr="004A4ED1">
        <w:rPr>
          <w:rFonts w:ascii="Segoe UI" w:eastAsia="Times New Roman" w:hAnsi="Segoe UI" w:cs="Segoe UI"/>
          <w:szCs w:val="24"/>
          <w:lang w:eastAsia="es-CO"/>
        </w:rPr>
        <w:t>, </w:t>
      </w:r>
      <w:hyperlink r:id="rId6" w:tooltip="Estatuto Tributario CETA" w:history="1">
        <w:r w:rsidRPr="004A4ED1">
          <w:rPr>
            <w:rFonts w:ascii="Segoe UI" w:eastAsia="Times New Roman" w:hAnsi="Segoe UI" w:cs="Segoe UI"/>
            <w:color w:val="0089E1"/>
            <w:szCs w:val="24"/>
            <w:u w:val="single"/>
            <w:lang w:eastAsia="es-CO"/>
          </w:rPr>
          <w:t>107</w:t>
        </w:r>
      </w:hyperlink>
      <w:r w:rsidRPr="004A4ED1">
        <w:rPr>
          <w:rFonts w:ascii="Segoe UI" w:eastAsia="Times New Roman" w:hAnsi="Segoe UI" w:cs="Segoe UI"/>
          <w:szCs w:val="24"/>
          <w:lang w:eastAsia="es-CO"/>
        </w:rPr>
        <w:t>, </w:t>
      </w:r>
      <w:hyperlink r:id="rId7" w:tooltip="Estatuto Tributario CETA" w:history="1">
        <w:r w:rsidRPr="004A4ED1">
          <w:rPr>
            <w:rFonts w:ascii="Segoe UI" w:eastAsia="Times New Roman" w:hAnsi="Segoe UI" w:cs="Segoe UI"/>
            <w:color w:val="0089E1"/>
            <w:szCs w:val="24"/>
            <w:u w:val="single"/>
            <w:lang w:eastAsia="es-CO"/>
          </w:rPr>
          <w:t>647</w:t>
        </w:r>
      </w:hyperlink>
      <w:r w:rsidRPr="004A4ED1">
        <w:rPr>
          <w:rFonts w:ascii="Segoe UI" w:eastAsia="Times New Roman" w:hAnsi="Segoe UI" w:cs="Segoe UI"/>
          <w:szCs w:val="24"/>
          <w:lang w:eastAsia="es-CO"/>
        </w:rPr>
        <w:t>, </w:t>
      </w:r>
      <w:hyperlink r:id="rId8" w:tooltip="Estatuto Tributario CETA" w:history="1">
        <w:r w:rsidRPr="004A4ED1">
          <w:rPr>
            <w:rFonts w:ascii="Segoe UI" w:eastAsia="Times New Roman" w:hAnsi="Segoe UI" w:cs="Segoe UI"/>
            <w:color w:val="0089E1"/>
            <w:szCs w:val="24"/>
            <w:u w:val="single"/>
            <w:lang w:eastAsia="es-CO"/>
          </w:rPr>
          <w:t>742</w:t>
        </w:r>
      </w:hyperlink>
      <w:r w:rsidRPr="004A4ED1">
        <w:rPr>
          <w:rFonts w:ascii="Segoe UI" w:eastAsia="Times New Roman" w:hAnsi="Segoe UI" w:cs="Segoe UI"/>
          <w:szCs w:val="24"/>
          <w:lang w:eastAsia="es-CO"/>
        </w:rPr>
        <w:t> y </w:t>
      </w:r>
      <w:hyperlink r:id="rId9" w:tooltip="Estatuto Tributario CETA" w:history="1">
        <w:r w:rsidRPr="004A4ED1">
          <w:rPr>
            <w:rFonts w:ascii="Segoe UI" w:eastAsia="Times New Roman" w:hAnsi="Segoe UI" w:cs="Segoe UI"/>
            <w:color w:val="0089E1"/>
            <w:szCs w:val="24"/>
            <w:u w:val="single"/>
            <w:lang w:eastAsia="es-CO"/>
          </w:rPr>
          <w:t>746</w:t>
        </w:r>
      </w:hyperlink>
      <w:r w:rsidRPr="004A4ED1">
        <w:rPr>
          <w:rFonts w:ascii="Segoe UI" w:eastAsia="Times New Roman" w:hAnsi="Segoe UI" w:cs="Segoe UI"/>
          <w:szCs w:val="24"/>
          <w:lang w:eastAsia="es-CO"/>
        </w:rPr>
        <w:t> del ET (Estatuto Tributario); 21 de la Ley 50 de 1990; 1.º, 3.º y 137 del CPACA; 3.º de la Ley 1562 de 2012; 193 y 197 de la Ley 1607 de 2012; 30 del Decreto 614 de 1984; y 10 de la Resolución 1016 de 1989, bajo el siguiente concepto de violación (</w:t>
      </w:r>
      <w:proofErr w:type="spellStart"/>
      <w:r w:rsidRPr="004A4ED1">
        <w:rPr>
          <w:rFonts w:ascii="Segoe UI" w:eastAsia="Times New Roman" w:hAnsi="Segoe UI" w:cs="Segoe UI"/>
          <w:szCs w:val="24"/>
          <w:lang w:eastAsia="es-CO"/>
        </w:rPr>
        <w:t>ff</w:t>
      </w:r>
      <w:proofErr w:type="spellEnd"/>
      <w:r w:rsidRPr="004A4ED1">
        <w:rPr>
          <w:rFonts w:ascii="Segoe UI" w:eastAsia="Times New Roman" w:hAnsi="Segoe UI" w:cs="Segoe UI"/>
          <w:szCs w:val="24"/>
          <w:lang w:eastAsia="es-CO"/>
        </w:rPr>
        <w:t>. 14 a 53 cp1):</w:t>
      </w:r>
    </w:p>
    <w:p w14:paraId="78E5A69F"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color w:val="000000"/>
          <w:szCs w:val="24"/>
          <w:lang w:eastAsia="es-CO"/>
        </w:rPr>
        <w:t> </w:t>
      </w:r>
    </w:p>
    <w:p w14:paraId="1D362B7B"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color w:val="000000"/>
          <w:szCs w:val="24"/>
          <w:lang w:eastAsia="es-CO"/>
        </w:rPr>
        <w:t xml:space="preserve">Relató que en el año revisado celebró un contrato de cuentas en participación en calidad de partícipe gestor con el objeto de explotar, junto con el partícipe oculto, instrumentos de juego, suerte y azar. Manifestó que, en desarrollo del acuerdo, declaró todos los ingresos, costos y gastos derivados del negocio y que, una vez liquidado el contrato, la utilidad que le correspondió a su contraparte contractual la registró como una expensa. Explicó que el requerimiento especial y el acto de liquidación desconocieron esa erogación porque, interpretó la autoridad de impuestos que de acuerdo con el PUC (Plan Único de Cuentas, Decreto 2650 de 1993), el partícipe gestor debía declarar los ingresos derivados del contrato pero en proporción a su participación, de manera que era improcedente registrar como un gasto la utilidad del oculto; mientras que el acto en el que se resolvió el recurso de reconsideración mantuvo la glosa porque la expensa no quedó contabilizada en una cuenta de orden específica para el contrato de colaboración </w:t>
      </w:r>
      <w:r w:rsidRPr="004A4ED1">
        <w:rPr>
          <w:rFonts w:ascii="Segoe UI" w:eastAsia="Times New Roman" w:hAnsi="Segoe UI" w:cs="Segoe UI"/>
          <w:color w:val="000000"/>
          <w:szCs w:val="24"/>
          <w:lang w:eastAsia="es-CO"/>
        </w:rPr>
        <w:lastRenderedPageBreak/>
        <w:t>empresarial, por lo cual su naturaleza y cuantía no estaría demostrada en el plenario. Sostuvo que este acto violó el debido proceso porque cambió la justificación del rechazo de la erogación. Agregó que, en cualquier caso, los reproches de la demandada eran en exceso formalistas, al punto que desatendían el mandato de primacía del derecho sustancial sobre el formal, siendo que ni el Código de Comercio ni la legislación tributaria preveían los requisitos echados en falta por la autoridad. Alegó la procedencia del gasto, por cuanto registró contablemente los hechos económicos derivados del acuerdo en partidas contables especiales (</w:t>
      </w:r>
      <w:r w:rsidRPr="004A4ED1">
        <w:rPr>
          <w:rFonts w:ascii="Segoe UI" w:eastAsia="Times New Roman" w:hAnsi="Segoe UI" w:cs="Segoe UI"/>
          <w:i/>
          <w:iCs/>
          <w:color w:val="000000"/>
          <w:szCs w:val="24"/>
          <w:lang w:eastAsia="es-CO"/>
        </w:rPr>
        <w:t>i.e. </w:t>
      </w:r>
      <w:r w:rsidRPr="004A4ED1">
        <w:rPr>
          <w:rFonts w:ascii="Segoe UI" w:eastAsia="Times New Roman" w:hAnsi="Segoe UI" w:cs="Segoe UI"/>
          <w:color w:val="000000"/>
          <w:szCs w:val="24"/>
          <w:lang w:eastAsia="es-CO"/>
        </w:rPr>
        <w:t>centros de costos), que tenían la misma función que una cuenta de orden, estaban respaldadas en documentos internos y externos que la Administración valoró indebidamente, y cumplían con las exigencias de la técnica contable y de la doctrina de la Superintendencia de Sociedades y de la DIAN</w:t>
      </w:r>
      <w:bookmarkStart w:id="0" w:name="_ftnref1"/>
      <w:r w:rsidRPr="004A4ED1">
        <w:rPr>
          <w:rFonts w:ascii="Segoe UI" w:eastAsia="Times New Roman" w:hAnsi="Segoe UI" w:cs="Segoe UI"/>
          <w:color w:val="000000"/>
          <w:szCs w:val="24"/>
          <w:lang w:eastAsia="es-CO"/>
        </w:rPr>
        <w:fldChar w:fldCharType="begin"/>
      </w:r>
      <w:r w:rsidRPr="004A4ED1">
        <w:rPr>
          <w:rFonts w:ascii="Segoe UI" w:eastAsia="Times New Roman" w:hAnsi="Segoe UI" w:cs="Segoe UI"/>
          <w:color w:val="000000"/>
          <w:szCs w:val="24"/>
          <w:lang w:eastAsia="es-CO"/>
        </w:rPr>
        <w:instrText xml:space="preserve"> HYPERLINK "https://www.ceta.org.co/html/vista_de_un_documento.asp?DocumentoID=42858" \l "_ftn1" \o "" </w:instrText>
      </w:r>
      <w:r w:rsidRPr="004A4ED1">
        <w:rPr>
          <w:rFonts w:ascii="Segoe UI" w:eastAsia="Times New Roman" w:hAnsi="Segoe UI" w:cs="Segoe UI"/>
          <w:color w:val="000000"/>
          <w:szCs w:val="24"/>
          <w:lang w:eastAsia="es-CO"/>
        </w:rPr>
        <w:fldChar w:fldCharType="separate"/>
      </w:r>
      <w:r w:rsidRPr="004A4ED1">
        <w:rPr>
          <w:rFonts w:ascii="Segoe UI" w:eastAsia="Times New Roman" w:hAnsi="Segoe UI" w:cs="Segoe UI"/>
          <w:color w:val="0089E1"/>
          <w:szCs w:val="24"/>
          <w:lang w:eastAsia="es-CO"/>
        </w:rPr>
        <w:t>[1]</w:t>
      </w:r>
      <w:r w:rsidRPr="004A4ED1">
        <w:rPr>
          <w:rFonts w:ascii="Segoe UI" w:eastAsia="Times New Roman" w:hAnsi="Segoe UI" w:cs="Segoe UI"/>
          <w:color w:val="000000"/>
          <w:szCs w:val="24"/>
          <w:lang w:eastAsia="es-CO"/>
        </w:rPr>
        <w:fldChar w:fldCharType="end"/>
      </w:r>
      <w:bookmarkEnd w:id="0"/>
      <w:r w:rsidRPr="004A4ED1">
        <w:rPr>
          <w:rFonts w:ascii="Segoe UI" w:eastAsia="Times New Roman" w:hAnsi="Segoe UI" w:cs="Segoe UI"/>
          <w:color w:val="000000"/>
          <w:szCs w:val="24"/>
          <w:lang w:eastAsia="es-CO"/>
        </w:rPr>
        <w:t>. Añadió que desconocer el gasto en cuestión equivaldría a gravar dos veces el mismo ingreso, pues el partícipe oculto lo había declarado a título de ingreso en su autoliquidación, lo cual vulneraría el principio de equidad tributaria.</w:t>
      </w:r>
    </w:p>
    <w:p w14:paraId="422EE221"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1BA5DAAA"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Defendió y argumentó la deducibilidad de las expensas para recreación y deporte de sus empleados, por cuanto tenían relación de causalidad con su actividad productiva; eran obligatorias en virtud de la legislación laboral (al punto que su incumplimiento implicaría sanciones administrativas); y acostumbradas en compañías con un nivel de operación similar, por lo que en suma se cumplirían los requisitos del </w:t>
      </w:r>
      <w:hyperlink r:id="rId10" w:tooltip="Estatuto Tributario CETA" w:history="1">
        <w:r w:rsidRPr="004A4ED1">
          <w:rPr>
            <w:rFonts w:ascii="Segoe UI" w:eastAsia="Times New Roman" w:hAnsi="Segoe UI" w:cs="Segoe UI"/>
            <w:color w:val="0089E1"/>
            <w:szCs w:val="24"/>
            <w:u w:val="single"/>
            <w:lang w:eastAsia="es-CO"/>
          </w:rPr>
          <w:t>artículo 107</w:t>
        </w:r>
      </w:hyperlink>
      <w:r w:rsidRPr="004A4ED1">
        <w:rPr>
          <w:rFonts w:ascii="Segoe UI" w:eastAsia="Times New Roman" w:hAnsi="Segoe UI" w:cs="Segoe UI"/>
          <w:szCs w:val="24"/>
          <w:lang w:eastAsia="es-CO"/>
        </w:rPr>
        <w:t> del ET.</w:t>
      </w:r>
    </w:p>
    <w:p w14:paraId="44C27AF5"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73F3E29E"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Por último, negó haber incurrido en una inexactitud sancionable y que, de haberlo hecho, sería a consecuencia de un error de apreciación sobre el derecho aplicable.</w:t>
      </w:r>
    </w:p>
    <w:p w14:paraId="6E49AA87"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b/>
          <w:bCs/>
          <w:szCs w:val="24"/>
          <w:lang w:eastAsia="es-CO"/>
        </w:rPr>
        <w:t> </w:t>
      </w:r>
    </w:p>
    <w:p w14:paraId="1B1FE2E0"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b/>
          <w:bCs/>
          <w:szCs w:val="24"/>
          <w:lang w:eastAsia="es-CO"/>
        </w:rPr>
        <w:t>Contestación de la demanda</w:t>
      </w:r>
    </w:p>
    <w:p w14:paraId="314F5928"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4C1C2CB2"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La demandada se opuso a las pretensiones de la actora (</w:t>
      </w:r>
      <w:proofErr w:type="spellStart"/>
      <w:r w:rsidRPr="004A4ED1">
        <w:rPr>
          <w:rFonts w:ascii="Segoe UI" w:eastAsia="Times New Roman" w:hAnsi="Segoe UI" w:cs="Segoe UI"/>
          <w:szCs w:val="24"/>
          <w:lang w:eastAsia="es-CO"/>
        </w:rPr>
        <w:t>ff</w:t>
      </w:r>
      <w:proofErr w:type="spellEnd"/>
      <w:r w:rsidRPr="004A4ED1">
        <w:rPr>
          <w:rFonts w:ascii="Segoe UI" w:eastAsia="Times New Roman" w:hAnsi="Segoe UI" w:cs="Segoe UI"/>
          <w:szCs w:val="24"/>
          <w:lang w:eastAsia="es-CO"/>
        </w:rPr>
        <w:t>. 151 a 178 cp1), para lo cual partió de negar la vulneración al debido proceso alegada por su contraparte, habida cuenta de que el requerimiento especial, la liquidación oficial y el acto que resolvió el recurso de reconsideración rechazaron la misma expensa, porque el sujeto pasivo la contabilizó erróneamente, lo que ponía en duda que en efecto se tratara de un gasto incurrido en ejecución de un contrato de cuentas en participación. Planteó que, a partir de las pruebas obrantes en el plenario, era imposible determinar si el gasto objetado ocurrió en desarrollo del referido contrato, porque las cuentas de orden de la demandante no evidenciaban movimiento alguno, pese a que allí debían registrarse las operaciones derivadas de ese tipo de negocios. Agregó que la contabilidad de la actora no ofrecía certeza sobre la naturaleza de la expensa debatida, por lo que se debía desconocer.</w:t>
      </w:r>
    </w:p>
    <w:p w14:paraId="6FEB8858"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39DA9673"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Con fundamento en la sentencia del 12 de marzo de 2012 (</w:t>
      </w:r>
      <w:proofErr w:type="spellStart"/>
      <w:r w:rsidRPr="004A4ED1">
        <w:rPr>
          <w:rFonts w:ascii="Segoe UI" w:eastAsia="Times New Roman" w:hAnsi="Segoe UI" w:cs="Segoe UI"/>
          <w:szCs w:val="24"/>
          <w:lang w:eastAsia="es-CO"/>
        </w:rPr>
        <w:t>exp</w:t>
      </w:r>
      <w:proofErr w:type="spellEnd"/>
      <w:r w:rsidRPr="004A4ED1">
        <w:rPr>
          <w:rFonts w:ascii="Segoe UI" w:eastAsia="Times New Roman" w:hAnsi="Segoe UI" w:cs="Segoe UI"/>
          <w:szCs w:val="24"/>
          <w:lang w:eastAsia="es-CO"/>
        </w:rPr>
        <w:t>. 18172, CP: Carmen Teresa Ortiz de Rodríguez), sostuvo que las erogaciones por recreación y deporte eran innecesarias, pues no derivaron de obligaciones legales, empresariales y tampoco de la costumbre mercantil. Cuestionó que tuvieran relación con la actividad productiva de la actora, porque ese tipo de gastos eran ajenos a la administración y operación de juegos de suerte y azar, de modo que incumplían los requisitos del </w:t>
      </w:r>
      <w:hyperlink r:id="rId11" w:tooltip="Estatuto Tributario CETA" w:history="1">
        <w:r w:rsidRPr="004A4ED1">
          <w:rPr>
            <w:rFonts w:ascii="Segoe UI" w:eastAsia="Times New Roman" w:hAnsi="Segoe UI" w:cs="Segoe UI"/>
            <w:color w:val="0089E1"/>
            <w:szCs w:val="24"/>
            <w:u w:val="single"/>
            <w:lang w:eastAsia="es-CO"/>
          </w:rPr>
          <w:t>artículo 107</w:t>
        </w:r>
      </w:hyperlink>
      <w:r w:rsidRPr="004A4ED1">
        <w:rPr>
          <w:rFonts w:ascii="Segoe UI" w:eastAsia="Times New Roman" w:hAnsi="Segoe UI" w:cs="Segoe UI"/>
          <w:szCs w:val="24"/>
          <w:lang w:eastAsia="es-CO"/>
        </w:rPr>
        <w:t> del ET a efectos de su deducibilidad. Finalmente, señaló que había lugar a sancionar por inexactitud, dado que la demandante autoliquidó deducciones improcedentes en la declaración revisada.</w:t>
      </w:r>
    </w:p>
    <w:p w14:paraId="11CA84A2"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b/>
          <w:bCs/>
          <w:szCs w:val="24"/>
          <w:lang w:eastAsia="es-CO"/>
        </w:rPr>
        <w:t> </w:t>
      </w:r>
    </w:p>
    <w:p w14:paraId="214EFFF0"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b/>
          <w:bCs/>
          <w:szCs w:val="24"/>
          <w:lang w:eastAsia="es-CO"/>
        </w:rPr>
        <w:t>Sentencia apelada</w:t>
      </w:r>
    </w:p>
    <w:p w14:paraId="6EBD5FCB"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color w:val="000000"/>
          <w:szCs w:val="24"/>
          <w:lang w:eastAsia="es-CO"/>
        </w:rPr>
        <w:t> </w:t>
      </w:r>
    </w:p>
    <w:p w14:paraId="7210E521"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color w:val="000000"/>
          <w:szCs w:val="24"/>
          <w:lang w:eastAsia="es-CO"/>
        </w:rPr>
        <w:lastRenderedPageBreak/>
        <w:t xml:space="preserve">El tribunal anuló parcialmente los actos acusados para reducir la multa impuesta en aplicación del principio de favorabilidad en materia sancionadora, sin pronunciarse sobre las costas. Juzgó que el acto preparatorio, la liquidación oficial y el que la confirmó cuestionaron el mismo gasto y por argumentos idénticos, por lo cual no observó ninguna violación al debido proceso de la demandante. Estimó que, en los acuerdos de cuentas en participación, corresponde al gestor llevar las cuentas del contrato de forma separada, de manera que no se confundan con aquellas de su propio negocio. Así concluyó que el gasto por pago de utilidades al participe oculto era improcedente, porque la actora lo registró en las mismas cuentas en que llevaba los resultados de sus propios negocios, lo que impidió verificar la certeza de los valores contabilizados como consecuencia de la ejecución del referido contrato de colaboración empresarial. Citando precedentes de esta Sección (sentencia del 12 de marzo de 2012, </w:t>
      </w:r>
      <w:proofErr w:type="spellStart"/>
      <w:r w:rsidRPr="004A4ED1">
        <w:rPr>
          <w:rFonts w:ascii="Segoe UI" w:eastAsia="Times New Roman" w:hAnsi="Segoe UI" w:cs="Segoe UI"/>
          <w:color w:val="000000"/>
          <w:szCs w:val="24"/>
          <w:lang w:eastAsia="es-CO"/>
        </w:rPr>
        <w:t>exp</w:t>
      </w:r>
      <w:proofErr w:type="spellEnd"/>
      <w:r w:rsidRPr="004A4ED1">
        <w:rPr>
          <w:rFonts w:ascii="Segoe UI" w:eastAsia="Times New Roman" w:hAnsi="Segoe UI" w:cs="Segoe UI"/>
          <w:color w:val="000000"/>
          <w:szCs w:val="24"/>
          <w:lang w:eastAsia="es-CO"/>
        </w:rPr>
        <w:t>. 18172, CP: Carmen Teresa Ortiz de Rodríguez), estimó que las expensas por recreación y deporte eran innecesarias y no guardaban relación de causalidad con la actividad del sujeto pasivo, por lo que convalidó su rechazo. Por tanto, avaló la sanción impuesta en los actos acusados, pero redujo el valor de la multa por favorabilidad (</w:t>
      </w:r>
      <w:proofErr w:type="spellStart"/>
      <w:r w:rsidRPr="004A4ED1">
        <w:rPr>
          <w:rFonts w:ascii="Segoe UI" w:eastAsia="Times New Roman" w:hAnsi="Segoe UI" w:cs="Segoe UI"/>
          <w:color w:val="000000"/>
          <w:szCs w:val="24"/>
          <w:lang w:eastAsia="es-CO"/>
        </w:rPr>
        <w:t>ff</w:t>
      </w:r>
      <w:proofErr w:type="spellEnd"/>
      <w:r w:rsidRPr="004A4ED1">
        <w:rPr>
          <w:rFonts w:ascii="Segoe UI" w:eastAsia="Times New Roman" w:hAnsi="Segoe UI" w:cs="Segoe UI"/>
          <w:color w:val="000000"/>
          <w:szCs w:val="24"/>
          <w:lang w:eastAsia="es-CO"/>
        </w:rPr>
        <w:t>. 258 a 295 cp2).</w:t>
      </w:r>
    </w:p>
    <w:p w14:paraId="0D3322E5"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b/>
          <w:bCs/>
          <w:szCs w:val="24"/>
          <w:lang w:eastAsia="es-CO"/>
        </w:rPr>
        <w:t> </w:t>
      </w:r>
    </w:p>
    <w:p w14:paraId="7DCE6110"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b/>
          <w:bCs/>
          <w:szCs w:val="24"/>
          <w:lang w:eastAsia="es-CO"/>
        </w:rPr>
        <w:t>Recurso de apelación</w:t>
      </w:r>
    </w:p>
    <w:p w14:paraId="716E93A7"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3A235CCA"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La parte demandante apeló la sentencia del tribunal (</w:t>
      </w:r>
      <w:proofErr w:type="spellStart"/>
      <w:r w:rsidRPr="004A4ED1">
        <w:rPr>
          <w:rFonts w:ascii="Segoe UI" w:eastAsia="Times New Roman" w:hAnsi="Segoe UI" w:cs="Segoe UI"/>
          <w:szCs w:val="24"/>
          <w:lang w:eastAsia="es-CO"/>
        </w:rPr>
        <w:t>ff</w:t>
      </w:r>
      <w:proofErr w:type="spellEnd"/>
      <w:r w:rsidRPr="004A4ED1">
        <w:rPr>
          <w:rFonts w:ascii="Segoe UI" w:eastAsia="Times New Roman" w:hAnsi="Segoe UI" w:cs="Segoe UI"/>
          <w:szCs w:val="24"/>
          <w:lang w:eastAsia="es-CO"/>
        </w:rPr>
        <w:t>. 303 a 318), para lo cual manifestó que no se consideró el reproche que planteó en contra del acto que resolvió el recurso de reconsideración en cuanto a que este introdujo un argumento diferente a los expuestos en los actos precedentes. Reiteró que el tribunal vulneró el principio constitucional de primacía del derecho sustancial sobre el formal e incurrió en error de hecho, dado que rechazó el gasto por utilidades pagadas al partícipe oculto en el contrato de cuentas en participación, a pesar de que cumplía con todos los requisitos para su deducción. Insistió en que el desconocimiento de esa erogación generaría doble tributación. Replicó que los gastos por recreación y deporte cumplían con los requisitos del </w:t>
      </w:r>
      <w:hyperlink r:id="rId12" w:tooltip="Estatuto Tributario CETA" w:history="1">
        <w:r w:rsidRPr="004A4ED1">
          <w:rPr>
            <w:rFonts w:ascii="Segoe UI" w:eastAsia="Times New Roman" w:hAnsi="Segoe UI" w:cs="Segoe UI"/>
            <w:color w:val="0089E1"/>
            <w:szCs w:val="24"/>
            <w:u w:val="single"/>
            <w:lang w:eastAsia="es-CO"/>
          </w:rPr>
          <w:t>artículo 107</w:t>
        </w:r>
      </w:hyperlink>
      <w:r w:rsidRPr="004A4ED1">
        <w:rPr>
          <w:rFonts w:ascii="Segoe UI" w:eastAsia="Times New Roman" w:hAnsi="Segoe UI" w:cs="Segoe UI"/>
          <w:szCs w:val="24"/>
          <w:lang w:eastAsia="es-CO"/>
        </w:rPr>
        <w:t> del ET. Agregó que el juez de primera instancia vulneró su derecho de la defensa al negar la práctica de la prueba pericial que solicitó en la demanda. Por último, repitió los reproches en contra de la sanción por inexactitud impuesta.</w:t>
      </w:r>
    </w:p>
    <w:p w14:paraId="79AB733E"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b/>
          <w:bCs/>
          <w:szCs w:val="24"/>
          <w:lang w:eastAsia="es-CO"/>
        </w:rPr>
        <w:t> </w:t>
      </w:r>
    </w:p>
    <w:p w14:paraId="417104C3"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b/>
          <w:bCs/>
          <w:szCs w:val="24"/>
          <w:lang w:eastAsia="es-CO"/>
        </w:rPr>
        <w:t>Alegatos de conclusión</w:t>
      </w:r>
    </w:p>
    <w:p w14:paraId="27D094C4"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07E7FA93"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Las partes reiteraron los argumentos expuestos en las anteriores etapas procesales (</w:t>
      </w:r>
      <w:proofErr w:type="spellStart"/>
      <w:r w:rsidRPr="004A4ED1">
        <w:rPr>
          <w:rFonts w:ascii="Segoe UI" w:eastAsia="Times New Roman" w:hAnsi="Segoe UI" w:cs="Segoe UI"/>
          <w:szCs w:val="24"/>
          <w:lang w:eastAsia="es-CO"/>
        </w:rPr>
        <w:t>ff</w:t>
      </w:r>
      <w:proofErr w:type="spellEnd"/>
      <w:r w:rsidRPr="004A4ED1">
        <w:rPr>
          <w:rFonts w:ascii="Segoe UI" w:eastAsia="Times New Roman" w:hAnsi="Segoe UI" w:cs="Segoe UI"/>
          <w:szCs w:val="24"/>
          <w:lang w:eastAsia="es-CO"/>
        </w:rPr>
        <w:t>. 336 a 347 y 348 a 365 cp2). El ministerio público conceptuó que el gasto en que incurrió el obligado tributario en el marco del contrato de cuentas en participación debía ser rechazado, pues quedó contabilizado erróneamente; señaló que las erogaciones por recreación y deporte no eran indispensables, por lo que era preciso desconocerlas. Finalmente, defendió la multa impuesta. Por todo ello solicitó que se confirmara la sentencia apelada (</w:t>
      </w:r>
      <w:proofErr w:type="spellStart"/>
      <w:r w:rsidRPr="004A4ED1">
        <w:rPr>
          <w:rFonts w:ascii="Segoe UI" w:eastAsia="Times New Roman" w:hAnsi="Segoe UI" w:cs="Segoe UI"/>
          <w:szCs w:val="24"/>
          <w:lang w:eastAsia="es-CO"/>
        </w:rPr>
        <w:t>ff</w:t>
      </w:r>
      <w:proofErr w:type="spellEnd"/>
      <w:r w:rsidRPr="004A4ED1">
        <w:rPr>
          <w:rFonts w:ascii="Segoe UI" w:eastAsia="Times New Roman" w:hAnsi="Segoe UI" w:cs="Segoe UI"/>
          <w:szCs w:val="24"/>
          <w:lang w:eastAsia="es-CO"/>
        </w:rPr>
        <w:t>. 366 a 369 cp2).</w:t>
      </w:r>
    </w:p>
    <w:p w14:paraId="698484EF"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b/>
          <w:bCs/>
          <w:szCs w:val="24"/>
          <w:lang w:eastAsia="es-CO"/>
        </w:rPr>
        <w:t> </w:t>
      </w:r>
    </w:p>
    <w:p w14:paraId="1BECB31F" w14:textId="77777777" w:rsidR="004A4ED1" w:rsidRPr="004A4ED1" w:rsidRDefault="004A4ED1" w:rsidP="004A4ED1">
      <w:pPr>
        <w:spacing w:after="0" w:line="240" w:lineRule="auto"/>
        <w:jc w:val="center"/>
        <w:rPr>
          <w:rFonts w:ascii="Arial" w:eastAsia="Times New Roman" w:hAnsi="Arial" w:cs="Arial"/>
          <w:color w:val="000000"/>
          <w:szCs w:val="24"/>
          <w:lang w:eastAsia="es-CO"/>
        </w:rPr>
      </w:pPr>
      <w:r w:rsidRPr="004A4ED1">
        <w:rPr>
          <w:rFonts w:ascii="Segoe UI" w:eastAsia="Times New Roman" w:hAnsi="Segoe UI" w:cs="Segoe UI"/>
          <w:b/>
          <w:bCs/>
          <w:szCs w:val="24"/>
          <w:lang w:eastAsia="es-CO"/>
        </w:rPr>
        <w:t>CONSIDERACIONES DE LA SALA</w:t>
      </w:r>
    </w:p>
    <w:p w14:paraId="62A06E1F"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3FAD8E80"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xml:space="preserve">1- Juzga la Sala la legalidad de los actos acusados, atendiendo a los cargos de apelación formulados por la actora, en calidad de apelante única, contra la sentencia de primer grado, que anuló parcialmente los actos acusados. En esos términos, corresponde determinar si incluir argumentos nuevos al fallar el recurso de reconsideración causa la nulidad del procedimiento enjuiciado. En caso negativo, se estudiará si está acreditado que el gasto rechazado por la demandada correspondió al pago de utilidades a favor del partícipe oculto en un contrato de cuentas en participación; si las expensas por recreación </w:t>
      </w:r>
      <w:r w:rsidRPr="004A4ED1">
        <w:rPr>
          <w:rFonts w:ascii="Segoe UI" w:eastAsia="Times New Roman" w:hAnsi="Segoe UI" w:cs="Segoe UI"/>
          <w:szCs w:val="24"/>
          <w:lang w:eastAsia="es-CO"/>
        </w:rPr>
        <w:lastRenderedPageBreak/>
        <w:t>y deporte asumidas por la demandante guardan relación de causalidad y necesidad con su actividad lucrativa; y, de ser necesario, se decidirá sobre la procedencia de la sanción por inexactitud impuesta. En cambio, no se emitirá pronunciamiento sobre el planteamiento de la contribuyente relativo a que el </w:t>
      </w:r>
      <w:r w:rsidRPr="004A4ED1">
        <w:rPr>
          <w:rFonts w:ascii="Segoe UI" w:eastAsia="Times New Roman" w:hAnsi="Segoe UI" w:cs="Segoe UI"/>
          <w:i/>
          <w:iCs/>
          <w:szCs w:val="24"/>
          <w:lang w:eastAsia="es-CO"/>
        </w:rPr>
        <w:t>a quo </w:t>
      </w:r>
      <w:r w:rsidRPr="004A4ED1">
        <w:rPr>
          <w:rFonts w:ascii="Segoe UI" w:eastAsia="Times New Roman" w:hAnsi="Segoe UI" w:cs="Segoe UI"/>
          <w:szCs w:val="24"/>
          <w:lang w:eastAsia="es-CO"/>
        </w:rPr>
        <w:t>vulneró el debido proceso al negar la prueba pericial que solicitó en la demanda, dado que esa decisión fue adoptada en la audiencia inicial y no fue apelada por la actora, por lo cual quedó en ejecutoriada (f. 210 cp2).</w:t>
      </w:r>
    </w:p>
    <w:p w14:paraId="0040AC48"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color w:val="000000"/>
          <w:szCs w:val="24"/>
          <w:lang w:eastAsia="es-CO"/>
        </w:rPr>
        <w:t> </w:t>
      </w:r>
    </w:p>
    <w:p w14:paraId="4C1DE939"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color w:val="000000"/>
          <w:szCs w:val="24"/>
          <w:lang w:eastAsia="es-CO"/>
        </w:rPr>
        <w:t>2- En primer lugar, plantea la apelante que, al fallar el recurso de reconsideración, la demandada agregó un «</w:t>
      </w:r>
      <w:r w:rsidRPr="004A4ED1">
        <w:rPr>
          <w:rFonts w:ascii="Segoe UI" w:eastAsia="Times New Roman" w:hAnsi="Segoe UI" w:cs="Segoe UI"/>
          <w:i/>
          <w:iCs/>
          <w:color w:val="000000"/>
          <w:szCs w:val="24"/>
          <w:lang w:eastAsia="es-CO"/>
        </w:rPr>
        <w:t>argumento</w:t>
      </w:r>
      <w:r w:rsidRPr="004A4ED1">
        <w:rPr>
          <w:rFonts w:ascii="Segoe UI" w:eastAsia="Times New Roman" w:hAnsi="Segoe UI" w:cs="Segoe UI"/>
          <w:color w:val="000000"/>
          <w:szCs w:val="24"/>
          <w:lang w:eastAsia="es-CO"/>
        </w:rPr>
        <w:t>» nuevo, no propuesto en la liquidación oficial de revisión, según el cual el gasto por la utilidad que le corresponde al partícipe oculto en el contrato de cuentas en participación es improcedente porque no se contabilizó por parte de la actora en una cuenta contable separada; y que con ese proceder se le conculcó el debido proceso porque no pudo controvertirlo en el procedimiento de revisión.</w:t>
      </w:r>
    </w:p>
    <w:p w14:paraId="328909D9"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4E4B9F66"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2.1- Sobre ese particular, la jurisprudencia de la Sección ha señalado que la Administración tiene vedado fallar el recurso de reconsideración a partir de hechos distintos a los que sustentaron el acto definitivo</w:t>
      </w:r>
      <w:bookmarkStart w:id="1" w:name="_ftnref2"/>
      <w:r w:rsidRPr="004A4ED1">
        <w:rPr>
          <w:rFonts w:ascii="Segoe UI" w:eastAsia="Times New Roman" w:hAnsi="Segoe UI" w:cs="Segoe UI"/>
          <w:szCs w:val="24"/>
          <w:lang w:eastAsia="es-CO"/>
        </w:rPr>
        <w:fldChar w:fldCharType="begin"/>
      </w:r>
      <w:r w:rsidRPr="004A4ED1">
        <w:rPr>
          <w:rFonts w:ascii="Segoe UI" w:eastAsia="Times New Roman" w:hAnsi="Segoe UI" w:cs="Segoe UI"/>
          <w:szCs w:val="24"/>
          <w:lang w:eastAsia="es-CO"/>
        </w:rPr>
        <w:instrText xml:space="preserve"> HYPERLINK "https://www.ceta.org.co/html/vista_de_un_documento.asp?DocumentoID=42858" \l "_ftn2" \o "" </w:instrText>
      </w:r>
      <w:r w:rsidRPr="004A4ED1">
        <w:rPr>
          <w:rFonts w:ascii="Segoe UI" w:eastAsia="Times New Roman" w:hAnsi="Segoe UI" w:cs="Segoe UI"/>
          <w:szCs w:val="24"/>
          <w:lang w:eastAsia="es-CO"/>
        </w:rPr>
        <w:fldChar w:fldCharType="separate"/>
      </w:r>
      <w:r w:rsidRPr="004A4ED1">
        <w:rPr>
          <w:rFonts w:ascii="Segoe UI" w:eastAsia="Times New Roman" w:hAnsi="Segoe UI" w:cs="Segoe UI"/>
          <w:color w:val="0089E1"/>
          <w:szCs w:val="24"/>
          <w:lang w:eastAsia="es-CO"/>
        </w:rPr>
        <w:t>[2]</w:t>
      </w:r>
      <w:r w:rsidRPr="004A4ED1">
        <w:rPr>
          <w:rFonts w:ascii="Segoe UI" w:eastAsia="Times New Roman" w:hAnsi="Segoe UI" w:cs="Segoe UI"/>
          <w:szCs w:val="24"/>
          <w:lang w:eastAsia="es-CO"/>
        </w:rPr>
        <w:fldChar w:fldCharType="end"/>
      </w:r>
      <w:bookmarkEnd w:id="1"/>
      <w:r w:rsidRPr="004A4ED1">
        <w:rPr>
          <w:rFonts w:ascii="Segoe UI" w:eastAsia="Times New Roman" w:hAnsi="Segoe UI" w:cs="Segoe UI"/>
          <w:szCs w:val="24"/>
          <w:lang w:eastAsia="es-CO"/>
        </w:rPr>
        <w:t>. Así, esta judicatura ha entendido que se vulnera el debido proceso cuando el acto que pone fin a la actuación enjuiciada se basa en «</w:t>
      </w:r>
      <w:r w:rsidRPr="004A4ED1">
        <w:rPr>
          <w:rFonts w:ascii="Segoe UI" w:eastAsia="Times New Roman" w:hAnsi="Segoe UI" w:cs="Segoe UI"/>
          <w:i/>
          <w:iCs/>
          <w:szCs w:val="24"/>
          <w:lang w:eastAsia="es-CO"/>
        </w:rPr>
        <w:t>hechos</w:t>
      </w:r>
      <w:r w:rsidRPr="004A4ED1">
        <w:rPr>
          <w:rFonts w:ascii="Segoe UI" w:eastAsia="Times New Roman" w:hAnsi="Segoe UI" w:cs="Segoe UI"/>
          <w:szCs w:val="24"/>
          <w:lang w:eastAsia="es-CO"/>
        </w:rPr>
        <w:t>» distintos a los presentados en la liquidación oficial; de manera que esos hechos se concreten en «</w:t>
      </w:r>
      <w:r w:rsidRPr="004A4ED1">
        <w:rPr>
          <w:rFonts w:ascii="Segoe UI" w:eastAsia="Times New Roman" w:hAnsi="Segoe UI" w:cs="Segoe UI"/>
          <w:i/>
          <w:iCs/>
          <w:szCs w:val="24"/>
          <w:lang w:eastAsia="es-CO"/>
        </w:rPr>
        <w:t>glosas</w:t>
      </w:r>
      <w:r w:rsidRPr="004A4ED1">
        <w:rPr>
          <w:rFonts w:ascii="Segoe UI" w:eastAsia="Times New Roman" w:hAnsi="Segoe UI" w:cs="Segoe UI"/>
          <w:szCs w:val="24"/>
          <w:lang w:eastAsia="es-CO"/>
        </w:rPr>
        <w:t>» diferentes a las que el contribuyente tuvo oportunidad de controvertir</w:t>
      </w:r>
      <w:bookmarkStart w:id="2" w:name="_ftnref3"/>
      <w:r w:rsidRPr="004A4ED1">
        <w:rPr>
          <w:rFonts w:ascii="Segoe UI" w:eastAsia="Times New Roman" w:hAnsi="Segoe UI" w:cs="Segoe UI"/>
          <w:szCs w:val="24"/>
          <w:lang w:eastAsia="es-CO"/>
        </w:rPr>
        <w:fldChar w:fldCharType="begin"/>
      </w:r>
      <w:r w:rsidRPr="004A4ED1">
        <w:rPr>
          <w:rFonts w:ascii="Segoe UI" w:eastAsia="Times New Roman" w:hAnsi="Segoe UI" w:cs="Segoe UI"/>
          <w:szCs w:val="24"/>
          <w:lang w:eastAsia="es-CO"/>
        </w:rPr>
        <w:instrText xml:space="preserve"> HYPERLINK "https://www.ceta.org.co/html/vista_de_un_documento.asp?DocumentoID=42858" \l "_ftn3" \o "" </w:instrText>
      </w:r>
      <w:r w:rsidRPr="004A4ED1">
        <w:rPr>
          <w:rFonts w:ascii="Segoe UI" w:eastAsia="Times New Roman" w:hAnsi="Segoe UI" w:cs="Segoe UI"/>
          <w:szCs w:val="24"/>
          <w:lang w:eastAsia="es-CO"/>
        </w:rPr>
        <w:fldChar w:fldCharType="separate"/>
      </w:r>
      <w:r w:rsidRPr="004A4ED1">
        <w:rPr>
          <w:rFonts w:ascii="Segoe UI" w:eastAsia="Times New Roman" w:hAnsi="Segoe UI" w:cs="Segoe UI"/>
          <w:color w:val="0089E1"/>
          <w:szCs w:val="24"/>
          <w:lang w:eastAsia="es-CO"/>
        </w:rPr>
        <w:t>[3]</w:t>
      </w:r>
      <w:r w:rsidRPr="004A4ED1">
        <w:rPr>
          <w:rFonts w:ascii="Segoe UI" w:eastAsia="Times New Roman" w:hAnsi="Segoe UI" w:cs="Segoe UI"/>
          <w:szCs w:val="24"/>
          <w:lang w:eastAsia="es-CO"/>
        </w:rPr>
        <w:fldChar w:fldCharType="end"/>
      </w:r>
      <w:bookmarkEnd w:id="2"/>
      <w:r w:rsidRPr="004A4ED1">
        <w:rPr>
          <w:rFonts w:ascii="Segoe UI" w:eastAsia="Times New Roman" w:hAnsi="Segoe UI" w:cs="Segoe UI"/>
          <w:szCs w:val="24"/>
          <w:lang w:eastAsia="es-CO"/>
        </w:rPr>
        <w:t>. Esto, sin perjuicio de que pueda mejorar su argumentación inicial, respecto de los cuestionamientos planteados en la liquidación oficial recurrida, siempre que tales argumentos se dirijan a defender los mismos cuestionamientos descritos en el acto de liquidación.</w:t>
      </w:r>
    </w:p>
    <w:p w14:paraId="462EF687"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12B47728"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2.2- Partiendo de ese criterio, observa la Sala que lo que reprocha la demandante es que su contraparte haya incluido «</w:t>
      </w:r>
      <w:r w:rsidRPr="004A4ED1">
        <w:rPr>
          <w:rFonts w:ascii="Segoe UI" w:eastAsia="Times New Roman" w:hAnsi="Segoe UI" w:cs="Segoe UI"/>
          <w:i/>
          <w:iCs/>
          <w:szCs w:val="24"/>
          <w:lang w:eastAsia="es-CO"/>
        </w:rPr>
        <w:t>argumentos</w:t>
      </w:r>
      <w:r w:rsidRPr="004A4ED1">
        <w:rPr>
          <w:rFonts w:ascii="Segoe UI" w:eastAsia="Times New Roman" w:hAnsi="Segoe UI" w:cs="Segoe UI"/>
          <w:szCs w:val="24"/>
          <w:lang w:eastAsia="es-CO"/>
        </w:rPr>
        <w:t>» nuevos en el acto que resolvió el recurso de reconsideración. Sin embargo, como quedó explicado, nada obsta para que la autoridad pueda mejorar su argumentación en el curso del procedimiento de determinación oficial del impuesto. Así, en vista de que la Administración mantuvo la discusión respecto de la misma glosa, concluye la Sala que no introdujo hechos nuevos al resolver el recurso de reconsideración, de manera que no se configuró la violación del debido proceso alegada por la demandante. No prospera el cargo de apelación.</w:t>
      </w:r>
    </w:p>
    <w:p w14:paraId="304BF267"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6C9F2E16"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3- Definida esa cuestión, pasa la Sala a estudiar la deducibilidad del gasto por pago de utilidades al partícipe oculto en el marco de un contrato de cuentas en participación. Sobre el particular, la demandada sostiene que, de conformidad con la técnica contable, la actora debió registrar en cuentas de orden las operaciones realizadas en desarrollo del contrato, pero, en su lugar, contabilizó el valor solicitado como deducción en cuentas de balance y en el estado de resultados, como si los ingresos y erogaciones provenientes de la ejecución del contrato fuesen operaciones propias. Concluyó que ese error en la contabilización de los hechos económicos hace que sea incierto si el gasto en discusión correspondió efectivamente a la utilidad del partícipe inactivo, de modo que hay lugar a rechazarlo. En contraposición, la actora plantea que los argumentos que justifican las glosa son en extremo formalistas, al punto que desatienden el derecho sustancial, y que, de todas formas, registró las operaciones derivadas del acuerdo en partidas contables especiales (centros de costos), que acreditan la utilidad emanada del negocio y demuestran la realidad de la expensa en cuestión.</w:t>
      </w:r>
    </w:p>
    <w:p w14:paraId="31B7E593"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color w:val="000000"/>
          <w:szCs w:val="24"/>
          <w:lang w:eastAsia="es-CO"/>
        </w:rPr>
        <w:t> </w:t>
      </w:r>
    </w:p>
    <w:p w14:paraId="76EEFB4F"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color w:val="000000"/>
          <w:szCs w:val="24"/>
          <w:lang w:eastAsia="es-CO"/>
        </w:rPr>
        <w:lastRenderedPageBreak/>
        <w:t>En ese orden de ideas, las partes no discuten que, en el marco de un contrato de cuentas en participación, el pago que haga el partícipe gestor a favor del oculto para repartir las utilidades del negocio constituye un gasto deducible para aquel. Por el contrario, el pronunciamiento que demandan de esta judicatura consiste en establecer, a la luz de los registros contables de la actora y de las demás pruebas obrantes en el plenario, si es posible establecer que el gasto discutido corresponde al pago de utilidades para el partícipe inactivo en un negocio jurídico de esa naturaleza.</w:t>
      </w:r>
    </w:p>
    <w:p w14:paraId="492C0DC5"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color w:val="000000"/>
          <w:szCs w:val="24"/>
          <w:lang w:eastAsia="es-CO"/>
        </w:rPr>
        <w:t> </w:t>
      </w:r>
    </w:p>
    <w:p w14:paraId="3A191303"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3.1- Con miras a desatar la </w:t>
      </w:r>
      <w:r w:rsidRPr="004A4ED1">
        <w:rPr>
          <w:rFonts w:ascii="Segoe UI" w:eastAsia="Times New Roman" w:hAnsi="Segoe UI" w:cs="Segoe UI"/>
          <w:i/>
          <w:iCs/>
          <w:szCs w:val="24"/>
          <w:lang w:eastAsia="es-CO"/>
        </w:rPr>
        <w:t>litis </w:t>
      </w:r>
      <w:r w:rsidRPr="004A4ED1">
        <w:rPr>
          <w:rFonts w:ascii="Segoe UI" w:eastAsia="Times New Roman" w:hAnsi="Segoe UI" w:cs="Segoe UI"/>
          <w:szCs w:val="24"/>
          <w:lang w:eastAsia="es-CO"/>
        </w:rPr>
        <w:t>planteada, la Sala parte de precisar que el de cuentas en participación es un contrato típico en el ordenamiento mercantil, al punto que cuenta con una regulación autónoma e independiente en los artículos 507 y siguientes del Código de Comercio. Este negocio jurídico colaborativo, que no da lugar a una persona jurídica, tiene como objeto que dos o más sujetos integrados en sus extremos por el gestor y el partícipe oculto o inactivo, tomen «</w:t>
      </w:r>
      <w:r w:rsidRPr="004A4ED1">
        <w:rPr>
          <w:rFonts w:ascii="Segoe UI" w:eastAsia="Times New Roman" w:hAnsi="Segoe UI" w:cs="Segoe UI"/>
          <w:i/>
          <w:iCs/>
          <w:szCs w:val="24"/>
          <w:lang w:eastAsia="es-CO"/>
        </w:rPr>
        <w:t>interés en una o varias operaciones mercantiles determinadas, que deberá ejecutar uno de ellos en su solo nombre y bajo su crédito personal, con cargo de rendir cuenta y dividir con sus partícipes las ganancias o pérdidas en la proporción convenida</w:t>
      </w:r>
      <w:r w:rsidRPr="004A4ED1">
        <w:rPr>
          <w:rFonts w:ascii="Segoe UI" w:eastAsia="Times New Roman" w:hAnsi="Segoe UI" w:cs="Segoe UI"/>
          <w:szCs w:val="24"/>
          <w:lang w:eastAsia="es-CO"/>
        </w:rPr>
        <w:t xml:space="preserve">», conforme a lo preceptuado por la legislación mercantil (Sentencia del 15 de octubre de 2020, </w:t>
      </w:r>
      <w:proofErr w:type="spellStart"/>
      <w:r w:rsidRPr="004A4ED1">
        <w:rPr>
          <w:rFonts w:ascii="Segoe UI" w:eastAsia="Times New Roman" w:hAnsi="Segoe UI" w:cs="Segoe UI"/>
          <w:szCs w:val="24"/>
          <w:lang w:eastAsia="es-CO"/>
        </w:rPr>
        <w:t>exp</w:t>
      </w:r>
      <w:proofErr w:type="spellEnd"/>
      <w:r w:rsidRPr="004A4ED1">
        <w:rPr>
          <w:rFonts w:ascii="Segoe UI" w:eastAsia="Times New Roman" w:hAnsi="Segoe UI" w:cs="Segoe UI"/>
          <w:szCs w:val="24"/>
          <w:lang w:eastAsia="es-CO"/>
        </w:rPr>
        <w:t>. 23618, CP: Julio Roberto Piza Rodríguez). Así, como elemento esencial de este tipo contractual, el partícipe gestor debe «</w:t>
      </w:r>
      <w:r w:rsidRPr="004A4ED1">
        <w:rPr>
          <w:rFonts w:ascii="Segoe UI" w:eastAsia="Times New Roman" w:hAnsi="Segoe UI" w:cs="Segoe UI"/>
          <w:i/>
          <w:iCs/>
          <w:szCs w:val="24"/>
          <w:lang w:eastAsia="es-CO"/>
        </w:rPr>
        <w:t>rendir cuenta</w:t>
      </w:r>
      <w:r w:rsidRPr="004A4ED1">
        <w:rPr>
          <w:rFonts w:ascii="Segoe UI" w:eastAsia="Times New Roman" w:hAnsi="Segoe UI" w:cs="Segoe UI"/>
          <w:szCs w:val="24"/>
          <w:lang w:eastAsia="es-CO"/>
        </w:rPr>
        <w:t>» y repartir entre las partes del contrato «</w:t>
      </w:r>
      <w:r w:rsidRPr="004A4ED1">
        <w:rPr>
          <w:rFonts w:ascii="Segoe UI" w:eastAsia="Times New Roman" w:hAnsi="Segoe UI" w:cs="Segoe UI"/>
          <w:i/>
          <w:iCs/>
          <w:szCs w:val="24"/>
          <w:lang w:eastAsia="es-CO"/>
        </w:rPr>
        <w:t>las ganancias o pérdidas</w:t>
      </w:r>
      <w:r w:rsidRPr="004A4ED1">
        <w:rPr>
          <w:rFonts w:ascii="Segoe UI" w:eastAsia="Times New Roman" w:hAnsi="Segoe UI" w:cs="Segoe UI"/>
          <w:szCs w:val="24"/>
          <w:lang w:eastAsia="es-CO"/>
        </w:rPr>
        <w:t>».</w:t>
      </w:r>
    </w:p>
    <w:p w14:paraId="6EFB28C3"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3457B667"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Respecto a las consecuencias impositivas en materia del impuesto sobre la renta de este contrato, antes de la entrada en vigor de la Ley 1819 de 2016, el ordenamiento fiscal no preceptuaba un tratamiento específico, como sí lo hace actualmente el </w:t>
      </w:r>
      <w:hyperlink r:id="rId13" w:tooltip="Estatuto Tributario CETA" w:history="1">
        <w:r w:rsidRPr="004A4ED1">
          <w:rPr>
            <w:rFonts w:ascii="Segoe UI" w:eastAsia="Times New Roman" w:hAnsi="Segoe UI" w:cs="Segoe UI"/>
            <w:color w:val="0089E1"/>
            <w:szCs w:val="24"/>
            <w:u w:val="single"/>
            <w:lang w:eastAsia="es-CO"/>
          </w:rPr>
          <w:t>artículo 18</w:t>
        </w:r>
      </w:hyperlink>
      <w:r w:rsidRPr="004A4ED1">
        <w:rPr>
          <w:rFonts w:ascii="Segoe UI" w:eastAsia="Times New Roman" w:hAnsi="Segoe UI" w:cs="Segoe UI"/>
          <w:szCs w:val="24"/>
          <w:lang w:eastAsia="es-CO"/>
        </w:rPr>
        <w:t xml:space="preserve"> del ET. Así, para la época de los hechos, los efectos tributarios se asignaban a partir de las consecuencias que las normas generales que regulan el hecho imponible del impuesto en discusión proyectaban sobre las disposiciones que de este contrato prevé el código de comercio. En ese sentido, la Sala destaca que, conforme a la legislación mercantil (artículo 507 del </w:t>
      </w:r>
      <w:proofErr w:type="spellStart"/>
      <w:r w:rsidRPr="004A4ED1">
        <w:rPr>
          <w:rFonts w:ascii="Segoe UI" w:eastAsia="Times New Roman" w:hAnsi="Segoe UI" w:cs="Segoe UI"/>
          <w:szCs w:val="24"/>
          <w:lang w:eastAsia="es-CO"/>
        </w:rPr>
        <w:t>CCo</w:t>
      </w:r>
      <w:proofErr w:type="spellEnd"/>
      <w:r w:rsidRPr="004A4ED1">
        <w:rPr>
          <w:rFonts w:ascii="Segoe UI" w:eastAsia="Times New Roman" w:hAnsi="Segoe UI" w:cs="Segoe UI"/>
          <w:szCs w:val="24"/>
          <w:lang w:eastAsia="es-CO"/>
        </w:rPr>
        <w:t xml:space="preserve">), es el gestor quien ejecuta bajo su propio nombre y crédito personal el objeto de la cuenta en participación, de manera que los efectos jurídicos y económicos de la determinada operación mercantil desarrollada a través del mencionado contrato, se concentran exclusivamente en ese sujeto negocial. En contraste, el partícipe inactivo asume solamente la ganancia o pérdida que le corresponda según la proporción convenida. En ese contexto, el gestor es reputado único dueño del negocio (artículo 510 del </w:t>
      </w:r>
      <w:proofErr w:type="spellStart"/>
      <w:r w:rsidRPr="004A4ED1">
        <w:rPr>
          <w:rFonts w:ascii="Segoe UI" w:eastAsia="Times New Roman" w:hAnsi="Segoe UI" w:cs="Segoe UI"/>
          <w:szCs w:val="24"/>
          <w:lang w:eastAsia="es-CO"/>
        </w:rPr>
        <w:t>CCo</w:t>
      </w:r>
      <w:proofErr w:type="spellEnd"/>
      <w:r w:rsidRPr="004A4ED1">
        <w:rPr>
          <w:rFonts w:ascii="Segoe UI" w:eastAsia="Times New Roman" w:hAnsi="Segoe UI" w:cs="Segoe UI"/>
          <w:szCs w:val="24"/>
          <w:lang w:eastAsia="es-CO"/>
        </w:rPr>
        <w:t>) y, al recibir del partícipe oculto un determinado aporte, concede a este, en contraprestación, una parte de las ganancias o pérdidas.</w:t>
      </w:r>
    </w:p>
    <w:p w14:paraId="23FD671C"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4B6960E8"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En línea con los anteriores planteamientos, la técnica contable vigente para la época de los hechos preveía que los partícipes debían registrar en su activo «</w:t>
      </w:r>
      <w:r w:rsidRPr="004A4ED1">
        <w:rPr>
          <w:rFonts w:ascii="Segoe UI" w:eastAsia="Times New Roman" w:hAnsi="Segoe UI" w:cs="Segoe UI"/>
          <w:i/>
          <w:iCs/>
          <w:szCs w:val="24"/>
          <w:lang w:eastAsia="es-CO"/>
        </w:rPr>
        <w:t>el valor del aporte efectuado</w:t>
      </w:r>
      <w:r w:rsidRPr="004A4ED1">
        <w:rPr>
          <w:rFonts w:ascii="Segoe UI" w:eastAsia="Times New Roman" w:hAnsi="Segoe UI" w:cs="Segoe UI"/>
          <w:szCs w:val="24"/>
          <w:lang w:eastAsia="es-CO"/>
        </w:rPr>
        <w:t xml:space="preserve">», que, a su vez, debía ser contabilizado por el gestor en cuentas de orden (código 9135), al igual que los ingresos, costos y gastos generados en ejecución del objeto contractual; mientras que, ante liquidaciones totales o parciales de la participación, era deber del gestor contabilizar como un ingreso las utilidades que fueran de él y como un pasivo aquellas que le correspondieran a las demás partes del contrato, según la proporción acordada (artículos 14 y 15 del Decreto 2650 de 1993). En desarrollo de esas disposiciones, la Circular Externa nro. 115-006, del 23 de diciembre de 2009, proferida por la Superintendencia de Sociedades precisó que, para determinar los resultados del negocio, el gestor debía saldar las cuentas de orden afectadas y distribuir la utilidad entre los partícipes, para lo cual afectaría las cuentas del ingreso (para las utilidades propias) y las del pasivo (respecto de las utilidades de los demás partícipes). En esa medida, el </w:t>
      </w:r>
      <w:r w:rsidRPr="004A4ED1">
        <w:rPr>
          <w:rFonts w:ascii="Segoe UI" w:eastAsia="Times New Roman" w:hAnsi="Segoe UI" w:cs="Segoe UI"/>
          <w:szCs w:val="24"/>
          <w:lang w:eastAsia="es-CO"/>
        </w:rPr>
        <w:lastRenderedPageBreak/>
        <w:t>partícipe gestor solo afectaba las cuentas de resultado al realizar liquidaciones totales o parciales del contrato.</w:t>
      </w:r>
    </w:p>
    <w:p w14:paraId="24B785EA"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color w:val="000000"/>
          <w:szCs w:val="24"/>
          <w:lang w:eastAsia="es-CO"/>
        </w:rPr>
        <w:t> </w:t>
      </w:r>
    </w:p>
    <w:p w14:paraId="2F992F7C"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color w:val="000000"/>
          <w:szCs w:val="24"/>
          <w:lang w:eastAsia="es-CO"/>
        </w:rPr>
        <w:t>3.2- De otra parte, advierte la Sala que, sin perjuicio de los casos en los que la ley exija una comprobación especial, los libros de contabilidad del contribuyente constituyen prueba a su favor, por disposición expresa del </w:t>
      </w:r>
      <w:hyperlink r:id="rId14" w:tooltip="Estatuto Tributario CETA" w:history="1">
        <w:r w:rsidRPr="004A4ED1">
          <w:rPr>
            <w:rFonts w:ascii="Segoe UI" w:eastAsia="Times New Roman" w:hAnsi="Segoe UI" w:cs="Segoe UI"/>
            <w:color w:val="0089E1"/>
            <w:szCs w:val="24"/>
            <w:u w:val="single"/>
            <w:lang w:eastAsia="es-CO"/>
          </w:rPr>
          <w:t>artículo 772</w:t>
        </w:r>
      </w:hyperlink>
      <w:r w:rsidRPr="004A4ED1">
        <w:rPr>
          <w:rFonts w:ascii="Segoe UI" w:eastAsia="Times New Roman" w:hAnsi="Segoe UI" w:cs="Segoe UI"/>
          <w:color w:val="000000"/>
          <w:szCs w:val="24"/>
          <w:lang w:eastAsia="es-CO"/>
        </w:rPr>
        <w:t> del ET. Sin embargo, esa misma norma preceptúa que la aptitud probatoria de la contabilidad está supeditada a que sea llevada «</w:t>
      </w:r>
      <w:r w:rsidRPr="004A4ED1">
        <w:rPr>
          <w:rFonts w:ascii="Segoe UI" w:eastAsia="Times New Roman" w:hAnsi="Segoe UI" w:cs="Segoe UI"/>
          <w:i/>
          <w:iCs/>
          <w:color w:val="000000"/>
          <w:szCs w:val="24"/>
          <w:lang w:eastAsia="es-CO"/>
        </w:rPr>
        <w:t>en debida forma</w:t>
      </w:r>
      <w:r w:rsidRPr="004A4ED1">
        <w:rPr>
          <w:rFonts w:ascii="Segoe UI" w:eastAsia="Times New Roman" w:hAnsi="Segoe UI" w:cs="Segoe UI"/>
          <w:color w:val="000000"/>
          <w:szCs w:val="24"/>
          <w:lang w:eastAsia="es-CO"/>
        </w:rPr>
        <w:t>», lo cual implica (i) observar los mandatos del Código de Comercio y de las demás normas que la regulen (</w:t>
      </w:r>
      <w:proofErr w:type="spellStart"/>
      <w:r w:rsidRPr="004A4ED1">
        <w:rPr>
          <w:rFonts w:ascii="Segoe UI" w:eastAsia="Times New Roman" w:hAnsi="Segoe UI" w:cs="Segoe UI"/>
          <w:color w:val="000000"/>
          <w:szCs w:val="24"/>
          <w:lang w:eastAsia="es-CO"/>
        </w:rPr>
        <w:t>ii</w:t>
      </w:r>
      <w:proofErr w:type="spellEnd"/>
      <w:r w:rsidRPr="004A4ED1">
        <w:rPr>
          <w:rFonts w:ascii="Segoe UI" w:eastAsia="Times New Roman" w:hAnsi="Segoe UI" w:cs="Segoe UI"/>
          <w:color w:val="000000"/>
          <w:szCs w:val="24"/>
          <w:lang w:eastAsia="es-CO"/>
        </w:rPr>
        <w:t>) reflejar completamente la situación del ente económico; (</w:t>
      </w:r>
      <w:proofErr w:type="spellStart"/>
      <w:r w:rsidRPr="004A4ED1">
        <w:rPr>
          <w:rFonts w:ascii="Segoe UI" w:eastAsia="Times New Roman" w:hAnsi="Segoe UI" w:cs="Segoe UI"/>
          <w:color w:val="000000"/>
          <w:szCs w:val="24"/>
          <w:lang w:eastAsia="es-CO"/>
        </w:rPr>
        <w:t>iii</w:t>
      </w:r>
      <w:proofErr w:type="spellEnd"/>
      <w:r w:rsidRPr="004A4ED1">
        <w:rPr>
          <w:rFonts w:ascii="Segoe UI" w:eastAsia="Times New Roman" w:hAnsi="Segoe UI" w:cs="Segoe UI"/>
          <w:color w:val="000000"/>
          <w:szCs w:val="24"/>
          <w:lang w:eastAsia="es-CO"/>
        </w:rPr>
        <w:t>) contar con comprobantes internos y externos que la respalden; y (</w:t>
      </w:r>
      <w:proofErr w:type="spellStart"/>
      <w:r w:rsidRPr="004A4ED1">
        <w:rPr>
          <w:rFonts w:ascii="Segoe UI" w:eastAsia="Times New Roman" w:hAnsi="Segoe UI" w:cs="Segoe UI"/>
          <w:color w:val="000000"/>
          <w:szCs w:val="24"/>
          <w:lang w:eastAsia="es-CO"/>
        </w:rPr>
        <w:t>iv</w:t>
      </w:r>
      <w:proofErr w:type="spellEnd"/>
      <w:r w:rsidRPr="004A4ED1">
        <w:rPr>
          <w:rFonts w:ascii="Segoe UI" w:eastAsia="Times New Roman" w:hAnsi="Segoe UI" w:cs="Segoe UI"/>
          <w:color w:val="000000"/>
          <w:szCs w:val="24"/>
          <w:lang w:eastAsia="es-CO"/>
        </w:rPr>
        <w:t>) no haber sido desvirtuada con otros medios probatorios (artículos </w:t>
      </w:r>
      <w:hyperlink r:id="rId15" w:tooltip="Estatuto Tributario CETA" w:history="1">
        <w:r w:rsidRPr="004A4ED1">
          <w:rPr>
            <w:rFonts w:ascii="Segoe UI" w:eastAsia="Times New Roman" w:hAnsi="Segoe UI" w:cs="Segoe UI"/>
            <w:color w:val="0089E1"/>
            <w:szCs w:val="24"/>
            <w:u w:val="single"/>
            <w:lang w:eastAsia="es-CO"/>
          </w:rPr>
          <w:t>773</w:t>
        </w:r>
      </w:hyperlink>
      <w:r w:rsidRPr="004A4ED1">
        <w:rPr>
          <w:rFonts w:ascii="Segoe UI" w:eastAsia="Times New Roman" w:hAnsi="Segoe UI" w:cs="Segoe UI"/>
          <w:color w:val="000000"/>
          <w:szCs w:val="24"/>
          <w:lang w:eastAsia="es-CO"/>
        </w:rPr>
        <w:t> y </w:t>
      </w:r>
      <w:hyperlink r:id="rId16" w:tooltip="Estatuto Tributario CETA" w:history="1">
        <w:r w:rsidRPr="004A4ED1">
          <w:rPr>
            <w:rFonts w:ascii="Segoe UI" w:eastAsia="Times New Roman" w:hAnsi="Segoe UI" w:cs="Segoe UI"/>
            <w:color w:val="0089E1"/>
            <w:szCs w:val="24"/>
            <w:u w:val="single"/>
            <w:lang w:eastAsia="es-CO"/>
          </w:rPr>
          <w:t>774</w:t>
        </w:r>
      </w:hyperlink>
      <w:r w:rsidRPr="004A4ED1">
        <w:rPr>
          <w:rFonts w:ascii="Segoe UI" w:eastAsia="Times New Roman" w:hAnsi="Segoe UI" w:cs="Segoe UI"/>
          <w:color w:val="000000"/>
          <w:szCs w:val="24"/>
          <w:lang w:eastAsia="es-CO"/>
        </w:rPr>
        <w:t> </w:t>
      </w:r>
      <w:proofErr w:type="spellStart"/>
      <w:r w:rsidRPr="004A4ED1">
        <w:rPr>
          <w:rFonts w:ascii="Segoe UI" w:eastAsia="Times New Roman" w:hAnsi="Segoe UI" w:cs="Segoe UI"/>
          <w:i/>
          <w:iCs/>
          <w:color w:val="000000"/>
          <w:szCs w:val="24"/>
          <w:lang w:eastAsia="es-CO"/>
        </w:rPr>
        <w:t>ibídem</w:t>
      </w:r>
      <w:proofErr w:type="spellEnd"/>
      <w:r w:rsidRPr="004A4ED1">
        <w:rPr>
          <w:rFonts w:ascii="Segoe UI" w:eastAsia="Times New Roman" w:hAnsi="Segoe UI" w:cs="Segoe UI"/>
          <w:i/>
          <w:iCs/>
          <w:color w:val="000000"/>
          <w:szCs w:val="24"/>
          <w:lang w:eastAsia="es-CO"/>
        </w:rPr>
        <w:t> </w:t>
      </w:r>
      <w:r w:rsidRPr="004A4ED1">
        <w:rPr>
          <w:rFonts w:ascii="Segoe UI" w:eastAsia="Times New Roman" w:hAnsi="Segoe UI" w:cs="Segoe UI"/>
          <w:color w:val="000000"/>
          <w:szCs w:val="24"/>
          <w:lang w:eastAsia="es-CO"/>
        </w:rPr>
        <w:t xml:space="preserve">y 50 del </w:t>
      </w:r>
      <w:proofErr w:type="spellStart"/>
      <w:r w:rsidRPr="004A4ED1">
        <w:rPr>
          <w:rFonts w:ascii="Segoe UI" w:eastAsia="Times New Roman" w:hAnsi="Segoe UI" w:cs="Segoe UI"/>
          <w:color w:val="000000"/>
          <w:szCs w:val="24"/>
          <w:lang w:eastAsia="es-CO"/>
        </w:rPr>
        <w:t>CCo</w:t>
      </w:r>
      <w:proofErr w:type="spellEnd"/>
      <w:r w:rsidRPr="004A4ED1">
        <w:rPr>
          <w:rFonts w:ascii="Segoe UI" w:eastAsia="Times New Roman" w:hAnsi="Segoe UI" w:cs="Segoe UI"/>
          <w:color w:val="000000"/>
          <w:szCs w:val="24"/>
          <w:lang w:eastAsia="es-CO"/>
        </w:rPr>
        <w:t>). Así, en el caso juzgado, para que la contabilidad contara con la eficacia probatoria pretendida, debía constar en libros que reflejaran cronológicamente el asiento de las operaciones mercantiles, aludiendo a sus comprobantes (artículo 125 del Decreto 2649 de 1993); estos, por su parte, debían indicar la fecha, origen, descripción y cuantía de los negocios del comerciante, las cuentas afectadas con el asiento (artículo 124 </w:t>
      </w:r>
      <w:proofErr w:type="spellStart"/>
      <w:r w:rsidRPr="004A4ED1">
        <w:rPr>
          <w:rFonts w:ascii="Segoe UI" w:eastAsia="Times New Roman" w:hAnsi="Segoe UI" w:cs="Segoe UI"/>
          <w:i/>
          <w:iCs/>
          <w:color w:val="000000"/>
          <w:szCs w:val="24"/>
          <w:lang w:eastAsia="es-CO"/>
        </w:rPr>
        <w:t>ejusdem</w:t>
      </w:r>
      <w:proofErr w:type="spellEnd"/>
      <w:r w:rsidRPr="004A4ED1">
        <w:rPr>
          <w:rFonts w:ascii="Segoe UI" w:eastAsia="Times New Roman" w:hAnsi="Segoe UI" w:cs="Segoe UI"/>
          <w:color w:val="000000"/>
          <w:szCs w:val="24"/>
          <w:lang w:eastAsia="es-CO"/>
        </w:rPr>
        <w:t>) y tener anexos los documentos que los justificaran, como soportes, de origen interno o externo, fechados y autorizados, que cumplieran los requisitos legales aplicables al tipo de acto del que se trate (artículo 123 </w:t>
      </w:r>
      <w:proofErr w:type="spellStart"/>
      <w:r w:rsidRPr="004A4ED1">
        <w:rPr>
          <w:rFonts w:ascii="Segoe UI" w:eastAsia="Times New Roman" w:hAnsi="Segoe UI" w:cs="Segoe UI"/>
          <w:i/>
          <w:iCs/>
          <w:color w:val="000000"/>
          <w:szCs w:val="24"/>
          <w:lang w:eastAsia="es-CO"/>
        </w:rPr>
        <w:t>ibídem</w:t>
      </w:r>
      <w:proofErr w:type="spellEnd"/>
      <w:r w:rsidRPr="004A4ED1">
        <w:rPr>
          <w:rFonts w:ascii="Segoe UI" w:eastAsia="Times New Roman" w:hAnsi="Segoe UI" w:cs="Segoe UI"/>
          <w:color w:val="000000"/>
          <w:szCs w:val="24"/>
          <w:lang w:eastAsia="es-CO"/>
        </w:rPr>
        <w:t>). Además, la contabilidad solo probará los hechos alegados si, entre otros requisitos, los respectivos libros contables están respaldados por soportes documentales, que se pondrán a disposición de la autoridad fiscal cuando esta lo requiera para constatar los hechos con relevancia tributaria, aun si media certificación de revisor fiscal.</w:t>
      </w:r>
    </w:p>
    <w:p w14:paraId="22BF7AD8"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26D87F4C"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3.3- Con miras a establecer si el gasto en que incurrió la actora corresponde al pago de utilidades a favor del partícipe inactivo con ocasión de un contrato de cuentas en participación, se encuentran probados en el plenario los siguientes hechos:</w:t>
      </w:r>
    </w:p>
    <w:p w14:paraId="5A983D61"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1D77A9FA"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(i) El 19 de mayo de 2011, en calidad de partícipe gestora, la contribuyente suscribió un contrato de cuentas en participación con el objeto de llevar a cabo la «</w:t>
      </w:r>
      <w:r w:rsidRPr="004A4ED1">
        <w:rPr>
          <w:rFonts w:ascii="Segoe UI" w:eastAsia="Times New Roman" w:hAnsi="Segoe UI" w:cs="Segoe UI"/>
          <w:i/>
          <w:iCs/>
          <w:szCs w:val="24"/>
          <w:lang w:eastAsia="es-CO"/>
        </w:rPr>
        <w:t>explotación comercial de los instrumentos de juego que se identifican y relacionan plenamente en el Anexo 1… bajo el exclusivo nombre y crédito del partícipe gestor</w:t>
      </w:r>
      <w:r w:rsidRPr="004A4ED1">
        <w:rPr>
          <w:rFonts w:ascii="Segoe UI" w:eastAsia="Times New Roman" w:hAnsi="Segoe UI" w:cs="Segoe UI"/>
          <w:szCs w:val="24"/>
          <w:lang w:eastAsia="es-CO"/>
        </w:rPr>
        <w:t>». Esto, en nueve casinos de propiedad del gestor. El acuerdo indica que «</w:t>
      </w:r>
      <w:r w:rsidRPr="004A4ED1">
        <w:rPr>
          <w:rFonts w:ascii="Segoe UI" w:eastAsia="Times New Roman" w:hAnsi="Segoe UI" w:cs="Segoe UI"/>
          <w:i/>
          <w:iCs/>
          <w:szCs w:val="24"/>
          <w:lang w:eastAsia="es-CO"/>
        </w:rPr>
        <w:t>la liquidación de las cuentas en participación se realizará de manera anual de acuerdo con el resultado obtenido en la operación…se procederá a hacer la distribución de los resultados en la proporción siguiente: el cincuenta y siete por ciento (57%) para el partícipe inactivo y el cuarenta y tres por ciento (43%) para el partícipe gestor…el partícipe gestor llevará en su contabilidad el estado de pérdidas y ganancias por centro de costo asociado a cada sala de juego y el 31 de diciembre del respectivo año, se hará el corte y la elaboración del acta de liquidación de utilidades al cierre</w:t>
      </w:r>
      <w:r w:rsidRPr="004A4ED1">
        <w:rPr>
          <w:rFonts w:ascii="Segoe UI" w:eastAsia="Times New Roman" w:hAnsi="Segoe UI" w:cs="Segoe UI"/>
          <w:szCs w:val="24"/>
          <w:lang w:eastAsia="es-CO"/>
        </w:rPr>
        <w:t>» (</w:t>
      </w:r>
      <w:proofErr w:type="spellStart"/>
      <w:r w:rsidRPr="004A4ED1">
        <w:rPr>
          <w:rFonts w:ascii="Segoe UI" w:eastAsia="Times New Roman" w:hAnsi="Segoe UI" w:cs="Segoe UI"/>
          <w:szCs w:val="24"/>
          <w:lang w:eastAsia="es-CO"/>
        </w:rPr>
        <w:t>ff</w:t>
      </w:r>
      <w:proofErr w:type="spellEnd"/>
      <w:r w:rsidRPr="004A4ED1">
        <w:rPr>
          <w:rFonts w:ascii="Segoe UI" w:eastAsia="Times New Roman" w:hAnsi="Segoe UI" w:cs="Segoe UI"/>
          <w:szCs w:val="24"/>
          <w:lang w:eastAsia="es-CO"/>
        </w:rPr>
        <w:t xml:space="preserve">. 1492 a 1505 </w:t>
      </w:r>
      <w:proofErr w:type="spellStart"/>
      <w:r w:rsidRPr="004A4ED1">
        <w:rPr>
          <w:rFonts w:ascii="Segoe UI" w:eastAsia="Times New Roman" w:hAnsi="Segoe UI" w:cs="Segoe UI"/>
          <w:szCs w:val="24"/>
          <w:lang w:eastAsia="es-CO"/>
        </w:rPr>
        <w:t>caa</w:t>
      </w:r>
      <w:proofErr w:type="spellEnd"/>
      <w:r w:rsidRPr="004A4ED1">
        <w:rPr>
          <w:rFonts w:ascii="Segoe UI" w:eastAsia="Times New Roman" w:hAnsi="Segoe UI" w:cs="Segoe UI"/>
          <w:szCs w:val="24"/>
          <w:lang w:eastAsia="es-CO"/>
        </w:rPr>
        <w:t>).</w:t>
      </w:r>
    </w:p>
    <w:p w14:paraId="12C09957"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01C756F5"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w:t>
      </w:r>
      <w:proofErr w:type="spellStart"/>
      <w:r w:rsidRPr="004A4ED1">
        <w:rPr>
          <w:rFonts w:ascii="Segoe UI" w:eastAsia="Times New Roman" w:hAnsi="Segoe UI" w:cs="Segoe UI"/>
          <w:szCs w:val="24"/>
          <w:lang w:eastAsia="es-CO"/>
        </w:rPr>
        <w:t>ii</w:t>
      </w:r>
      <w:proofErr w:type="spellEnd"/>
      <w:r w:rsidRPr="004A4ED1">
        <w:rPr>
          <w:rFonts w:ascii="Segoe UI" w:eastAsia="Times New Roman" w:hAnsi="Segoe UI" w:cs="Segoe UI"/>
          <w:szCs w:val="24"/>
          <w:lang w:eastAsia="es-CO"/>
        </w:rPr>
        <w:t>) Las partes del antedicho contrato suscribieron dos documentos titulados «</w:t>
      </w:r>
      <w:r w:rsidRPr="004A4ED1">
        <w:rPr>
          <w:rFonts w:ascii="Segoe UI" w:eastAsia="Times New Roman" w:hAnsi="Segoe UI" w:cs="Segoe UI"/>
          <w:i/>
          <w:iCs/>
          <w:szCs w:val="24"/>
          <w:lang w:eastAsia="es-CO"/>
        </w:rPr>
        <w:t>liquidación cuentas en participación</w:t>
      </w:r>
      <w:r w:rsidRPr="004A4ED1">
        <w:rPr>
          <w:rFonts w:ascii="Segoe UI" w:eastAsia="Times New Roman" w:hAnsi="Segoe UI" w:cs="Segoe UI"/>
          <w:szCs w:val="24"/>
          <w:lang w:eastAsia="es-CO"/>
        </w:rPr>
        <w:t>». El primero, con corte al 30 de septiembre de 2012, indica los ingresos y gastos de la cuenta en participación en cada uno de los locales donde operó y un «</w:t>
      </w:r>
      <w:r w:rsidRPr="004A4ED1">
        <w:rPr>
          <w:rFonts w:ascii="Segoe UI" w:eastAsia="Times New Roman" w:hAnsi="Segoe UI" w:cs="Segoe UI"/>
          <w:i/>
          <w:iCs/>
          <w:szCs w:val="24"/>
          <w:lang w:eastAsia="es-CO"/>
        </w:rPr>
        <w:t>resultado neto</w:t>
      </w:r>
      <w:r w:rsidRPr="004A4ED1">
        <w:rPr>
          <w:rFonts w:ascii="Segoe UI" w:eastAsia="Times New Roman" w:hAnsi="Segoe UI" w:cs="Segoe UI"/>
          <w:szCs w:val="24"/>
          <w:lang w:eastAsia="es-CO"/>
        </w:rPr>
        <w:t>» total de $4.527.336.000, de los cuales $2.580.582.000 corresponden al partícipe oculto, que están sujetos a retención en la fuente de $90.320.000, con lo cual la cuenta por pagar a favor del inactivo queda en $2.490.261.000 (</w:t>
      </w:r>
      <w:proofErr w:type="spellStart"/>
      <w:r w:rsidRPr="004A4ED1">
        <w:rPr>
          <w:rFonts w:ascii="Segoe UI" w:eastAsia="Times New Roman" w:hAnsi="Segoe UI" w:cs="Segoe UI"/>
          <w:szCs w:val="24"/>
          <w:lang w:eastAsia="es-CO"/>
        </w:rPr>
        <w:t>ff</w:t>
      </w:r>
      <w:proofErr w:type="spellEnd"/>
      <w:r w:rsidRPr="004A4ED1">
        <w:rPr>
          <w:rFonts w:ascii="Segoe UI" w:eastAsia="Times New Roman" w:hAnsi="Segoe UI" w:cs="Segoe UI"/>
          <w:szCs w:val="24"/>
          <w:lang w:eastAsia="es-CO"/>
        </w:rPr>
        <w:t xml:space="preserve">. 445 </w:t>
      </w:r>
      <w:proofErr w:type="spellStart"/>
      <w:r w:rsidRPr="004A4ED1">
        <w:rPr>
          <w:rFonts w:ascii="Segoe UI" w:eastAsia="Times New Roman" w:hAnsi="Segoe UI" w:cs="Segoe UI"/>
          <w:szCs w:val="24"/>
          <w:lang w:eastAsia="es-CO"/>
        </w:rPr>
        <w:t>caa</w:t>
      </w:r>
      <w:proofErr w:type="spellEnd"/>
      <w:r w:rsidRPr="004A4ED1">
        <w:rPr>
          <w:rFonts w:ascii="Segoe UI" w:eastAsia="Times New Roman" w:hAnsi="Segoe UI" w:cs="Segoe UI"/>
          <w:szCs w:val="24"/>
          <w:lang w:eastAsia="es-CO"/>
        </w:rPr>
        <w:t xml:space="preserve"> y 126). El segundo, sin discriminar los ingresos por local, señala que la «</w:t>
      </w:r>
      <w:r w:rsidRPr="004A4ED1">
        <w:rPr>
          <w:rFonts w:ascii="Segoe UI" w:eastAsia="Times New Roman" w:hAnsi="Segoe UI" w:cs="Segoe UI"/>
          <w:i/>
          <w:iCs/>
          <w:szCs w:val="24"/>
          <w:lang w:eastAsia="es-CO"/>
        </w:rPr>
        <w:t>utilidad a 31 de diciembre de 2012</w:t>
      </w:r>
      <w:r w:rsidRPr="004A4ED1">
        <w:rPr>
          <w:rFonts w:ascii="Segoe UI" w:eastAsia="Times New Roman" w:hAnsi="Segoe UI" w:cs="Segoe UI"/>
          <w:szCs w:val="24"/>
          <w:lang w:eastAsia="es-CO"/>
        </w:rPr>
        <w:t xml:space="preserve">» ascendió a $1.491.228.070, de los cuales $850.000.000 son del partícipe inactivo, que están sujetos a retención en la </w:t>
      </w:r>
      <w:r w:rsidRPr="004A4ED1">
        <w:rPr>
          <w:rFonts w:ascii="Segoe UI" w:eastAsia="Times New Roman" w:hAnsi="Segoe UI" w:cs="Segoe UI"/>
          <w:szCs w:val="24"/>
          <w:lang w:eastAsia="es-CO"/>
        </w:rPr>
        <w:lastRenderedPageBreak/>
        <w:t xml:space="preserve">fuente de $29.750.000, de manera que la cuenta por pagar queda en $820.250.000 (f. 451 </w:t>
      </w:r>
      <w:proofErr w:type="spellStart"/>
      <w:r w:rsidRPr="004A4ED1">
        <w:rPr>
          <w:rFonts w:ascii="Segoe UI" w:eastAsia="Times New Roman" w:hAnsi="Segoe UI" w:cs="Segoe UI"/>
          <w:szCs w:val="24"/>
          <w:lang w:eastAsia="es-CO"/>
        </w:rPr>
        <w:t>caa</w:t>
      </w:r>
      <w:proofErr w:type="spellEnd"/>
      <w:r w:rsidRPr="004A4ED1">
        <w:rPr>
          <w:rFonts w:ascii="Segoe UI" w:eastAsia="Times New Roman" w:hAnsi="Segoe UI" w:cs="Segoe UI"/>
          <w:szCs w:val="24"/>
          <w:lang w:eastAsia="es-CO"/>
        </w:rPr>
        <w:t>).</w:t>
      </w:r>
    </w:p>
    <w:p w14:paraId="575F98E5"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09796343"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w:t>
      </w:r>
      <w:proofErr w:type="spellStart"/>
      <w:r w:rsidRPr="004A4ED1">
        <w:rPr>
          <w:rFonts w:ascii="Segoe UI" w:eastAsia="Times New Roman" w:hAnsi="Segoe UI" w:cs="Segoe UI"/>
          <w:szCs w:val="24"/>
          <w:lang w:eastAsia="es-CO"/>
        </w:rPr>
        <w:t>iii</w:t>
      </w:r>
      <w:proofErr w:type="spellEnd"/>
      <w:r w:rsidRPr="004A4ED1">
        <w:rPr>
          <w:rFonts w:ascii="Segoe UI" w:eastAsia="Times New Roman" w:hAnsi="Segoe UI" w:cs="Segoe UI"/>
          <w:szCs w:val="24"/>
          <w:lang w:eastAsia="es-CO"/>
        </w:rPr>
        <w:t>) En el año revisado, la demandante registró lo siguiente en su contabilidad:</w:t>
      </w:r>
    </w:p>
    <w:p w14:paraId="10E1B232"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3D7DEC20"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(a) El estado de resultados evidencia ingresos operacionales por $44.406.482.000 de los cuales $33.443.913.000 provienen de «</w:t>
      </w:r>
      <w:r w:rsidRPr="004A4ED1">
        <w:rPr>
          <w:rFonts w:ascii="Segoe UI" w:eastAsia="Times New Roman" w:hAnsi="Segoe UI" w:cs="Segoe UI"/>
          <w:i/>
          <w:iCs/>
          <w:szCs w:val="24"/>
          <w:lang w:eastAsia="es-CO"/>
        </w:rPr>
        <w:t>ingreso de máquinas</w:t>
      </w:r>
      <w:r w:rsidRPr="004A4ED1">
        <w:rPr>
          <w:rFonts w:ascii="Segoe UI" w:eastAsia="Times New Roman" w:hAnsi="Segoe UI" w:cs="Segoe UI"/>
          <w:szCs w:val="24"/>
          <w:lang w:eastAsia="es-CO"/>
        </w:rPr>
        <w:t>», $3.820.737.000 de «</w:t>
      </w:r>
      <w:r w:rsidRPr="004A4ED1">
        <w:rPr>
          <w:rFonts w:ascii="Segoe UI" w:eastAsia="Times New Roman" w:hAnsi="Segoe UI" w:cs="Segoe UI"/>
          <w:i/>
          <w:iCs/>
          <w:szCs w:val="24"/>
          <w:lang w:eastAsia="es-CO"/>
        </w:rPr>
        <w:t>ingreso de bingos</w:t>
      </w:r>
      <w:r w:rsidRPr="004A4ED1">
        <w:rPr>
          <w:rFonts w:ascii="Segoe UI" w:eastAsia="Times New Roman" w:hAnsi="Segoe UI" w:cs="Segoe UI"/>
          <w:szCs w:val="24"/>
          <w:lang w:eastAsia="es-CO"/>
        </w:rPr>
        <w:t>» y $6.370.976.000 de «</w:t>
      </w:r>
      <w:r w:rsidRPr="004A4ED1">
        <w:rPr>
          <w:rFonts w:ascii="Segoe UI" w:eastAsia="Times New Roman" w:hAnsi="Segoe UI" w:cs="Segoe UI"/>
          <w:i/>
          <w:iCs/>
          <w:szCs w:val="24"/>
          <w:lang w:eastAsia="es-CO"/>
        </w:rPr>
        <w:t>ingreso de casinos</w:t>
      </w:r>
      <w:r w:rsidRPr="004A4ED1">
        <w:rPr>
          <w:rFonts w:ascii="Segoe UI" w:eastAsia="Times New Roman" w:hAnsi="Segoe UI" w:cs="Segoe UI"/>
          <w:szCs w:val="24"/>
          <w:lang w:eastAsia="es-CO"/>
        </w:rPr>
        <w:t>» (</w:t>
      </w:r>
      <w:proofErr w:type="spellStart"/>
      <w:r w:rsidRPr="004A4ED1">
        <w:rPr>
          <w:rFonts w:ascii="Segoe UI" w:eastAsia="Times New Roman" w:hAnsi="Segoe UI" w:cs="Segoe UI"/>
          <w:szCs w:val="24"/>
          <w:lang w:eastAsia="es-CO"/>
        </w:rPr>
        <w:t>ff</w:t>
      </w:r>
      <w:proofErr w:type="spellEnd"/>
      <w:r w:rsidRPr="004A4ED1">
        <w:rPr>
          <w:rFonts w:ascii="Segoe UI" w:eastAsia="Times New Roman" w:hAnsi="Segoe UI" w:cs="Segoe UI"/>
          <w:szCs w:val="24"/>
          <w:lang w:eastAsia="es-CO"/>
        </w:rPr>
        <w:t xml:space="preserve">. 62 y 83 </w:t>
      </w:r>
      <w:proofErr w:type="spellStart"/>
      <w:r w:rsidRPr="004A4ED1">
        <w:rPr>
          <w:rFonts w:ascii="Segoe UI" w:eastAsia="Times New Roman" w:hAnsi="Segoe UI" w:cs="Segoe UI"/>
          <w:szCs w:val="24"/>
          <w:lang w:eastAsia="es-CO"/>
        </w:rPr>
        <w:t>caa</w:t>
      </w:r>
      <w:proofErr w:type="spellEnd"/>
      <w:r w:rsidRPr="004A4ED1">
        <w:rPr>
          <w:rFonts w:ascii="Segoe UI" w:eastAsia="Times New Roman" w:hAnsi="Segoe UI" w:cs="Segoe UI"/>
          <w:szCs w:val="24"/>
          <w:lang w:eastAsia="es-CO"/>
        </w:rPr>
        <w:t>). El mismo estado financiero enseña que los gastos operacionales de administración de la actora ascendieron a $37.374.352.000 y la nota nro. 21 revela que, de esa suma, $3.430.582.000 corresponden a la «</w:t>
      </w:r>
      <w:r w:rsidRPr="004A4ED1">
        <w:rPr>
          <w:rFonts w:ascii="Segoe UI" w:eastAsia="Times New Roman" w:hAnsi="Segoe UI" w:cs="Segoe UI"/>
          <w:i/>
          <w:iCs/>
          <w:szCs w:val="24"/>
          <w:lang w:eastAsia="es-CO"/>
        </w:rPr>
        <w:t>liquidación de cuentas en participación de acuerdo con contrato suscrito</w:t>
      </w:r>
      <w:r w:rsidRPr="004A4ED1">
        <w:rPr>
          <w:rFonts w:ascii="Segoe UI" w:eastAsia="Times New Roman" w:hAnsi="Segoe UI" w:cs="Segoe UI"/>
          <w:szCs w:val="24"/>
          <w:lang w:eastAsia="es-CO"/>
        </w:rPr>
        <w:t>…</w:t>
      </w:r>
      <w:r w:rsidRPr="004A4ED1">
        <w:rPr>
          <w:rFonts w:ascii="Segoe UI" w:eastAsia="Times New Roman" w:hAnsi="Segoe UI" w:cs="Segoe UI"/>
          <w:i/>
          <w:iCs/>
          <w:szCs w:val="24"/>
          <w:lang w:eastAsia="es-CO"/>
        </w:rPr>
        <w:t>el 19 de mayo de 2011</w:t>
      </w:r>
      <w:r w:rsidRPr="004A4ED1">
        <w:rPr>
          <w:rFonts w:ascii="Segoe UI" w:eastAsia="Times New Roman" w:hAnsi="Segoe UI" w:cs="Segoe UI"/>
          <w:szCs w:val="24"/>
          <w:lang w:eastAsia="es-CO"/>
        </w:rPr>
        <w:t>» (</w:t>
      </w:r>
      <w:proofErr w:type="spellStart"/>
      <w:r w:rsidRPr="004A4ED1">
        <w:rPr>
          <w:rFonts w:ascii="Segoe UI" w:eastAsia="Times New Roman" w:hAnsi="Segoe UI" w:cs="Segoe UI"/>
          <w:szCs w:val="24"/>
          <w:lang w:eastAsia="es-CO"/>
        </w:rPr>
        <w:t>ff</w:t>
      </w:r>
      <w:proofErr w:type="spellEnd"/>
      <w:r w:rsidRPr="004A4ED1">
        <w:rPr>
          <w:rFonts w:ascii="Segoe UI" w:eastAsia="Times New Roman" w:hAnsi="Segoe UI" w:cs="Segoe UI"/>
          <w:szCs w:val="24"/>
          <w:lang w:eastAsia="es-CO"/>
        </w:rPr>
        <w:t xml:space="preserve">. 62 y 84 </w:t>
      </w:r>
      <w:proofErr w:type="spellStart"/>
      <w:r w:rsidRPr="004A4ED1">
        <w:rPr>
          <w:rFonts w:ascii="Segoe UI" w:eastAsia="Times New Roman" w:hAnsi="Segoe UI" w:cs="Segoe UI"/>
          <w:szCs w:val="24"/>
          <w:lang w:eastAsia="es-CO"/>
        </w:rPr>
        <w:t>caa</w:t>
      </w:r>
      <w:proofErr w:type="spellEnd"/>
      <w:r w:rsidRPr="004A4ED1">
        <w:rPr>
          <w:rFonts w:ascii="Segoe UI" w:eastAsia="Times New Roman" w:hAnsi="Segoe UI" w:cs="Segoe UI"/>
          <w:szCs w:val="24"/>
          <w:lang w:eastAsia="es-CO"/>
        </w:rPr>
        <w:t>).</w:t>
      </w:r>
    </w:p>
    <w:p w14:paraId="22D857CD"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color w:val="000000"/>
          <w:szCs w:val="24"/>
          <w:lang w:eastAsia="es-CO"/>
        </w:rPr>
        <w:t> </w:t>
      </w:r>
    </w:p>
    <w:p w14:paraId="60AD1495"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color w:val="000000"/>
          <w:szCs w:val="24"/>
          <w:lang w:eastAsia="es-CO"/>
        </w:rPr>
        <w:t>(b) El auxiliar de la «</w:t>
      </w:r>
      <w:r w:rsidRPr="004A4ED1">
        <w:rPr>
          <w:rFonts w:ascii="Segoe UI" w:eastAsia="Times New Roman" w:hAnsi="Segoe UI" w:cs="Segoe UI"/>
          <w:i/>
          <w:iCs/>
          <w:color w:val="000000"/>
          <w:szCs w:val="24"/>
          <w:lang w:eastAsia="es-CO"/>
        </w:rPr>
        <w:t>cuenta mayor otros gastos 629082</w:t>
      </w:r>
      <w:r w:rsidRPr="004A4ED1">
        <w:rPr>
          <w:rFonts w:ascii="Segoe UI" w:eastAsia="Times New Roman" w:hAnsi="Segoe UI" w:cs="Segoe UI"/>
          <w:color w:val="000000"/>
          <w:szCs w:val="24"/>
          <w:lang w:eastAsia="es-CO"/>
        </w:rPr>
        <w:t>» registra una expensa de $2.580.582.000 por «</w:t>
      </w:r>
      <w:r w:rsidRPr="004A4ED1">
        <w:rPr>
          <w:rFonts w:ascii="Segoe UI" w:eastAsia="Times New Roman" w:hAnsi="Segoe UI" w:cs="Segoe UI"/>
          <w:i/>
          <w:iCs/>
          <w:color w:val="000000"/>
          <w:szCs w:val="24"/>
          <w:lang w:eastAsia="es-CO"/>
        </w:rPr>
        <w:t>liquidación cuentas en participación BGCO-CCOL a 30 septiembre</w:t>
      </w:r>
      <w:r w:rsidRPr="004A4ED1">
        <w:rPr>
          <w:rFonts w:ascii="Segoe UI" w:eastAsia="Times New Roman" w:hAnsi="Segoe UI" w:cs="Segoe UI"/>
          <w:color w:val="000000"/>
          <w:szCs w:val="24"/>
          <w:lang w:eastAsia="es-CO"/>
        </w:rPr>
        <w:t>» y otra de $850.000.000 por «</w:t>
      </w:r>
      <w:r w:rsidRPr="004A4ED1">
        <w:rPr>
          <w:rFonts w:ascii="Segoe UI" w:eastAsia="Times New Roman" w:hAnsi="Segoe UI" w:cs="Segoe UI"/>
          <w:i/>
          <w:iCs/>
          <w:color w:val="000000"/>
          <w:szCs w:val="24"/>
          <w:lang w:eastAsia="es-CO"/>
        </w:rPr>
        <w:t>liquidación cuentas en participación BGCO-CCOL a 30 diciembre</w:t>
      </w:r>
      <w:r w:rsidRPr="004A4ED1">
        <w:rPr>
          <w:rFonts w:ascii="Segoe UI" w:eastAsia="Times New Roman" w:hAnsi="Segoe UI" w:cs="Segoe UI"/>
          <w:color w:val="000000"/>
          <w:szCs w:val="24"/>
          <w:lang w:eastAsia="es-CO"/>
        </w:rPr>
        <w:t xml:space="preserve">» (f. 423 </w:t>
      </w:r>
      <w:proofErr w:type="spellStart"/>
      <w:r w:rsidRPr="004A4ED1">
        <w:rPr>
          <w:rFonts w:ascii="Segoe UI" w:eastAsia="Times New Roman" w:hAnsi="Segoe UI" w:cs="Segoe UI"/>
          <w:color w:val="000000"/>
          <w:szCs w:val="24"/>
          <w:lang w:eastAsia="es-CO"/>
        </w:rPr>
        <w:t>caa</w:t>
      </w:r>
      <w:proofErr w:type="spellEnd"/>
      <w:r w:rsidRPr="004A4ED1">
        <w:rPr>
          <w:rFonts w:ascii="Segoe UI" w:eastAsia="Times New Roman" w:hAnsi="Segoe UI" w:cs="Segoe UI"/>
          <w:color w:val="000000"/>
          <w:szCs w:val="24"/>
          <w:lang w:eastAsia="es-CO"/>
        </w:rPr>
        <w:t>).</w:t>
      </w:r>
    </w:p>
    <w:p w14:paraId="6AFB9269"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502CB0C4"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(c) En la cuenta contable nro. 2310 (cuentas por pagar a casa matriz) acreditó $2.490.262.000 por concepto de «</w:t>
      </w:r>
      <w:r w:rsidRPr="004A4ED1">
        <w:rPr>
          <w:rFonts w:ascii="Segoe UI" w:eastAsia="Times New Roman" w:hAnsi="Segoe UI" w:cs="Segoe UI"/>
          <w:i/>
          <w:iCs/>
          <w:szCs w:val="24"/>
          <w:lang w:eastAsia="es-CO"/>
        </w:rPr>
        <w:t>liquidación cuentas en participación BGCO- CCOL a 30 septiembre</w:t>
      </w:r>
      <w:r w:rsidRPr="004A4ED1">
        <w:rPr>
          <w:rFonts w:ascii="Segoe UI" w:eastAsia="Times New Roman" w:hAnsi="Segoe UI" w:cs="Segoe UI"/>
          <w:szCs w:val="24"/>
          <w:lang w:eastAsia="es-CO"/>
        </w:rPr>
        <w:t>»</w:t>
      </w:r>
      <w:r w:rsidRPr="004A4ED1">
        <w:rPr>
          <w:rFonts w:ascii="Segoe UI" w:eastAsia="Times New Roman" w:hAnsi="Segoe UI" w:cs="Segoe UI"/>
          <w:i/>
          <w:iCs/>
          <w:szCs w:val="24"/>
          <w:lang w:eastAsia="es-CO"/>
        </w:rPr>
        <w:t>; </w:t>
      </w:r>
      <w:r w:rsidRPr="004A4ED1">
        <w:rPr>
          <w:rFonts w:ascii="Segoe UI" w:eastAsia="Times New Roman" w:hAnsi="Segoe UI" w:cs="Segoe UI"/>
          <w:szCs w:val="24"/>
          <w:lang w:eastAsia="es-CO"/>
        </w:rPr>
        <w:t xml:space="preserve">y $90.320.000 en la cuenta nro. 6290 (pasivo retención en la fuente). Esas anotaciones tuvieron una contrapartida en las cuentas del gasto por valor de $2.580.582.000 (f. 426 </w:t>
      </w:r>
      <w:proofErr w:type="spellStart"/>
      <w:r w:rsidRPr="004A4ED1">
        <w:rPr>
          <w:rFonts w:ascii="Segoe UI" w:eastAsia="Times New Roman" w:hAnsi="Segoe UI" w:cs="Segoe UI"/>
          <w:szCs w:val="24"/>
          <w:lang w:eastAsia="es-CO"/>
        </w:rPr>
        <w:t>caa</w:t>
      </w:r>
      <w:proofErr w:type="spellEnd"/>
      <w:r w:rsidRPr="004A4ED1">
        <w:rPr>
          <w:rFonts w:ascii="Segoe UI" w:eastAsia="Times New Roman" w:hAnsi="Segoe UI" w:cs="Segoe UI"/>
          <w:szCs w:val="24"/>
          <w:lang w:eastAsia="es-CO"/>
        </w:rPr>
        <w:t>).</w:t>
      </w:r>
    </w:p>
    <w:p w14:paraId="5D863B53"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019EBD1E"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(d) En la cuenta contable nro. 2310 (cuentas por pagar a casa matriz) acreditó $820.250.000 por concepto de «</w:t>
      </w:r>
      <w:r w:rsidRPr="004A4ED1">
        <w:rPr>
          <w:rFonts w:ascii="Segoe UI" w:eastAsia="Times New Roman" w:hAnsi="Segoe UI" w:cs="Segoe UI"/>
          <w:i/>
          <w:iCs/>
          <w:szCs w:val="24"/>
          <w:lang w:eastAsia="es-CO"/>
        </w:rPr>
        <w:t>liquidación cuentas en participación BGCO- CCOL a 31 diciembre</w:t>
      </w:r>
      <w:r w:rsidRPr="004A4ED1">
        <w:rPr>
          <w:rFonts w:ascii="Segoe UI" w:eastAsia="Times New Roman" w:hAnsi="Segoe UI" w:cs="Segoe UI"/>
          <w:szCs w:val="24"/>
          <w:lang w:eastAsia="es-CO"/>
        </w:rPr>
        <w:t>»</w:t>
      </w:r>
      <w:r w:rsidRPr="004A4ED1">
        <w:rPr>
          <w:rFonts w:ascii="Segoe UI" w:eastAsia="Times New Roman" w:hAnsi="Segoe UI" w:cs="Segoe UI"/>
          <w:i/>
          <w:iCs/>
          <w:szCs w:val="24"/>
          <w:lang w:eastAsia="es-CO"/>
        </w:rPr>
        <w:t>; </w:t>
      </w:r>
      <w:r w:rsidRPr="004A4ED1">
        <w:rPr>
          <w:rFonts w:ascii="Segoe UI" w:eastAsia="Times New Roman" w:hAnsi="Segoe UI" w:cs="Segoe UI"/>
          <w:szCs w:val="24"/>
          <w:lang w:eastAsia="es-CO"/>
        </w:rPr>
        <w:t xml:space="preserve">y $29.750.000 en la cuenta nro. 2365 (pasivo retención en la fuente). Esas anotaciones tuvieron una contrapartida en las cuentas del gasto por valor de $850.000.000 (f. 426 </w:t>
      </w:r>
      <w:proofErr w:type="spellStart"/>
      <w:r w:rsidRPr="004A4ED1">
        <w:rPr>
          <w:rFonts w:ascii="Segoe UI" w:eastAsia="Times New Roman" w:hAnsi="Segoe UI" w:cs="Segoe UI"/>
          <w:szCs w:val="24"/>
          <w:lang w:eastAsia="es-CO"/>
        </w:rPr>
        <w:t>caa</w:t>
      </w:r>
      <w:proofErr w:type="spellEnd"/>
      <w:r w:rsidRPr="004A4ED1">
        <w:rPr>
          <w:rFonts w:ascii="Segoe UI" w:eastAsia="Times New Roman" w:hAnsi="Segoe UI" w:cs="Segoe UI"/>
          <w:szCs w:val="24"/>
          <w:lang w:eastAsia="es-CO"/>
        </w:rPr>
        <w:t>).</w:t>
      </w:r>
    </w:p>
    <w:p w14:paraId="41C9D2D5"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76AA124A"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w:t>
      </w:r>
      <w:proofErr w:type="spellStart"/>
      <w:r w:rsidRPr="004A4ED1">
        <w:rPr>
          <w:rFonts w:ascii="Segoe UI" w:eastAsia="Times New Roman" w:hAnsi="Segoe UI" w:cs="Segoe UI"/>
          <w:szCs w:val="24"/>
          <w:lang w:eastAsia="es-CO"/>
        </w:rPr>
        <w:t>iv</w:t>
      </w:r>
      <w:proofErr w:type="spellEnd"/>
      <w:r w:rsidRPr="004A4ED1">
        <w:rPr>
          <w:rFonts w:ascii="Segoe UI" w:eastAsia="Times New Roman" w:hAnsi="Segoe UI" w:cs="Segoe UI"/>
          <w:szCs w:val="24"/>
          <w:lang w:eastAsia="es-CO"/>
        </w:rPr>
        <w:t>) El 25 de junio de 2014, al responder el requerimiento especial expedido en la actuación administrativa acusada, la contribuyente aportó los siguientes documentos de la contabilidad del partícipe oculto:</w:t>
      </w:r>
    </w:p>
    <w:p w14:paraId="758C8F2D"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2C5D9993"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(a) Conciliación contable y fiscal, que se registra ingresos por $4.639.440.969 en la cuenta contable nro. 417095, denominada «</w:t>
      </w:r>
      <w:r w:rsidRPr="004A4ED1">
        <w:rPr>
          <w:rFonts w:ascii="Segoe UI" w:eastAsia="Times New Roman" w:hAnsi="Segoe UI" w:cs="Segoe UI"/>
          <w:i/>
          <w:iCs/>
          <w:szCs w:val="24"/>
          <w:lang w:eastAsia="es-CO"/>
        </w:rPr>
        <w:t>ingresos por otras actividades</w:t>
      </w:r>
      <w:r w:rsidRPr="004A4ED1">
        <w:rPr>
          <w:rFonts w:ascii="Segoe UI" w:eastAsia="Times New Roman" w:hAnsi="Segoe UI" w:cs="Segoe UI"/>
          <w:szCs w:val="24"/>
          <w:lang w:eastAsia="es-CO"/>
        </w:rPr>
        <w:t>» (</w:t>
      </w:r>
      <w:proofErr w:type="spellStart"/>
      <w:r w:rsidRPr="004A4ED1">
        <w:rPr>
          <w:rFonts w:ascii="Segoe UI" w:eastAsia="Times New Roman" w:hAnsi="Segoe UI" w:cs="Segoe UI"/>
          <w:szCs w:val="24"/>
          <w:lang w:eastAsia="es-CO"/>
        </w:rPr>
        <w:t>ff</w:t>
      </w:r>
      <w:proofErr w:type="spellEnd"/>
      <w:r w:rsidRPr="004A4ED1">
        <w:rPr>
          <w:rFonts w:ascii="Segoe UI" w:eastAsia="Times New Roman" w:hAnsi="Segoe UI" w:cs="Segoe UI"/>
          <w:szCs w:val="24"/>
          <w:lang w:eastAsia="es-CO"/>
        </w:rPr>
        <w:t>. 1565caa).</w:t>
      </w:r>
    </w:p>
    <w:p w14:paraId="1DD9695B"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38AB9071"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(b) En la cuenta nro. 4170 (ingresos por otras actividades) a crédito $2.582.000.000 por concepto de «</w:t>
      </w:r>
      <w:r w:rsidRPr="004A4ED1">
        <w:rPr>
          <w:rFonts w:ascii="Segoe UI" w:eastAsia="Times New Roman" w:hAnsi="Segoe UI" w:cs="Segoe UI"/>
          <w:i/>
          <w:iCs/>
          <w:szCs w:val="24"/>
          <w:lang w:eastAsia="es-CO"/>
        </w:rPr>
        <w:t>liquidación cuentas en participación BGCO- CCOL a 31 septiembre</w:t>
      </w:r>
      <w:r w:rsidRPr="004A4ED1">
        <w:rPr>
          <w:rFonts w:ascii="Segoe UI" w:eastAsia="Times New Roman" w:hAnsi="Segoe UI" w:cs="Segoe UI"/>
          <w:szCs w:val="24"/>
          <w:lang w:eastAsia="es-CO"/>
        </w:rPr>
        <w:t xml:space="preserve">». Esa anotación tuvo contrapartidas de $2.490.262.000 en la cuenta nro. 1320 (cuentas por cobrar a vinculados económicos) y de $90.320.000 en la cuenta 1355, anticipo de impuestos (f. 1583 </w:t>
      </w:r>
      <w:proofErr w:type="spellStart"/>
      <w:r w:rsidRPr="004A4ED1">
        <w:rPr>
          <w:rFonts w:ascii="Segoe UI" w:eastAsia="Times New Roman" w:hAnsi="Segoe UI" w:cs="Segoe UI"/>
          <w:szCs w:val="24"/>
          <w:lang w:eastAsia="es-CO"/>
        </w:rPr>
        <w:t>caa</w:t>
      </w:r>
      <w:proofErr w:type="spellEnd"/>
      <w:r w:rsidRPr="004A4ED1">
        <w:rPr>
          <w:rFonts w:ascii="Segoe UI" w:eastAsia="Times New Roman" w:hAnsi="Segoe UI" w:cs="Segoe UI"/>
          <w:szCs w:val="24"/>
          <w:lang w:eastAsia="es-CO"/>
        </w:rPr>
        <w:t>).</w:t>
      </w:r>
    </w:p>
    <w:p w14:paraId="28D1045C"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75A117EF"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(c) En la cuenta nro. 4170 (ingresos por otras actividades) a crédito $850.000.000 por concepto de «</w:t>
      </w:r>
      <w:r w:rsidRPr="004A4ED1">
        <w:rPr>
          <w:rFonts w:ascii="Segoe UI" w:eastAsia="Times New Roman" w:hAnsi="Segoe UI" w:cs="Segoe UI"/>
          <w:i/>
          <w:iCs/>
          <w:szCs w:val="24"/>
          <w:lang w:eastAsia="es-CO"/>
        </w:rPr>
        <w:t>liquidación cuentas en participación BGCO- CCOL a 31 diciembre</w:t>
      </w:r>
      <w:r w:rsidRPr="004A4ED1">
        <w:rPr>
          <w:rFonts w:ascii="Segoe UI" w:eastAsia="Times New Roman" w:hAnsi="Segoe UI" w:cs="Segoe UI"/>
          <w:szCs w:val="24"/>
          <w:lang w:eastAsia="es-CO"/>
        </w:rPr>
        <w:t xml:space="preserve">». Esa anotación tuvo contrapartidas de $825.250.000 en la cuenta nro. 1320 (cuentas por cobrar a vinculados económicos) y de $29.750.000 en la cuenta 1355, anticipo de impuestos (f. 1581 </w:t>
      </w:r>
      <w:proofErr w:type="spellStart"/>
      <w:r w:rsidRPr="004A4ED1">
        <w:rPr>
          <w:rFonts w:ascii="Segoe UI" w:eastAsia="Times New Roman" w:hAnsi="Segoe UI" w:cs="Segoe UI"/>
          <w:szCs w:val="24"/>
          <w:lang w:eastAsia="es-CO"/>
        </w:rPr>
        <w:t>caa</w:t>
      </w:r>
      <w:proofErr w:type="spellEnd"/>
      <w:r w:rsidRPr="004A4ED1">
        <w:rPr>
          <w:rFonts w:ascii="Segoe UI" w:eastAsia="Times New Roman" w:hAnsi="Segoe UI" w:cs="Segoe UI"/>
          <w:szCs w:val="24"/>
          <w:lang w:eastAsia="es-CO"/>
        </w:rPr>
        <w:t>).</w:t>
      </w:r>
    </w:p>
    <w:p w14:paraId="402015D9"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29F30092"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xml:space="preserve">(v) Con ocasión del recurso de reconsideración que formuló en contra de la liquidación oficial acusada, la demandante allegó un certificado expedido por el revisor fiscal del </w:t>
      </w:r>
      <w:r w:rsidRPr="004A4ED1">
        <w:rPr>
          <w:rFonts w:ascii="Segoe UI" w:eastAsia="Times New Roman" w:hAnsi="Segoe UI" w:cs="Segoe UI"/>
          <w:szCs w:val="24"/>
          <w:lang w:eastAsia="es-CO"/>
        </w:rPr>
        <w:lastRenderedPageBreak/>
        <w:t>partícipe inactivo que indica que este «</w:t>
      </w:r>
      <w:r w:rsidRPr="004A4ED1">
        <w:rPr>
          <w:rFonts w:ascii="Segoe UI" w:eastAsia="Times New Roman" w:hAnsi="Segoe UI" w:cs="Segoe UI"/>
          <w:i/>
          <w:iCs/>
          <w:szCs w:val="24"/>
          <w:lang w:eastAsia="es-CO"/>
        </w:rPr>
        <w:t>registró ingresos por concepto de otras ventas – otras compañías, del tercero Bingos Codere S.A. por valor total de $3.430.582.000, por concepto de cuentas en participación</w:t>
      </w:r>
      <w:r w:rsidRPr="004A4ED1">
        <w:rPr>
          <w:rFonts w:ascii="Segoe UI" w:eastAsia="Times New Roman" w:hAnsi="Segoe UI" w:cs="Segoe UI"/>
          <w:szCs w:val="24"/>
          <w:lang w:eastAsia="es-CO"/>
        </w:rPr>
        <w:t>…</w:t>
      </w:r>
      <w:r w:rsidRPr="004A4ED1">
        <w:rPr>
          <w:rFonts w:ascii="Segoe UI" w:eastAsia="Times New Roman" w:hAnsi="Segoe UI" w:cs="Segoe UI"/>
          <w:i/>
          <w:iCs/>
          <w:szCs w:val="24"/>
          <w:lang w:eastAsia="es-CO"/>
        </w:rPr>
        <w:t>en el renglón Ingresos Brutos 42 </w:t>
      </w:r>
      <w:r w:rsidRPr="004A4ED1">
        <w:rPr>
          <w:rFonts w:ascii="Segoe UI" w:eastAsia="Times New Roman" w:hAnsi="Segoe UI" w:cs="Segoe UI"/>
          <w:szCs w:val="24"/>
          <w:lang w:eastAsia="es-CO"/>
        </w:rPr>
        <w:t>[de la declaración del impuesto sobre la renta correspondiente al 2012] </w:t>
      </w:r>
      <w:r w:rsidRPr="004A4ED1">
        <w:rPr>
          <w:rFonts w:ascii="Segoe UI" w:eastAsia="Times New Roman" w:hAnsi="Segoe UI" w:cs="Segoe UI"/>
          <w:i/>
          <w:iCs/>
          <w:szCs w:val="24"/>
          <w:lang w:eastAsia="es-CO"/>
        </w:rPr>
        <w:t>fue incluido el valor de los ingresos por cuentas en participación indicados en el párrafo anterior</w:t>
      </w:r>
      <w:r w:rsidRPr="004A4ED1">
        <w:rPr>
          <w:rFonts w:ascii="Segoe UI" w:eastAsia="Times New Roman" w:hAnsi="Segoe UI" w:cs="Segoe UI"/>
          <w:szCs w:val="24"/>
          <w:lang w:eastAsia="es-CO"/>
        </w:rPr>
        <w:t xml:space="preserve">» (f. 1704 </w:t>
      </w:r>
      <w:proofErr w:type="spellStart"/>
      <w:r w:rsidRPr="004A4ED1">
        <w:rPr>
          <w:rFonts w:ascii="Segoe UI" w:eastAsia="Times New Roman" w:hAnsi="Segoe UI" w:cs="Segoe UI"/>
          <w:szCs w:val="24"/>
          <w:lang w:eastAsia="es-CO"/>
        </w:rPr>
        <w:t>caa</w:t>
      </w:r>
      <w:proofErr w:type="spellEnd"/>
      <w:r w:rsidRPr="004A4ED1">
        <w:rPr>
          <w:rFonts w:ascii="Segoe UI" w:eastAsia="Times New Roman" w:hAnsi="Segoe UI" w:cs="Segoe UI"/>
          <w:szCs w:val="24"/>
          <w:lang w:eastAsia="es-CO"/>
        </w:rPr>
        <w:t>).</w:t>
      </w:r>
    </w:p>
    <w:p w14:paraId="6A69B99A"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75023D9B"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xml:space="preserve">(vi) La demandante no registró en cuentas de orden las operaciones derivadas del contrato en mención (f. 86 </w:t>
      </w:r>
      <w:proofErr w:type="spellStart"/>
      <w:r w:rsidRPr="004A4ED1">
        <w:rPr>
          <w:rFonts w:ascii="Segoe UI" w:eastAsia="Times New Roman" w:hAnsi="Segoe UI" w:cs="Segoe UI"/>
          <w:szCs w:val="24"/>
          <w:lang w:eastAsia="es-CO"/>
        </w:rPr>
        <w:t>caa</w:t>
      </w:r>
      <w:proofErr w:type="spellEnd"/>
      <w:r w:rsidRPr="004A4ED1">
        <w:rPr>
          <w:rFonts w:ascii="Segoe UI" w:eastAsia="Times New Roman" w:hAnsi="Segoe UI" w:cs="Segoe UI"/>
          <w:szCs w:val="24"/>
          <w:lang w:eastAsia="es-CO"/>
        </w:rPr>
        <w:t>).</w:t>
      </w:r>
    </w:p>
    <w:p w14:paraId="72025C64"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color w:val="000000"/>
          <w:szCs w:val="24"/>
          <w:lang w:eastAsia="es-CO"/>
        </w:rPr>
        <w:t> </w:t>
      </w:r>
    </w:p>
    <w:p w14:paraId="5F9F568C"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color w:val="000000"/>
          <w:szCs w:val="24"/>
          <w:lang w:eastAsia="es-CO"/>
        </w:rPr>
        <w:t>3.4- De ese recuento fáctico, la Sala extrae que durante el año revisado la actora fue partícipe gestora en un contrato de cuentas en participación que tenía por objeto explotar económicamente instrumentos de juego, suerte y azar. El partícipe inactivo tenía una participación del 57%, mientras que el restante le correspondió a la demandante. Como consecuencia de la ejecución de ese negocio, el 30 de septiembre y el 31 de diciembre de 2012, las partes negociales suscribieron sendos documentos de liquidación de cuentas, que evidencian que la participación dejó utilidades de $4.527.336.000, entre enero y septiembre del 2012 y de $1.491.228.070, entre octubre y diciembre del mismo año. De conformidad con la participación acordada, $2.587.982.550 eran del partícipe gestor y $3.430.582.000 de su contraparte contractual. Con fundamento en lo anterior, la actora pagó al partícipe oculto las utilidades que le correspondieron y registró ese pago como una deducción en el impuesto debatido. Ahora, aunque la demandante no contabilizó las operaciones derivadas del acuerdo en cuentas de orden -como ordenaba la técnica contable vigente para la época de los hechos-, sus estados financieros, los auxiliares de cuentas contables que aportó, las actas de liquidación de cuentas, la contabilidad del partícipe oculto y el certificado del revisor fiscal de este dan cuenta de que la erogación en disputa correspondió efectivamente a la utilidad de su contraparte contractual en el acuerdo de colaboración empresarial ejecutado durante el año objeto de revisión. Por consiguiente, a la luz del material probatorio obrante en el expediente, encuentra la Sala que la demandante sí demostró que la expensa correspondía a la remuneración del participe oculto en un contrato de cuentas en participación, por lo que procede su deducción. En definitiva, la Sala avala la deducción en disputa y prospera el cargo de apelación.</w:t>
      </w:r>
    </w:p>
    <w:p w14:paraId="7EC81A30"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5DA1A1C4"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4- En el debate sobre la procedencia de los gastos por recreación y deporte declarados por la contribuyente en cuantía de $304.306.000, expone la demandante, y apelante única, que esas erogaciones se incurrieron en desarrollo de mandatos de la legislación laboral y repercuten directamente en el bienestar de sus empleados, lo que, a su vez, tiene efectos positivos en la ejecución de su actividad empresarial, por lo que defiende su deducibilidad. Su contraparte en cambio sostiene de manera general, y así lo avaló el tribunal, que ese tipo de expensas no son forzosas desde el punto de vista legal, empresarial o mercantil, y que no guardan relación con la actividad productiva del obligado tributario; a lo cual agrega que, aunque pueden mejorar el ambiente laboral, esa característica o no las hace deducibles, pues no están relacionadas con el objeto social de la entidad, de modo que no son deducibles en los términos del </w:t>
      </w:r>
      <w:hyperlink r:id="rId17" w:tooltip="Estatuto Tributario CETA" w:history="1">
        <w:r w:rsidRPr="004A4ED1">
          <w:rPr>
            <w:rFonts w:ascii="Segoe UI" w:eastAsia="Times New Roman" w:hAnsi="Segoe UI" w:cs="Segoe UI"/>
            <w:color w:val="0089E1"/>
            <w:szCs w:val="24"/>
            <w:u w:val="single"/>
            <w:lang w:eastAsia="es-CO"/>
          </w:rPr>
          <w:t>artículo 107</w:t>
        </w:r>
      </w:hyperlink>
      <w:r w:rsidRPr="004A4ED1">
        <w:rPr>
          <w:rFonts w:ascii="Segoe UI" w:eastAsia="Times New Roman" w:hAnsi="Segoe UI" w:cs="Segoe UI"/>
          <w:szCs w:val="24"/>
          <w:lang w:eastAsia="es-CO"/>
        </w:rPr>
        <w:t> del ET.</w:t>
      </w:r>
    </w:p>
    <w:p w14:paraId="1CC7BFA3"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360F851D"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Consecuentemente, el objeto de la presente controversia y, de suyo, la decisión que compete a la Sala se concreta en determinar si está probado que las expensas incurridas por la demandante satisficieron las exigencias de causalidad y necesidad que demanda el mencionado </w:t>
      </w:r>
      <w:hyperlink r:id="rId18" w:tooltip="Estatuto Tributario CETA" w:history="1">
        <w:r w:rsidRPr="004A4ED1">
          <w:rPr>
            <w:rFonts w:ascii="Segoe UI" w:eastAsia="Times New Roman" w:hAnsi="Segoe UI" w:cs="Segoe UI"/>
            <w:color w:val="0089E1"/>
            <w:szCs w:val="24"/>
            <w:u w:val="single"/>
            <w:lang w:eastAsia="es-CO"/>
          </w:rPr>
          <w:t>artículo 107</w:t>
        </w:r>
      </w:hyperlink>
      <w:r w:rsidRPr="004A4ED1">
        <w:rPr>
          <w:rFonts w:ascii="Segoe UI" w:eastAsia="Times New Roman" w:hAnsi="Segoe UI" w:cs="Segoe UI"/>
          <w:szCs w:val="24"/>
          <w:lang w:eastAsia="es-CO"/>
        </w:rPr>
        <w:t>.</w:t>
      </w:r>
    </w:p>
    <w:p w14:paraId="0C728C85"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color w:val="000000"/>
          <w:szCs w:val="24"/>
          <w:lang w:eastAsia="es-CO"/>
        </w:rPr>
        <w:t> </w:t>
      </w:r>
    </w:p>
    <w:p w14:paraId="21857BC5"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color w:val="000000"/>
          <w:szCs w:val="24"/>
          <w:lang w:eastAsia="es-CO"/>
        </w:rPr>
        <w:lastRenderedPageBreak/>
        <w:t>4.1- Aunque en litigios previos, con supuestos fácticos similares a los discutidos en el </w:t>
      </w:r>
      <w:proofErr w:type="gramStart"/>
      <w:r w:rsidRPr="004A4ED1">
        <w:rPr>
          <w:rFonts w:ascii="Segoe UI" w:eastAsia="Times New Roman" w:hAnsi="Segoe UI" w:cs="Segoe UI"/>
          <w:i/>
          <w:iCs/>
          <w:color w:val="000000"/>
          <w:szCs w:val="24"/>
          <w:lang w:eastAsia="es-CO"/>
        </w:rPr>
        <w:t>sub lite</w:t>
      </w:r>
      <w:proofErr w:type="gramEnd"/>
      <w:r w:rsidRPr="004A4ED1">
        <w:rPr>
          <w:rFonts w:ascii="Segoe UI" w:eastAsia="Times New Roman" w:hAnsi="Segoe UI" w:cs="Segoe UI"/>
          <w:color w:val="000000"/>
          <w:szCs w:val="24"/>
          <w:lang w:eastAsia="es-CO"/>
        </w:rPr>
        <w:t xml:space="preserve">, esta Sección consideró que no eran deducibles los gastos para la recreación y deporte de los empleados del contribuyente (sentencia del 12 de marzo de 2012, </w:t>
      </w:r>
      <w:proofErr w:type="spellStart"/>
      <w:r w:rsidRPr="004A4ED1">
        <w:rPr>
          <w:rFonts w:ascii="Segoe UI" w:eastAsia="Times New Roman" w:hAnsi="Segoe UI" w:cs="Segoe UI"/>
          <w:color w:val="000000"/>
          <w:szCs w:val="24"/>
          <w:lang w:eastAsia="es-CO"/>
        </w:rPr>
        <w:t>exp</w:t>
      </w:r>
      <w:proofErr w:type="spellEnd"/>
      <w:r w:rsidRPr="004A4ED1">
        <w:rPr>
          <w:rFonts w:ascii="Segoe UI" w:eastAsia="Times New Roman" w:hAnsi="Segoe UI" w:cs="Segoe UI"/>
          <w:color w:val="000000"/>
          <w:szCs w:val="24"/>
          <w:lang w:eastAsia="es-CO"/>
        </w:rPr>
        <w:t>. 18172, CP: Carmen Teresa Ortiz de Rodríguez), en esta ocasión el juicio de la Sala debe atender las reglas de unificación jurisprudencial sobre la deducibilidad de expensas que fijó esta Sección en la sentencia de unificación nro. 2020CE-SUJ-4-005, del 26 de noviembre de 2020 (</w:t>
      </w:r>
      <w:proofErr w:type="spellStart"/>
      <w:r w:rsidRPr="004A4ED1">
        <w:rPr>
          <w:rFonts w:ascii="Segoe UI" w:eastAsia="Times New Roman" w:hAnsi="Segoe UI" w:cs="Segoe UI"/>
          <w:color w:val="000000"/>
          <w:szCs w:val="24"/>
          <w:lang w:eastAsia="es-CO"/>
        </w:rPr>
        <w:t>exp</w:t>
      </w:r>
      <w:proofErr w:type="spellEnd"/>
      <w:r w:rsidRPr="004A4ED1">
        <w:rPr>
          <w:rFonts w:ascii="Segoe UI" w:eastAsia="Times New Roman" w:hAnsi="Segoe UI" w:cs="Segoe UI"/>
          <w:color w:val="000000"/>
          <w:szCs w:val="24"/>
          <w:lang w:eastAsia="es-CO"/>
        </w:rPr>
        <w:t>. 21329, CP: Julio Roberto Piza). Según los criterios jurídicos de unificación jurisprudencial establecidos, «</w:t>
      </w:r>
      <w:r w:rsidRPr="004A4ED1">
        <w:rPr>
          <w:rFonts w:ascii="Segoe UI" w:eastAsia="Times New Roman" w:hAnsi="Segoe UI" w:cs="Segoe UI"/>
          <w:i/>
          <w:iCs/>
          <w:color w:val="000000"/>
          <w:szCs w:val="24"/>
          <w:lang w:eastAsia="es-CO"/>
        </w:rPr>
        <w:t>tienen relación de causalidad con la actividad productora de renta, todas las expensas realizadas por el contribuyente en desarrollo o ejecución de la actividad productora de renta</w:t>
      </w:r>
      <w:r w:rsidRPr="004A4ED1">
        <w:rPr>
          <w:rFonts w:ascii="Segoe UI" w:eastAsia="Times New Roman" w:hAnsi="Segoe UI" w:cs="Segoe UI"/>
          <w:color w:val="000000"/>
          <w:szCs w:val="24"/>
          <w:lang w:eastAsia="es-CO"/>
        </w:rPr>
        <w:t>», sin que «l</w:t>
      </w:r>
      <w:r w:rsidRPr="004A4ED1">
        <w:rPr>
          <w:rFonts w:ascii="Segoe UI" w:eastAsia="Times New Roman" w:hAnsi="Segoe UI" w:cs="Segoe UI"/>
          <w:i/>
          <w:iCs/>
          <w:color w:val="000000"/>
          <w:szCs w:val="24"/>
          <w:lang w:eastAsia="es-CO"/>
        </w:rPr>
        <w:t>a obtención de ingresos ni el enunciado del objeto social del sujeto pasivo</w:t>
      </w:r>
      <w:r w:rsidRPr="004A4ED1">
        <w:rPr>
          <w:rFonts w:ascii="Segoe UI" w:eastAsia="Times New Roman" w:hAnsi="Segoe UI" w:cs="Segoe UI"/>
          <w:color w:val="000000"/>
          <w:szCs w:val="24"/>
          <w:lang w:eastAsia="es-CO"/>
        </w:rPr>
        <w:t>» sean determinantes a efectos del nexo causal (regla 1.ª); y cumplen el requisito de necesidad las expensas que «</w:t>
      </w:r>
      <w:r w:rsidRPr="004A4ED1">
        <w:rPr>
          <w:rFonts w:ascii="Segoe UI" w:eastAsia="Times New Roman" w:hAnsi="Segoe UI" w:cs="Segoe UI"/>
          <w:i/>
          <w:iCs/>
          <w:color w:val="000000"/>
          <w:szCs w:val="24"/>
          <w:lang w:eastAsia="es-CO"/>
        </w:rPr>
        <w:t>realiza razonablemente un contribuyente en una situación de mercado y que, real o potencialmente, permiten desarrollar, conservar o mejorar la actividad generadora de renta</w:t>
      </w:r>
      <w:r w:rsidRPr="004A4ED1">
        <w:rPr>
          <w:rFonts w:ascii="Segoe UI" w:eastAsia="Times New Roman" w:hAnsi="Segoe UI" w:cs="Segoe UI"/>
          <w:color w:val="000000"/>
          <w:szCs w:val="24"/>
          <w:lang w:eastAsia="es-CO"/>
        </w:rPr>
        <w:t>», circunstancia que puede valorarse a partir de «</w:t>
      </w:r>
      <w:r w:rsidRPr="004A4ED1">
        <w:rPr>
          <w:rFonts w:ascii="Segoe UI" w:eastAsia="Times New Roman" w:hAnsi="Segoe UI" w:cs="Segoe UI"/>
          <w:i/>
          <w:iCs/>
          <w:color w:val="000000"/>
          <w:szCs w:val="24"/>
          <w:lang w:eastAsia="es-CO"/>
        </w:rPr>
        <w:t>criterios relativos a la situación financiera del contribuyente, las condiciones del mercado donde se ejecuta la actividad lucrativa, el modelo de gestión de negocios propio del contribuyente, entre otros</w:t>
      </w:r>
      <w:r w:rsidRPr="004A4ED1">
        <w:rPr>
          <w:rFonts w:ascii="Segoe UI" w:eastAsia="Times New Roman" w:hAnsi="Segoe UI" w:cs="Segoe UI"/>
          <w:color w:val="000000"/>
          <w:szCs w:val="24"/>
          <w:lang w:eastAsia="es-CO"/>
        </w:rPr>
        <w:t>» (regla 2.ª).</w:t>
      </w:r>
    </w:p>
    <w:p w14:paraId="18EA09EA"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color w:val="000000"/>
          <w:szCs w:val="24"/>
          <w:lang w:eastAsia="es-CO"/>
        </w:rPr>
        <w:t> </w:t>
      </w:r>
    </w:p>
    <w:p w14:paraId="658B0536"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color w:val="000000"/>
          <w:szCs w:val="24"/>
          <w:lang w:eastAsia="es-CO"/>
        </w:rPr>
        <w:t>Ahora, sobre la prueba del cumplimiento de esos requisitos en casos concretos, la regla 4.ª de unificación </w:t>
      </w:r>
      <w:proofErr w:type="spellStart"/>
      <w:r w:rsidRPr="004A4ED1">
        <w:rPr>
          <w:rFonts w:ascii="Segoe UI" w:eastAsia="Times New Roman" w:hAnsi="Segoe UI" w:cs="Segoe UI"/>
          <w:i/>
          <w:iCs/>
          <w:color w:val="000000"/>
          <w:szCs w:val="24"/>
          <w:lang w:eastAsia="es-CO"/>
        </w:rPr>
        <w:t>ejusdem</w:t>
      </w:r>
      <w:proofErr w:type="spellEnd"/>
      <w:r w:rsidRPr="004A4ED1">
        <w:rPr>
          <w:rFonts w:ascii="Segoe UI" w:eastAsia="Times New Roman" w:hAnsi="Segoe UI" w:cs="Segoe UI"/>
          <w:i/>
          <w:iCs/>
          <w:color w:val="000000"/>
          <w:szCs w:val="24"/>
          <w:lang w:eastAsia="es-CO"/>
        </w:rPr>
        <w:t> </w:t>
      </w:r>
      <w:r w:rsidRPr="004A4ED1">
        <w:rPr>
          <w:rFonts w:ascii="Segoe UI" w:eastAsia="Times New Roman" w:hAnsi="Segoe UI" w:cs="Segoe UI"/>
          <w:color w:val="000000"/>
          <w:szCs w:val="24"/>
          <w:lang w:eastAsia="es-CO"/>
        </w:rPr>
        <w:t>determina que:</w:t>
      </w:r>
    </w:p>
    <w:p w14:paraId="2153D318"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27D5F778"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Los contribuyentes tienen la carga de poner en conocimiento de las autoridades administrativas y judiciales las circunstancias fácticas y de mercado, demostraciones y carga argumentativa, conforme a las cuales una determinada expensa guarda relación causal con su actividad productora de renta, es necesaria y proporcional con un criterio comercial y tomando en consideración lo acostumbrado en la concreta actividad productora de renta.</w:t>
      </w:r>
    </w:p>
    <w:p w14:paraId="56836F77"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0B57FCE7"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En la sentencia de unificación esta judicatura juzgó que la mayor concreción del cuestionamiento de la autoridad tributaria, frente a la aplicación y alcance de los requisitos del </w:t>
      </w:r>
      <w:hyperlink r:id="rId19" w:tooltip="Estatuto Tributario CETA" w:history="1">
        <w:r w:rsidRPr="004A4ED1">
          <w:rPr>
            <w:rFonts w:ascii="Segoe UI" w:eastAsia="Times New Roman" w:hAnsi="Segoe UI" w:cs="Segoe UI"/>
            <w:color w:val="0089E1"/>
            <w:szCs w:val="24"/>
            <w:u w:val="single"/>
            <w:lang w:eastAsia="es-CO"/>
          </w:rPr>
          <w:t>artículo 107</w:t>
        </w:r>
      </w:hyperlink>
      <w:r w:rsidRPr="004A4ED1">
        <w:rPr>
          <w:rFonts w:ascii="Segoe UI" w:eastAsia="Times New Roman" w:hAnsi="Segoe UI" w:cs="Segoe UI"/>
          <w:szCs w:val="24"/>
          <w:lang w:eastAsia="es-CO"/>
        </w:rPr>
        <w:t> del ET, tendrá como correlato la exigencia de un mayor despliegue probatorio y argumentativo por parte del administrado, pues ese nivel de especificidad requerirá mayor diligencia, carga explicativa y demostraciones técnicas por parte del contribuyente.</w:t>
      </w:r>
    </w:p>
    <w:p w14:paraId="498DE722"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63E8EC8D"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4.2- A fin de determinar si las expensas incurridas cumplieron los requisitos de necesidad y causalidad que fueron reprochados y motivados por la demandada, la Sala encuentra relevantes las siguientes circunstancias:</w:t>
      </w:r>
    </w:p>
    <w:p w14:paraId="79C7B7F5"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7DE930EE"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(i) Durante el año revisado, en la cuenta contable nro. 510566 (gastos de personal, deportivos y de recreación), la actora registró erogaciones por $166.669.356. En la cuenta nro. 5195 (gastos operacionales de administración diversos) contabilizó expensas en cuantía de $137.636.777 para un total de $304.306.133. Esto, por concepto de boletas de participación maratón matamoros, cumpleaños empleados, fiesta de fin de año, bienestar al personal, almuerzos y otros gastos de recreación para sus trabajadores (</w:t>
      </w:r>
      <w:proofErr w:type="spellStart"/>
      <w:r w:rsidRPr="004A4ED1">
        <w:rPr>
          <w:rFonts w:ascii="Segoe UI" w:eastAsia="Times New Roman" w:hAnsi="Segoe UI" w:cs="Segoe UI"/>
          <w:szCs w:val="24"/>
          <w:lang w:eastAsia="es-CO"/>
        </w:rPr>
        <w:t>ff</w:t>
      </w:r>
      <w:proofErr w:type="spellEnd"/>
      <w:r w:rsidRPr="004A4ED1">
        <w:rPr>
          <w:rFonts w:ascii="Segoe UI" w:eastAsia="Times New Roman" w:hAnsi="Segoe UI" w:cs="Segoe UI"/>
          <w:szCs w:val="24"/>
          <w:lang w:eastAsia="es-CO"/>
        </w:rPr>
        <w:t xml:space="preserve">. 129 a 175 y 419 a 424 </w:t>
      </w:r>
      <w:proofErr w:type="spellStart"/>
      <w:r w:rsidRPr="004A4ED1">
        <w:rPr>
          <w:rFonts w:ascii="Segoe UI" w:eastAsia="Times New Roman" w:hAnsi="Segoe UI" w:cs="Segoe UI"/>
          <w:szCs w:val="24"/>
          <w:lang w:eastAsia="es-CO"/>
        </w:rPr>
        <w:t>caa</w:t>
      </w:r>
      <w:proofErr w:type="spellEnd"/>
      <w:r w:rsidRPr="004A4ED1">
        <w:rPr>
          <w:rFonts w:ascii="Segoe UI" w:eastAsia="Times New Roman" w:hAnsi="Segoe UI" w:cs="Segoe UI"/>
          <w:szCs w:val="24"/>
          <w:lang w:eastAsia="es-CO"/>
        </w:rPr>
        <w:t>).</w:t>
      </w:r>
    </w:p>
    <w:p w14:paraId="76070F45"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07E1D12A"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w:t>
      </w:r>
      <w:proofErr w:type="spellStart"/>
      <w:r w:rsidRPr="004A4ED1">
        <w:rPr>
          <w:rFonts w:ascii="Segoe UI" w:eastAsia="Times New Roman" w:hAnsi="Segoe UI" w:cs="Segoe UI"/>
          <w:szCs w:val="24"/>
          <w:lang w:eastAsia="es-CO"/>
        </w:rPr>
        <w:t>ii</w:t>
      </w:r>
      <w:proofErr w:type="spellEnd"/>
      <w:r w:rsidRPr="004A4ED1">
        <w:rPr>
          <w:rFonts w:ascii="Segoe UI" w:eastAsia="Times New Roman" w:hAnsi="Segoe UI" w:cs="Segoe UI"/>
          <w:szCs w:val="24"/>
          <w:lang w:eastAsia="es-CO"/>
        </w:rPr>
        <w:t>) Por medio de la Liquidación Oficial de Revisión nro. 312412014000138, del 11 de diciembre de 2014 la demandada rechazó esas expensas (</w:t>
      </w:r>
      <w:proofErr w:type="spellStart"/>
      <w:r w:rsidRPr="004A4ED1">
        <w:rPr>
          <w:rFonts w:ascii="Segoe UI" w:eastAsia="Times New Roman" w:hAnsi="Segoe UI" w:cs="Segoe UI"/>
          <w:szCs w:val="24"/>
          <w:lang w:eastAsia="es-CO"/>
        </w:rPr>
        <w:t>ff</w:t>
      </w:r>
      <w:proofErr w:type="spellEnd"/>
      <w:r w:rsidRPr="004A4ED1">
        <w:rPr>
          <w:rFonts w:ascii="Segoe UI" w:eastAsia="Times New Roman" w:hAnsi="Segoe UI" w:cs="Segoe UI"/>
          <w:szCs w:val="24"/>
          <w:lang w:eastAsia="es-CO"/>
        </w:rPr>
        <w:t xml:space="preserve">. 1630 a 1653 </w:t>
      </w:r>
      <w:proofErr w:type="spellStart"/>
      <w:r w:rsidRPr="004A4ED1">
        <w:rPr>
          <w:rFonts w:ascii="Segoe UI" w:eastAsia="Times New Roman" w:hAnsi="Segoe UI" w:cs="Segoe UI"/>
          <w:szCs w:val="24"/>
          <w:lang w:eastAsia="es-CO"/>
        </w:rPr>
        <w:t>caa</w:t>
      </w:r>
      <w:proofErr w:type="spellEnd"/>
      <w:r w:rsidRPr="004A4ED1">
        <w:rPr>
          <w:rFonts w:ascii="Segoe UI" w:eastAsia="Times New Roman" w:hAnsi="Segoe UI" w:cs="Segoe UI"/>
          <w:szCs w:val="24"/>
          <w:lang w:eastAsia="es-CO"/>
        </w:rPr>
        <w:t>). Al efecto, expuso que «</w:t>
      </w:r>
      <w:r w:rsidRPr="004A4ED1">
        <w:rPr>
          <w:rFonts w:ascii="Segoe UI" w:eastAsia="Times New Roman" w:hAnsi="Segoe UI" w:cs="Segoe UI"/>
          <w:i/>
          <w:iCs/>
          <w:szCs w:val="24"/>
          <w:lang w:eastAsia="es-CO"/>
        </w:rPr>
        <w:t xml:space="preserve">los gastos solicitados como deportivos y de recreación y diversos no son </w:t>
      </w:r>
      <w:r w:rsidRPr="004A4ED1">
        <w:rPr>
          <w:rFonts w:ascii="Segoe UI" w:eastAsia="Times New Roman" w:hAnsi="Segoe UI" w:cs="Segoe UI"/>
          <w:i/>
          <w:iCs/>
          <w:szCs w:val="24"/>
          <w:lang w:eastAsia="es-CO"/>
        </w:rPr>
        <w:lastRenderedPageBreak/>
        <w:t>necesarios ni indispensables para la producción de la renta del período fiscal</w:t>
      </w:r>
      <w:r w:rsidRPr="004A4ED1">
        <w:rPr>
          <w:rFonts w:ascii="Segoe UI" w:eastAsia="Times New Roman" w:hAnsi="Segoe UI" w:cs="Segoe UI"/>
          <w:szCs w:val="24"/>
          <w:lang w:eastAsia="es-CO"/>
        </w:rPr>
        <w:t>» (</w:t>
      </w:r>
      <w:proofErr w:type="spellStart"/>
      <w:r w:rsidRPr="004A4ED1">
        <w:rPr>
          <w:rFonts w:ascii="Segoe UI" w:eastAsia="Times New Roman" w:hAnsi="Segoe UI" w:cs="Segoe UI"/>
          <w:szCs w:val="24"/>
          <w:lang w:eastAsia="es-CO"/>
        </w:rPr>
        <w:t>ff</w:t>
      </w:r>
      <w:proofErr w:type="spellEnd"/>
      <w:r w:rsidRPr="004A4ED1">
        <w:rPr>
          <w:rFonts w:ascii="Segoe UI" w:eastAsia="Times New Roman" w:hAnsi="Segoe UI" w:cs="Segoe UI"/>
          <w:szCs w:val="24"/>
          <w:lang w:eastAsia="es-CO"/>
        </w:rPr>
        <w:t xml:space="preserve">. 1640 y 1641 </w:t>
      </w:r>
      <w:proofErr w:type="spellStart"/>
      <w:r w:rsidRPr="004A4ED1">
        <w:rPr>
          <w:rFonts w:ascii="Segoe UI" w:eastAsia="Times New Roman" w:hAnsi="Segoe UI" w:cs="Segoe UI"/>
          <w:szCs w:val="24"/>
          <w:lang w:eastAsia="es-CO"/>
        </w:rPr>
        <w:t>caa</w:t>
      </w:r>
      <w:proofErr w:type="spellEnd"/>
      <w:r w:rsidRPr="004A4ED1">
        <w:rPr>
          <w:rFonts w:ascii="Segoe UI" w:eastAsia="Times New Roman" w:hAnsi="Segoe UI" w:cs="Segoe UI"/>
          <w:szCs w:val="24"/>
          <w:lang w:eastAsia="es-CO"/>
        </w:rPr>
        <w:t>).</w:t>
      </w:r>
    </w:p>
    <w:p w14:paraId="7D21FEE9"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1C3D3BDD"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w:t>
      </w:r>
      <w:proofErr w:type="spellStart"/>
      <w:r w:rsidRPr="004A4ED1">
        <w:rPr>
          <w:rFonts w:ascii="Segoe UI" w:eastAsia="Times New Roman" w:hAnsi="Segoe UI" w:cs="Segoe UI"/>
          <w:szCs w:val="24"/>
          <w:lang w:eastAsia="es-CO"/>
        </w:rPr>
        <w:t>iii</w:t>
      </w:r>
      <w:proofErr w:type="spellEnd"/>
      <w:r w:rsidRPr="004A4ED1">
        <w:rPr>
          <w:rFonts w:ascii="Segoe UI" w:eastAsia="Times New Roman" w:hAnsi="Segoe UI" w:cs="Segoe UI"/>
          <w:szCs w:val="24"/>
          <w:lang w:eastAsia="es-CO"/>
        </w:rPr>
        <w:t>) El 16 de febrero del 2015, la actora presentó recurso de reconsideración contra la antedicha liquidación oficial (</w:t>
      </w:r>
      <w:proofErr w:type="spellStart"/>
      <w:r w:rsidRPr="004A4ED1">
        <w:rPr>
          <w:rFonts w:ascii="Segoe UI" w:eastAsia="Times New Roman" w:hAnsi="Segoe UI" w:cs="Segoe UI"/>
          <w:szCs w:val="24"/>
          <w:lang w:eastAsia="es-CO"/>
        </w:rPr>
        <w:t>ff</w:t>
      </w:r>
      <w:proofErr w:type="spellEnd"/>
      <w:r w:rsidRPr="004A4ED1">
        <w:rPr>
          <w:rFonts w:ascii="Segoe UI" w:eastAsia="Times New Roman" w:hAnsi="Segoe UI" w:cs="Segoe UI"/>
          <w:szCs w:val="24"/>
          <w:lang w:eastAsia="es-CO"/>
        </w:rPr>
        <w:t xml:space="preserve">. 1658 a 1698 </w:t>
      </w:r>
      <w:proofErr w:type="spellStart"/>
      <w:r w:rsidRPr="004A4ED1">
        <w:rPr>
          <w:rFonts w:ascii="Segoe UI" w:eastAsia="Times New Roman" w:hAnsi="Segoe UI" w:cs="Segoe UI"/>
          <w:szCs w:val="24"/>
          <w:lang w:eastAsia="es-CO"/>
        </w:rPr>
        <w:t>caa</w:t>
      </w:r>
      <w:proofErr w:type="spellEnd"/>
      <w:r w:rsidRPr="004A4ED1">
        <w:rPr>
          <w:rFonts w:ascii="Segoe UI" w:eastAsia="Times New Roman" w:hAnsi="Segoe UI" w:cs="Segoe UI"/>
          <w:szCs w:val="24"/>
          <w:lang w:eastAsia="es-CO"/>
        </w:rPr>
        <w:t xml:space="preserve">). Manifestó que los gastos debatidos: encuentran su origen en dos fuentes diferentes que los hace necesarios y obligatorios para mi representada a saber: i) En las obligaciones laborales previstas en el Código Sustantivo del Trabajo y </w:t>
      </w:r>
      <w:proofErr w:type="spellStart"/>
      <w:r w:rsidRPr="004A4ED1">
        <w:rPr>
          <w:rFonts w:ascii="Segoe UI" w:eastAsia="Times New Roman" w:hAnsi="Segoe UI" w:cs="Segoe UI"/>
          <w:szCs w:val="24"/>
          <w:lang w:eastAsia="es-CO"/>
        </w:rPr>
        <w:t>ii</w:t>
      </w:r>
      <w:proofErr w:type="spellEnd"/>
      <w:r w:rsidRPr="004A4ED1">
        <w:rPr>
          <w:rFonts w:ascii="Segoe UI" w:eastAsia="Times New Roman" w:hAnsi="Segoe UI" w:cs="Segoe UI"/>
          <w:szCs w:val="24"/>
          <w:lang w:eastAsia="es-CO"/>
        </w:rPr>
        <w:t>) En las políticas de salud ocupacional a nivel nacional e internacional… El artículo 21 de la Ley 50 de 1990 establece la obligación a cargo de las compañías que tengan más de 50 trabajadores, consistente en desarrollar actividades recreativas y deportivas para los trabajadores, a su cargo. Lo anterior implica que las actividades recreativas y deportivas a cargo de BINGOS son verdaderas obligaciones laborales y son de imperativo cumplimiento por parte de la compañía…los gastos por concepto de actividades recreativas y deportivas son necesarios para Bingos en cuanto, además de ser forzosos y obligatorios …se acostumbran no solo en el giro ordinario de los negocios de Bingo, sino de todas las compañías pertenecientes a estos calidades empresariales…estos gastos no solo resultan necesarios para las labores diarias de los empleados de la Compañía, pues como se vio, se encuentra legalmente incluido en la jornada laboral, sino que se constituyen como indispensables en el momento de garantizar un adecuado ambiente laboral que permita la constante generación de trabajo, manteniendo como fin último la salud física y mental de los empleados que se enfrentan cada día a una jornada laboral de especiales características por razón de la actividad que desarrolla Bingos…El hecho de que este gasto aumente la productividad de las empresas es un hecho reconocido por la doctrina internacional…una práctica deportiva y de recreación puede suponer grandes y variados beneficios para las empresas.</w:t>
      </w:r>
    </w:p>
    <w:p w14:paraId="742E53A4"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color w:val="000000"/>
          <w:szCs w:val="24"/>
          <w:lang w:eastAsia="es-CO"/>
        </w:rPr>
        <w:t> </w:t>
      </w:r>
    </w:p>
    <w:p w14:paraId="304BA9EC"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color w:val="000000"/>
          <w:szCs w:val="24"/>
          <w:lang w:eastAsia="es-CO"/>
        </w:rPr>
        <w:t>(</w:t>
      </w:r>
      <w:proofErr w:type="spellStart"/>
      <w:r w:rsidRPr="004A4ED1">
        <w:rPr>
          <w:rFonts w:ascii="Segoe UI" w:eastAsia="Times New Roman" w:hAnsi="Segoe UI" w:cs="Segoe UI"/>
          <w:color w:val="000000"/>
          <w:szCs w:val="24"/>
          <w:lang w:eastAsia="es-CO"/>
        </w:rPr>
        <w:t>iv</w:t>
      </w:r>
      <w:proofErr w:type="spellEnd"/>
      <w:r w:rsidRPr="004A4ED1">
        <w:rPr>
          <w:rFonts w:ascii="Segoe UI" w:eastAsia="Times New Roman" w:hAnsi="Segoe UI" w:cs="Segoe UI"/>
          <w:color w:val="000000"/>
          <w:szCs w:val="24"/>
          <w:lang w:eastAsia="es-CO"/>
        </w:rPr>
        <w:t>) En la misma oportunidad, a efectos de acreditar sus afirmaciones, aportó como pruebas los siguientes documentos:</w:t>
      </w:r>
    </w:p>
    <w:p w14:paraId="61C29993"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018A8A40"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(a) Documento suscrito por el «</w:t>
      </w:r>
      <w:proofErr w:type="gramStart"/>
      <w:r w:rsidRPr="004A4ED1">
        <w:rPr>
          <w:rFonts w:ascii="Segoe UI" w:eastAsia="Times New Roman" w:hAnsi="Segoe UI" w:cs="Segoe UI"/>
          <w:i/>
          <w:iCs/>
          <w:szCs w:val="24"/>
          <w:lang w:eastAsia="es-CO"/>
        </w:rPr>
        <w:t>Jefe</w:t>
      </w:r>
      <w:proofErr w:type="gramEnd"/>
      <w:r w:rsidRPr="004A4ED1">
        <w:rPr>
          <w:rFonts w:ascii="Segoe UI" w:eastAsia="Times New Roman" w:hAnsi="Segoe UI" w:cs="Segoe UI"/>
          <w:i/>
          <w:iCs/>
          <w:szCs w:val="24"/>
          <w:lang w:eastAsia="es-CO"/>
        </w:rPr>
        <w:t xml:space="preserve"> administración de personal</w:t>
      </w:r>
      <w:r w:rsidRPr="004A4ED1">
        <w:rPr>
          <w:rFonts w:ascii="Segoe UI" w:eastAsia="Times New Roman" w:hAnsi="Segoe UI" w:cs="Segoe UI"/>
          <w:szCs w:val="24"/>
          <w:lang w:eastAsia="es-CO"/>
        </w:rPr>
        <w:t>» de la demandante, que señala que «</w:t>
      </w:r>
      <w:r w:rsidRPr="004A4ED1">
        <w:rPr>
          <w:rFonts w:ascii="Segoe UI" w:eastAsia="Times New Roman" w:hAnsi="Segoe UI" w:cs="Segoe UI"/>
          <w:i/>
          <w:iCs/>
          <w:szCs w:val="24"/>
          <w:lang w:eastAsia="es-CO"/>
        </w:rPr>
        <w:t>la compañía realiza inversión en materia de seguridad y salud en el trabajo y en las actividades recreativas con la finalidad de garantizar la salud física y mental de sus colaboradores…teniendo en cuenta y dando cumplimiento a la legislación vigente en materia laboral</w:t>
      </w:r>
      <w:r w:rsidRPr="004A4ED1">
        <w:rPr>
          <w:rFonts w:ascii="Segoe UI" w:eastAsia="Times New Roman" w:hAnsi="Segoe UI" w:cs="Segoe UI"/>
          <w:szCs w:val="24"/>
          <w:lang w:eastAsia="es-CO"/>
        </w:rPr>
        <w:t>» (</w:t>
      </w:r>
      <w:proofErr w:type="spellStart"/>
      <w:r w:rsidRPr="004A4ED1">
        <w:rPr>
          <w:rFonts w:ascii="Segoe UI" w:eastAsia="Times New Roman" w:hAnsi="Segoe UI" w:cs="Segoe UI"/>
          <w:szCs w:val="24"/>
          <w:lang w:eastAsia="es-CO"/>
        </w:rPr>
        <w:t>ff</w:t>
      </w:r>
      <w:proofErr w:type="spellEnd"/>
      <w:r w:rsidRPr="004A4ED1">
        <w:rPr>
          <w:rFonts w:ascii="Segoe UI" w:eastAsia="Times New Roman" w:hAnsi="Segoe UI" w:cs="Segoe UI"/>
          <w:szCs w:val="24"/>
          <w:lang w:eastAsia="es-CO"/>
        </w:rPr>
        <w:t xml:space="preserve">. 1702 y 1703 </w:t>
      </w:r>
      <w:proofErr w:type="spellStart"/>
      <w:r w:rsidRPr="004A4ED1">
        <w:rPr>
          <w:rFonts w:ascii="Segoe UI" w:eastAsia="Times New Roman" w:hAnsi="Segoe UI" w:cs="Segoe UI"/>
          <w:szCs w:val="24"/>
          <w:lang w:eastAsia="es-CO"/>
        </w:rPr>
        <w:t>caa</w:t>
      </w:r>
      <w:proofErr w:type="spellEnd"/>
      <w:r w:rsidRPr="004A4ED1">
        <w:rPr>
          <w:rFonts w:ascii="Segoe UI" w:eastAsia="Times New Roman" w:hAnsi="Segoe UI" w:cs="Segoe UI"/>
          <w:szCs w:val="24"/>
          <w:lang w:eastAsia="es-CO"/>
        </w:rPr>
        <w:t>).</w:t>
      </w:r>
    </w:p>
    <w:p w14:paraId="3AE677AA"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36899A5D"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(b) Artículo académico titulado «</w:t>
      </w:r>
      <w:r w:rsidRPr="004A4ED1">
        <w:rPr>
          <w:rFonts w:ascii="Segoe UI" w:eastAsia="Times New Roman" w:hAnsi="Segoe UI" w:cs="Segoe UI"/>
          <w:i/>
          <w:iCs/>
          <w:szCs w:val="24"/>
          <w:lang w:eastAsia="es-CO"/>
        </w:rPr>
        <w:t>Plan integral para la actividad física y el deporte. Deporte en el ámbito laboral</w:t>
      </w:r>
      <w:r w:rsidRPr="004A4ED1">
        <w:rPr>
          <w:rFonts w:ascii="Segoe UI" w:eastAsia="Times New Roman" w:hAnsi="Segoe UI" w:cs="Segoe UI"/>
          <w:szCs w:val="24"/>
          <w:lang w:eastAsia="es-CO"/>
        </w:rPr>
        <w:t>», según el cual «</w:t>
      </w:r>
      <w:r w:rsidRPr="004A4ED1">
        <w:rPr>
          <w:rFonts w:ascii="Segoe UI" w:eastAsia="Times New Roman" w:hAnsi="Segoe UI" w:cs="Segoe UI"/>
          <w:i/>
          <w:iCs/>
          <w:szCs w:val="24"/>
          <w:lang w:eastAsia="es-CO"/>
        </w:rPr>
        <w:t>Numerosos estudios…demuestran una clara correlación entre práctica deportiva y mejora de la productividad en el puesto de trabajo</w:t>
      </w:r>
      <w:r w:rsidRPr="004A4ED1">
        <w:rPr>
          <w:rFonts w:ascii="Segoe UI" w:eastAsia="Times New Roman" w:hAnsi="Segoe UI" w:cs="Segoe UI"/>
          <w:szCs w:val="24"/>
          <w:lang w:eastAsia="es-CO"/>
        </w:rPr>
        <w:t>» (</w:t>
      </w:r>
      <w:proofErr w:type="spellStart"/>
      <w:r w:rsidRPr="004A4ED1">
        <w:rPr>
          <w:rFonts w:ascii="Segoe UI" w:eastAsia="Times New Roman" w:hAnsi="Segoe UI" w:cs="Segoe UI"/>
          <w:szCs w:val="24"/>
          <w:lang w:eastAsia="es-CO"/>
        </w:rPr>
        <w:t>ff</w:t>
      </w:r>
      <w:proofErr w:type="spellEnd"/>
      <w:r w:rsidRPr="004A4ED1">
        <w:rPr>
          <w:rFonts w:ascii="Segoe UI" w:eastAsia="Times New Roman" w:hAnsi="Segoe UI" w:cs="Segoe UI"/>
          <w:szCs w:val="24"/>
          <w:lang w:eastAsia="es-CO"/>
        </w:rPr>
        <w:t xml:space="preserve">. 1914 a 2012 </w:t>
      </w:r>
      <w:proofErr w:type="spellStart"/>
      <w:r w:rsidRPr="004A4ED1">
        <w:rPr>
          <w:rFonts w:ascii="Segoe UI" w:eastAsia="Times New Roman" w:hAnsi="Segoe UI" w:cs="Segoe UI"/>
          <w:szCs w:val="24"/>
          <w:lang w:eastAsia="es-CO"/>
        </w:rPr>
        <w:t>caa</w:t>
      </w:r>
      <w:proofErr w:type="spellEnd"/>
      <w:r w:rsidRPr="004A4ED1">
        <w:rPr>
          <w:rFonts w:ascii="Segoe UI" w:eastAsia="Times New Roman" w:hAnsi="Segoe UI" w:cs="Segoe UI"/>
          <w:szCs w:val="24"/>
          <w:lang w:eastAsia="es-CO"/>
        </w:rPr>
        <w:t>).</w:t>
      </w:r>
    </w:p>
    <w:p w14:paraId="57F3AC6A"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3A2A350D"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(c) Artículo académico titulado «</w:t>
      </w:r>
      <w:r w:rsidRPr="004A4ED1">
        <w:rPr>
          <w:rFonts w:ascii="Segoe UI" w:eastAsia="Times New Roman" w:hAnsi="Segoe UI" w:cs="Segoe UI"/>
          <w:i/>
          <w:iCs/>
          <w:szCs w:val="24"/>
          <w:lang w:eastAsia="es-CO"/>
        </w:rPr>
        <w:t>La recreación como factor de productividad laboral</w:t>
      </w:r>
      <w:r w:rsidRPr="004A4ED1">
        <w:rPr>
          <w:rFonts w:ascii="Segoe UI" w:eastAsia="Times New Roman" w:hAnsi="Segoe UI" w:cs="Segoe UI"/>
          <w:szCs w:val="24"/>
          <w:lang w:eastAsia="es-CO"/>
        </w:rPr>
        <w:t>», que menciona que «</w:t>
      </w:r>
      <w:r w:rsidRPr="004A4ED1">
        <w:rPr>
          <w:rFonts w:ascii="Segoe UI" w:eastAsia="Times New Roman" w:hAnsi="Segoe UI" w:cs="Segoe UI"/>
          <w:i/>
          <w:iCs/>
          <w:szCs w:val="24"/>
          <w:lang w:eastAsia="es-CO"/>
        </w:rPr>
        <w:t>el éxito de la productividad laboral depende de las actividades recreativas como una implementación en el crecimiento empresarial. Además, la recreación es una necesidad indispensable para poder convivir socialmente</w:t>
      </w:r>
      <w:r w:rsidRPr="004A4ED1">
        <w:rPr>
          <w:rFonts w:ascii="Segoe UI" w:eastAsia="Times New Roman" w:hAnsi="Segoe UI" w:cs="Segoe UI"/>
          <w:szCs w:val="24"/>
          <w:lang w:eastAsia="es-CO"/>
        </w:rPr>
        <w:t>» (</w:t>
      </w:r>
      <w:proofErr w:type="spellStart"/>
      <w:r w:rsidRPr="004A4ED1">
        <w:rPr>
          <w:rFonts w:ascii="Segoe UI" w:eastAsia="Times New Roman" w:hAnsi="Segoe UI" w:cs="Segoe UI"/>
          <w:szCs w:val="24"/>
          <w:lang w:eastAsia="es-CO"/>
        </w:rPr>
        <w:t>ff</w:t>
      </w:r>
      <w:proofErr w:type="spellEnd"/>
      <w:r w:rsidRPr="004A4ED1">
        <w:rPr>
          <w:rFonts w:ascii="Segoe UI" w:eastAsia="Times New Roman" w:hAnsi="Segoe UI" w:cs="Segoe UI"/>
          <w:szCs w:val="24"/>
          <w:lang w:eastAsia="es-CO"/>
        </w:rPr>
        <w:t xml:space="preserve">. 2013 a 2015 </w:t>
      </w:r>
      <w:proofErr w:type="spellStart"/>
      <w:r w:rsidRPr="004A4ED1">
        <w:rPr>
          <w:rFonts w:ascii="Segoe UI" w:eastAsia="Times New Roman" w:hAnsi="Segoe UI" w:cs="Segoe UI"/>
          <w:szCs w:val="24"/>
          <w:lang w:eastAsia="es-CO"/>
        </w:rPr>
        <w:t>caa</w:t>
      </w:r>
      <w:proofErr w:type="spellEnd"/>
      <w:r w:rsidRPr="004A4ED1">
        <w:rPr>
          <w:rFonts w:ascii="Segoe UI" w:eastAsia="Times New Roman" w:hAnsi="Segoe UI" w:cs="Segoe UI"/>
          <w:szCs w:val="24"/>
          <w:lang w:eastAsia="es-CO"/>
        </w:rPr>
        <w:t>).</w:t>
      </w:r>
    </w:p>
    <w:p w14:paraId="004205B3"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7FE14C8F"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(d) Certificación suscrita por el «</w:t>
      </w:r>
      <w:r w:rsidRPr="004A4ED1">
        <w:rPr>
          <w:rFonts w:ascii="Segoe UI" w:eastAsia="Times New Roman" w:hAnsi="Segoe UI" w:cs="Segoe UI"/>
          <w:i/>
          <w:iCs/>
          <w:szCs w:val="24"/>
          <w:lang w:eastAsia="es-CO"/>
        </w:rPr>
        <w:t>jefe de administración de personal</w:t>
      </w:r>
      <w:r w:rsidRPr="004A4ED1">
        <w:rPr>
          <w:rFonts w:ascii="Segoe UI" w:eastAsia="Times New Roman" w:hAnsi="Segoe UI" w:cs="Segoe UI"/>
          <w:szCs w:val="24"/>
          <w:lang w:eastAsia="es-CO"/>
        </w:rPr>
        <w:t>» de la demandante, que indica que «</w:t>
      </w:r>
      <w:r w:rsidRPr="004A4ED1">
        <w:rPr>
          <w:rFonts w:ascii="Segoe UI" w:eastAsia="Times New Roman" w:hAnsi="Segoe UI" w:cs="Segoe UI"/>
          <w:i/>
          <w:iCs/>
          <w:szCs w:val="24"/>
          <w:lang w:eastAsia="es-CO"/>
        </w:rPr>
        <w:t>al mes de diciembre de 2012 se encontraban vinculados 548 trabajadores</w:t>
      </w:r>
      <w:r w:rsidRPr="004A4ED1">
        <w:rPr>
          <w:rFonts w:ascii="Segoe UI" w:eastAsia="Times New Roman" w:hAnsi="Segoe UI" w:cs="Segoe UI"/>
          <w:szCs w:val="24"/>
          <w:lang w:eastAsia="es-CO"/>
        </w:rPr>
        <w:t xml:space="preserve">» (f. 1546 </w:t>
      </w:r>
      <w:proofErr w:type="spellStart"/>
      <w:r w:rsidRPr="004A4ED1">
        <w:rPr>
          <w:rFonts w:ascii="Segoe UI" w:eastAsia="Times New Roman" w:hAnsi="Segoe UI" w:cs="Segoe UI"/>
          <w:szCs w:val="24"/>
          <w:lang w:eastAsia="es-CO"/>
        </w:rPr>
        <w:t>caa</w:t>
      </w:r>
      <w:proofErr w:type="spellEnd"/>
      <w:r w:rsidRPr="004A4ED1">
        <w:rPr>
          <w:rFonts w:ascii="Segoe UI" w:eastAsia="Times New Roman" w:hAnsi="Segoe UI" w:cs="Segoe UI"/>
          <w:szCs w:val="24"/>
          <w:lang w:eastAsia="es-CO"/>
        </w:rPr>
        <w:t>).</w:t>
      </w:r>
    </w:p>
    <w:p w14:paraId="0143146C"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05732883"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lastRenderedPageBreak/>
        <w:t>(v) Al hilo de lo anterior manifestó que los gastos cuestionados «</w:t>
      </w:r>
      <w:r w:rsidRPr="004A4ED1">
        <w:rPr>
          <w:rFonts w:ascii="Segoe UI" w:eastAsia="Times New Roman" w:hAnsi="Segoe UI" w:cs="Segoe UI"/>
          <w:i/>
          <w:iCs/>
          <w:szCs w:val="24"/>
          <w:lang w:eastAsia="es-CO"/>
        </w:rPr>
        <w:t>representan frente a los gastos operacionales de administración un 0,86% y frente a los ingresos de la compañía un 0,62% lo que demuestra que la inversión efectuada en recreación y deporte no es material frente a los gastos o los ingresos del período</w:t>
      </w:r>
      <w:r w:rsidRPr="004A4ED1">
        <w:rPr>
          <w:rFonts w:ascii="Segoe UI" w:eastAsia="Times New Roman" w:hAnsi="Segoe UI" w:cs="Segoe UI"/>
          <w:szCs w:val="24"/>
          <w:lang w:eastAsia="es-CO"/>
        </w:rPr>
        <w:t>» (</w:t>
      </w:r>
      <w:proofErr w:type="spellStart"/>
      <w:r w:rsidRPr="004A4ED1">
        <w:rPr>
          <w:rFonts w:ascii="Segoe UI" w:eastAsia="Times New Roman" w:hAnsi="Segoe UI" w:cs="Segoe UI"/>
          <w:szCs w:val="24"/>
          <w:lang w:eastAsia="es-CO"/>
        </w:rPr>
        <w:t>ff</w:t>
      </w:r>
      <w:proofErr w:type="spellEnd"/>
      <w:r w:rsidRPr="004A4ED1">
        <w:rPr>
          <w:rFonts w:ascii="Segoe UI" w:eastAsia="Times New Roman" w:hAnsi="Segoe UI" w:cs="Segoe UI"/>
          <w:szCs w:val="24"/>
          <w:lang w:eastAsia="es-CO"/>
        </w:rPr>
        <w:t xml:space="preserve">. 1663 y 1664 </w:t>
      </w:r>
      <w:proofErr w:type="spellStart"/>
      <w:r w:rsidRPr="004A4ED1">
        <w:rPr>
          <w:rFonts w:ascii="Segoe UI" w:eastAsia="Times New Roman" w:hAnsi="Segoe UI" w:cs="Segoe UI"/>
          <w:szCs w:val="24"/>
          <w:lang w:eastAsia="es-CO"/>
        </w:rPr>
        <w:t>caa</w:t>
      </w:r>
      <w:proofErr w:type="spellEnd"/>
      <w:r w:rsidRPr="004A4ED1">
        <w:rPr>
          <w:rFonts w:ascii="Segoe UI" w:eastAsia="Times New Roman" w:hAnsi="Segoe UI" w:cs="Segoe UI"/>
          <w:szCs w:val="24"/>
          <w:lang w:eastAsia="es-CO"/>
        </w:rPr>
        <w:t>).</w:t>
      </w:r>
    </w:p>
    <w:p w14:paraId="2DE5E2B0"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673648A5"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(vi) Con la Resolución nro. 000.145, del 14 de enero de 2016, la demandada resolvió el recurso formulado por su contraparte (</w:t>
      </w:r>
      <w:proofErr w:type="spellStart"/>
      <w:r w:rsidRPr="004A4ED1">
        <w:rPr>
          <w:rFonts w:ascii="Segoe UI" w:eastAsia="Times New Roman" w:hAnsi="Segoe UI" w:cs="Segoe UI"/>
          <w:szCs w:val="24"/>
          <w:lang w:eastAsia="es-CO"/>
        </w:rPr>
        <w:t>ff</w:t>
      </w:r>
      <w:proofErr w:type="spellEnd"/>
      <w:r w:rsidRPr="004A4ED1">
        <w:rPr>
          <w:rFonts w:ascii="Segoe UI" w:eastAsia="Times New Roman" w:hAnsi="Segoe UI" w:cs="Segoe UI"/>
          <w:szCs w:val="24"/>
          <w:lang w:eastAsia="es-CO"/>
        </w:rPr>
        <w:t xml:space="preserve">. 2019 a 2039 </w:t>
      </w:r>
      <w:proofErr w:type="spellStart"/>
      <w:r w:rsidRPr="004A4ED1">
        <w:rPr>
          <w:rFonts w:ascii="Segoe UI" w:eastAsia="Times New Roman" w:hAnsi="Segoe UI" w:cs="Segoe UI"/>
          <w:szCs w:val="24"/>
          <w:lang w:eastAsia="es-CO"/>
        </w:rPr>
        <w:t>caa</w:t>
      </w:r>
      <w:proofErr w:type="spellEnd"/>
      <w:r w:rsidRPr="004A4ED1">
        <w:rPr>
          <w:rFonts w:ascii="Segoe UI" w:eastAsia="Times New Roman" w:hAnsi="Segoe UI" w:cs="Segoe UI"/>
          <w:szCs w:val="24"/>
          <w:lang w:eastAsia="es-CO"/>
        </w:rPr>
        <w:t>). Sobre el asunto señaló que «</w:t>
      </w:r>
      <w:r w:rsidRPr="004A4ED1">
        <w:rPr>
          <w:rFonts w:ascii="Segoe UI" w:eastAsia="Times New Roman" w:hAnsi="Segoe UI" w:cs="Segoe UI"/>
          <w:i/>
          <w:iCs/>
          <w:szCs w:val="24"/>
          <w:lang w:eastAsia="es-CO"/>
        </w:rPr>
        <w:t>la sociedad solicitó en la declaración de renta gastos por concepto de participación en maratón, tortas de cumpleaños, fiesta de fin de año, recordatorio día de la madre, rubros que evidentemente no guardan relación de causalidad con el objeto social que desarrolla…no son gastos que de manera forzada deba incurrir la sociedad para poder ejercer su actividad…Además en el expediente no se prueba de ninguna manera que tales erogaciones hayan servido en la productividad y la obtención de renta</w:t>
      </w:r>
      <w:r w:rsidRPr="004A4ED1">
        <w:rPr>
          <w:rFonts w:ascii="Segoe UI" w:eastAsia="Times New Roman" w:hAnsi="Segoe UI" w:cs="Segoe UI"/>
          <w:szCs w:val="24"/>
          <w:lang w:eastAsia="es-CO"/>
        </w:rPr>
        <w:t>» (</w:t>
      </w:r>
      <w:proofErr w:type="spellStart"/>
      <w:r w:rsidRPr="004A4ED1">
        <w:rPr>
          <w:rFonts w:ascii="Segoe UI" w:eastAsia="Times New Roman" w:hAnsi="Segoe UI" w:cs="Segoe UI"/>
          <w:szCs w:val="24"/>
          <w:lang w:eastAsia="es-CO"/>
        </w:rPr>
        <w:t>ff</w:t>
      </w:r>
      <w:proofErr w:type="spellEnd"/>
      <w:r w:rsidRPr="004A4ED1">
        <w:rPr>
          <w:rFonts w:ascii="Segoe UI" w:eastAsia="Times New Roman" w:hAnsi="Segoe UI" w:cs="Segoe UI"/>
          <w:szCs w:val="24"/>
          <w:lang w:eastAsia="es-CO"/>
        </w:rPr>
        <w:t xml:space="preserve">. 2027 vto. y 2028 </w:t>
      </w:r>
      <w:proofErr w:type="spellStart"/>
      <w:r w:rsidRPr="004A4ED1">
        <w:rPr>
          <w:rFonts w:ascii="Segoe UI" w:eastAsia="Times New Roman" w:hAnsi="Segoe UI" w:cs="Segoe UI"/>
          <w:szCs w:val="24"/>
          <w:lang w:eastAsia="es-CO"/>
        </w:rPr>
        <w:t>caa</w:t>
      </w:r>
      <w:proofErr w:type="spellEnd"/>
      <w:r w:rsidRPr="004A4ED1">
        <w:rPr>
          <w:rFonts w:ascii="Segoe UI" w:eastAsia="Times New Roman" w:hAnsi="Segoe UI" w:cs="Segoe UI"/>
          <w:szCs w:val="24"/>
          <w:lang w:eastAsia="es-CO"/>
        </w:rPr>
        <w:t>).</w:t>
      </w:r>
    </w:p>
    <w:p w14:paraId="288DC02A"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color w:val="000000"/>
          <w:szCs w:val="24"/>
          <w:lang w:eastAsia="es-CO"/>
        </w:rPr>
        <w:t> </w:t>
      </w:r>
    </w:p>
    <w:p w14:paraId="6111E1B9"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color w:val="000000"/>
          <w:szCs w:val="24"/>
          <w:lang w:eastAsia="es-CO"/>
        </w:rPr>
        <w:t xml:space="preserve">4.3- Conforme con ese recuento se observa </w:t>
      </w:r>
      <w:proofErr w:type="gramStart"/>
      <w:r w:rsidRPr="004A4ED1">
        <w:rPr>
          <w:rFonts w:ascii="Segoe UI" w:eastAsia="Times New Roman" w:hAnsi="Segoe UI" w:cs="Segoe UI"/>
          <w:color w:val="000000"/>
          <w:szCs w:val="24"/>
          <w:lang w:eastAsia="es-CO"/>
        </w:rPr>
        <w:t>que</w:t>
      </w:r>
      <w:proofErr w:type="gramEnd"/>
      <w:r w:rsidRPr="004A4ED1">
        <w:rPr>
          <w:rFonts w:ascii="Segoe UI" w:eastAsia="Times New Roman" w:hAnsi="Segoe UI" w:cs="Segoe UI"/>
          <w:color w:val="000000"/>
          <w:szCs w:val="24"/>
          <w:lang w:eastAsia="es-CO"/>
        </w:rPr>
        <w:t xml:space="preserve"> en el procedimiento de revisión, la demandada reprochó expresamente la falta de causalidad y de necesidad de los gastos debatidos. En concreto, censuró que no eran indispensables para la generación de ingresos y que escapaban del objeto social de la actora. A su turno, a efectos de defender la procedencia de la deducción rechazada en los actos acusados, la apelante única explicó, de un lado, que incurrió en las erogaciones objetadas en desarrollo del mandato del artículo 21 de la Ley 50 de 1990, según el cual debía conceder a sus trabajadores dos horas de la jornada laboral para «</w:t>
      </w:r>
      <w:r w:rsidRPr="004A4ED1">
        <w:rPr>
          <w:rFonts w:ascii="Segoe UI" w:eastAsia="Times New Roman" w:hAnsi="Segoe UI" w:cs="Segoe UI"/>
          <w:i/>
          <w:iCs/>
          <w:color w:val="000000"/>
          <w:szCs w:val="24"/>
          <w:lang w:eastAsia="es-CO"/>
        </w:rPr>
        <w:t>actividades recreativas, culturales, deportivas o de capacitación</w:t>
      </w:r>
      <w:r w:rsidRPr="004A4ED1">
        <w:rPr>
          <w:rFonts w:ascii="Segoe UI" w:eastAsia="Times New Roman" w:hAnsi="Segoe UI" w:cs="Segoe UI"/>
          <w:color w:val="000000"/>
          <w:szCs w:val="24"/>
          <w:lang w:eastAsia="es-CO"/>
        </w:rPr>
        <w:t>» y, de otro, que esas expensas repercutían en mayor productividad y bienestar para sus empleados, de modo que beneficiaban su actividad lucrativa. En línea con lo anterior, aportó al plenario dos certificados expedidos por sus jefes de personal que dan cuenta que al cierre del año revisado tenía más de 500 empleados y que llevaba a cabo actividades recreativas «</w:t>
      </w:r>
      <w:r w:rsidRPr="004A4ED1">
        <w:rPr>
          <w:rFonts w:ascii="Segoe UI" w:eastAsia="Times New Roman" w:hAnsi="Segoe UI" w:cs="Segoe UI"/>
          <w:i/>
          <w:iCs/>
          <w:color w:val="000000"/>
          <w:szCs w:val="24"/>
          <w:lang w:eastAsia="es-CO"/>
        </w:rPr>
        <w:t>con la finalidad de garantizar la salud física y mental de sus colaboradores</w:t>
      </w:r>
      <w:r w:rsidRPr="004A4ED1">
        <w:rPr>
          <w:rFonts w:ascii="Segoe UI" w:eastAsia="Times New Roman" w:hAnsi="Segoe UI" w:cs="Segoe UI"/>
          <w:color w:val="000000"/>
          <w:szCs w:val="24"/>
          <w:lang w:eastAsia="es-CO"/>
        </w:rPr>
        <w:t>». Asimismo, allegó documentos académicos que respaldan lo que afirmó en cuanto a que el deporte y la recreación incrementan el bienestar y la productividad de los trabajadores.</w:t>
      </w:r>
    </w:p>
    <w:p w14:paraId="060D6794"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4B4B456C"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4.4- La Sala debe cotejar esa situación con la regla de decisión unificada en la providencia 2020CE-SUJ-4-005, del 26 de noviembre de 2020 (</w:t>
      </w:r>
      <w:proofErr w:type="spellStart"/>
      <w:r w:rsidRPr="004A4ED1">
        <w:rPr>
          <w:rFonts w:ascii="Segoe UI" w:eastAsia="Times New Roman" w:hAnsi="Segoe UI" w:cs="Segoe UI"/>
          <w:szCs w:val="24"/>
          <w:lang w:eastAsia="es-CO"/>
        </w:rPr>
        <w:t>exp</w:t>
      </w:r>
      <w:proofErr w:type="spellEnd"/>
      <w:r w:rsidRPr="004A4ED1">
        <w:rPr>
          <w:rFonts w:ascii="Segoe UI" w:eastAsia="Times New Roman" w:hAnsi="Segoe UI" w:cs="Segoe UI"/>
          <w:szCs w:val="24"/>
          <w:lang w:eastAsia="es-CO"/>
        </w:rPr>
        <w:t>. 21329, CP: Julio Roberto Piza), relacionada con los criterios de apreciación del requisito causalidad de los gastos exigido para su deducibilidad. De acuerdo con ella, ni la generación de ingresos ni el objeto social del sujeto pasivo son determinantes para estudiar el nexo causal entre el gasto y la actividad lucrativa, porque cumplen el requisito de causalidad «</w:t>
      </w:r>
      <w:r w:rsidRPr="004A4ED1">
        <w:rPr>
          <w:rFonts w:ascii="Segoe UI" w:eastAsia="Times New Roman" w:hAnsi="Segoe UI" w:cs="Segoe UI"/>
          <w:i/>
          <w:iCs/>
          <w:szCs w:val="24"/>
          <w:lang w:eastAsia="es-CO"/>
        </w:rPr>
        <w:t>todas las expensas realizadas por el contribuyente en desarrollo o ejecución de la actividad productora de renta</w:t>
      </w:r>
      <w:r w:rsidRPr="004A4ED1">
        <w:rPr>
          <w:rFonts w:ascii="Segoe UI" w:eastAsia="Times New Roman" w:hAnsi="Segoe UI" w:cs="Segoe UI"/>
          <w:szCs w:val="24"/>
          <w:lang w:eastAsia="es-CO"/>
        </w:rPr>
        <w:t>». En esos términos, juzga la Sala que los gastos en disputa sí guardaron una relación causal con la actividad generadora de renta, toda vez que la actora incurrió en ellos como consecuencia de su desarrollo empresarial, lo cual se evidencia en que la erogación fue en favor de su planta de personal y se corresponde con una carga legal en materia laboral asociada a la ejecución de su actividad lucrativa. Por tanto, está acreditada la relación de causalidad echada en falta en los actos demandados.</w:t>
      </w:r>
    </w:p>
    <w:p w14:paraId="21B323F7"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70778B80"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4.5- De otra parte, en lo que respecta a la necesidad de las expensas, advierte la Sala que el extremo activo de la litis presentó argumentos y pruebas tendentes a demostrar que los gastos objetados obedecieron a una circunstancia de mercado, pues, considerando las específicas características de los horarios que deben cumplir sus trabajadores, se dirigen «</w:t>
      </w:r>
      <w:r w:rsidRPr="004A4ED1">
        <w:rPr>
          <w:rFonts w:ascii="Segoe UI" w:eastAsia="Times New Roman" w:hAnsi="Segoe UI" w:cs="Segoe UI"/>
          <w:i/>
          <w:iCs/>
          <w:szCs w:val="24"/>
          <w:lang w:eastAsia="es-CO"/>
        </w:rPr>
        <w:t>de manera real o potencial</w:t>
      </w:r>
      <w:r w:rsidRPr="004A4ED1">
        <w:rPr>
          <w:rFonts w:ascii="Segoe UI" w:eastAsia="Times New Roman" w:hAnsi="Segoe UI" w:cs="Segoe UI"/>
          <w:szCs w:val="24"/>
          <w:lang w:eastAsia="es-CO"/>
        </w:rPr>
        <w:t>» a impedir «e</w:t>
      </w:r>
      <w:r w:rsidRPr="004A4ED1">
        <w:rPr>
          <w:rFonts w:ascii="Segoe UI" w:eastAsia="Times New Roman" w:hAnsi="Segoe UI" w:cs="Segoe UI"/>
          <w:i/>
          <w:iCs/>
          <w:szCs w:val="24"/>
          <w:lang w:eastAsia="es-CO"/>
        </w:rPr>
        <w:t xml:space="preserve">l deterioro de la fuente productiva, ya sea </w:t>
      </w:r>
      <w:r w:rsidRPr="004A4ED1">
        <w:rPr>
          <w:rFonts w:ascii="Segoe UI" w:eastAsia="Times New Roman" w:hAnsi="Segoe UI" w:cs="Segoe UI"/>
          <w:i/>
          <w:iCs/>
          <w:szCs w:val="24"/>
          <w:lang w:eastAsia="es-CO"/>
        </w:rPr>
        <w:lastRenderedPageBreak/>
        <w:t>preservándola, adaptándola a una situación de mercado u optimizándola</w:t>
      </w:r>
      <w:r w:rsidRPr="004A4ED1">
        <w:rPr>
          <w:rFonts w:ascii="Segoe UI" w:eastAsia="Times New Roman" w:hAnsi="Segoe UI" w:cs="Segoe UI"/>
          <w:szCs w:val="24"/>
          <w:lang w:eastAsia="es-CO"/>
        </w:rPr>
        <w:t>» (segunda regla de unificación jurisprudencial), porque, como lo puso de presente la apelante, le correspondía «</w:t>
      </w:r>
      <w:r w:rsidRPr="004A4ED1">
        <w:rPr>
          <w:rFonts w:ascii="Segoe UI" w:eastAsia="Times New Roman" w:hAnsi="Segoe UI" w:cs="Segoe UI"/>
          <w:i/>
          <w:iCs/>
          <w:szCs w:val="24"/>
          <w:lang w:eastAsia="es-CO"/>
        </w:rPr>
        <w:t>garantizar un adecuado ambiente laboral que permita la constante generación de trabajo, manteniendo como fin último la salud física y mental de los empleados</w:t>
      </w:r>
      <w:r w:rsidRPr="004A4ED1">
        <w:rPr>
          <w:rFonts w:ascii="Segoe UI" w:eastAsia="Times New Roman" w:hAnsi="Segoe UI" w:cs="Segoe UI"/>
          <w:szCs w:val="24"/>
          <w:lang w:eastAsia="es-CO"/>
        </w:rPr>
        <w:t>». En cambio, la Administración no controvirtió las alegaciones o las evidencias de su contraparte, ni requirió pruebas adicionales sobre los programas de salud ocupacional desplegados; al contrario, se limitó a afirmar en términos abstractos que los gastos por recreación y deporte no eran admisibles sin cuestionar ni indagar sobre comprobaciones adicionales a los planteamientos de la actora. Así, en vista de que la demandante explicó que los gastos por recreación y deporte ayudaban a mantener la productividad de un elemento esencial en su fuente generadora de ingresos (</w:t>
      </w:r>
      <w:r w:rsidRPr="004A4ED1">
        <w:rPr>
          <w:rFonts w:ascii="Segoe UI" w:eastAsia="Times New Roman" w:hAnsi="Segoe UI" w:cs="Segoe UI"/>
          <w:i/>
          <w:iCs/>
          <w:szCs w:val="24"/>
          <w:lang w:eastAsia="es-CO"/>
        </w:rPr>
        <w:t>i.e. </w:t>
      </w:r>
      <w:r w:rsidRPr="004A4ED1">
        <w:rPr>
          <w:rFonts w:ascii="Segoe UI" w:eastAsia="Times New Roman" w:hAnsi="Segoe UI" w:cs="Segoe UI"/>
          <w:szCs w:val="24"/>
          <w:lang w:eastAsia="es-CO"/>
        </w:rPr>
        <w:t>el talento humano) y que aportó pruebas que respaldaban esa afirmación, la autoridad fiscal debió, cuando menos, refutar los argumentos concretos expuestos por la contribuyente o solicitar comprobaciones adicionales a efectos de juzgar la necesidad de las expensas, como los planes y programas de salud ocupacional del sujeto pasivo, encuestas de satisfacción a sus empleados, fotografías o videos de las actividades de recreación llevadas a cabo, el plan de beneficios para trabajadores, etc. Desde esa perspectiva, concluye la Sala que la contribuyente sí cumplió con su carga de demostrar que incurrió en las erogaciones en cuestión para desarrollar, conservar y mantener la fuente productiva.</w:t>
      </w:r>
    </w:p>
    <w:p w14:paraId="352FA65C"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000DF0D1"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4.6- En suma, atendiendo a los dictados de las reglas de unificación, se encuentran acreditados, en el presente caso, los requisitos generales exigidos legalmente para deducir de la base gravable del impuesto sobre la renta los gastos por recreación y deporte de la demandante. Procede el cargo de apelación.</w:t>
      </w:r>
    </w:p>
    <w:p w14:paraId="31DC29CA"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663BF622"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5- Afirmada la juridicidad de las deducciones solicitada por la demandante, devino en atípica la conducta desplegada por la demandante, por lo cual no hay lugar a reproche punitivo alguno. En consecuencia, se anula la sanción por inexactitud impuesta.</w:t>
      </w:r>
    </w:p>
    <w:p w14:paraId="255E7655"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color w:val="000000"/>
          <w:szCs w:val="24"/>
          <w:lang w:eastAsia="es-CO"/>
        </w:rPr>
        <w:t> </w:t>
      </w:r>
    </w:p>
    <w:p w14:paraId="33EE57A6"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color w:val="000000"/>
          <w:szCs w:val="24"/>
          <w:lang w:eastAsia="es-CO"/>
        </w:rPr>
        <w:t>6- Dada la deducibilidad de los gastos debatidos y la ausencia de conducta infractora, la Sala modificará la sentencia apelada para anular los actos demandados y declarar, a título de restablecimiento del derecho, la firmeza de la declaración revisada. Sin embargo, no es procedente ordenar «</w:t>
      </w:r>
      <w:r w:rsidRPr="004A4ED1">
        <w:rPr>
          <w:rFonts w:ascii="Segoe UI" w:eastAsia="Times New Roman" w:hAnsi="Segoe UI" w:cs="Segoe UI"/>
          <w:i/>
          <w:iCs/>
          <w:color w:val="000000"/>
          <w:szCs w:val="24"/>
          <w:lang w:eastAsia="es-CO"/>
        </w:rPr>
        <w:t>devolver o continuar con el proceso de devolución activado mediante solicitud nro. DI 2012-2013-1875, del 10 de septiembre de 2013</w:t>
      </w:r>
      <w:r w:rsidRPr="004A4ED1">
        <w:rPr>
          <w:rFonts w:ascii="Segoe UI" w:eastAsia="Times New Roman" w:hAnsi="Segoe UI" w:cs="Segoe UI"/>
          <w:color w:val="000000"/>
          <w:szCs w:val="24"/>
          <w:lang w:eastAsia="es-CO"/>
        </w:rPr>
        <w:t>», como solicitó la actora, puesto que esa petición escapa del objeto del </w:t>
      </w:r>
      <w:proofErr w:type="gramStart"/>
      <w:r w:rsidRPr="004A4ED1">
        <w:rPr>
          <w:rFonts w:ascii="Segoe UI" w:eastAsia="Times New Roman" w:hAnsi="Segoe UI" w:cs="Segoe UI"/>
          <w:i/>
          <w:iCs/>
          <w:color w:val="000000"/>
          <w:szCs w:val="24"/>
          <w:lang w:eastAsia="es-CO"/>
        </w:rPr>
        <w:t>sub lite</w:t>
      </w:r>
      <w:proofErr w:type="gramEnd"/>
      <w:r w:rsidRPr="004A4ED1">
        <w:rPr>
          <w:rFonts w:ascii="Segoe UI" w:eastAsia="Times New Roman" w:hAnsi="Segoe UI" w:cs="Segoe UI"/>
          <w:color w:val="000000"/>
          <w:szCs w:val="24"/>
          <w:lang w:eastAsia="es-CO"/>
        </w:rPr>
        <w:t>. Como la Sala encontró suficientes razones para declarar la nulidad de los actos acusados, se releva del estudio de los demás cargos de apelación.</w:t>
      </w:r>
    </w:p>
    <w:p w14:paraId="59A53AB1"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32C98BC4"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7- Por no estar probadas en el expediente, la Sala se abstendrá de condenar en costas en esta instancia, conforme con lo establecido en el artículo 365.8 del CGP.</w:t>
      </w:r>
    </w:p>
    <w:p w14:paraId="7903B484"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1E3135C0"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En mérito de lo expuesto, el Consejo de Estado, Sección Cuarta, administrando justicia en nombre de la República de Colombia y por autoridad de la ley,</w:t>
      </w:r>
    </w:p>
    <w:p w14:paraId="60E7BBB9"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b/>
          <w:bCs/>
          <w:szCs w:val="24"/>
          <w:lang w:eastAsia="es-CO"/>
        </w:rPr>
        <w:t> </w:t>
      </w:r>
    </w:p>
    <w:p w14:paraId="35199228" w14:textId="77777777" w:rsidR="004A4ED1" w:rsidRPr="004A4ED1" w:rsidRDefault="004A4ED1" w:rsidP="004A4ED1">
      <w:pPr>
        <w:spacing w:after="0" w:line="240" w:lineRule="auto"/>
        <w:jc w:val="center"/>
        <w:rPr>
          <w:rFonts w:ascii="Arial" w:eastAsia="Times New Roman" w:hAnsi="Arial" w:cs="Arial"/>
          <w:color w:val="000000"/>
          <w:szCs w:val="24"/>
          <w:lang w:eastAsia="es-CO"/>
        </w:rPr>
      </w:pPr>
      <w:r w:rsidRPr="004A4ED1">
        <w:rPr>
          <w:rFonts w:ascii="Segoe UI" w:eastAsia="Times New Roman" w:hAnsi="Segoe UI" w:cs="Segoe UI"/>
          <w:b/>
          <w:bCs/>
          <w:szCs w:val="24"/>
          <w:lang w:eastAsia="es-CO"/>
        </w:rPr>
        <w:t>FALLA</w:t>
      </w:r>
    </w:p>
    <w:p w14:paraId="3108DC3A"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3BF572CA"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1. </w:t>
      </w:r>
      <w:r w:rsidRPr="004A4ED1">
        <w:rPr>
          <w:rFonts w:ascii="Segoe UI" w:eastAsia="Times New Roman" w:hAnsi="Segoe UI" w:cs="Segoe UI"/>
          <w:b/>
          <w:bCs/>
          <w:szCs w:val="24"/>
          <w:lang w:eastAsia="es-CO"/>
        </w:rPr>
        <w:t>Modificar </w:t>
      </w:r>
      <w:r w:rsidRPr="004A4ED1">
        <w:rPr>
          <w:rFonts w:ascii="Segoe UI" w:eastAsia="Times New Roman" w:hAnsi="Segoe UI" w:cs="Segoe UI"/>
          <w:szCs w:val="24"/>
          <w:lang w:eastAsia="es-CO"/>
        </w:rPr>
        <w:t>la sentencia apelada, la cual quedará así:</w:t>
      </w:r>
    </w:p>
    <w:p w14:paraId="5241816E"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i/>
          <w:iCs/>
          <w:szCs w:val="24"/>
          <w:lang w:eastAsia="es-CO"/>
        </w:rPr>
        <w:t> </w:t>
      </w:r>
    </w:p>
    <w:p w14:paraId="360F2ED4"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b/>
          <w:bCs/>
          <w:i/>
          <w:iCs/>
          <w:szCs w:val="24"/>
          <w:lang w:eastAsia="es-CO"/>
        </w:rPr>
        <w:t>Primero.</w:t>
      </w:r>
      <w:r w:rsidRPr="004A4ED1">
        <w:rPr>
          <w:rFonts w:ascii="Segoe UI" w:eastAsia="Times New Roman" w:hAnsi="Segoe UI" w:cs="Segoe UI"/>
          <w:i/>
          <w:iCs/>
          <w:szCs w:val="24"/>
          <w:lang w:eastAsia="es-CO"/>
        </w:rPr>
        <w:t> </w:t>
      </w:r>
      <w:r w:rsidRPr="004A4ED1">
        <w:rPr>
          <w:rFonts w:ascii="Segoe UI" w:eastAsia="Times New Roman" w:hAnsi="Segoe UI" w:cs="Segoe UI"/>
          <w:b/>
          <w:bCs/>
          <w:i/>
          <w:iCs/>
          <w:szCs w:val="24"/>
          <w:lang w:eastAsia="es-CO"/>
        </w:rPr>
        <w:t>Declarar </w:t>
      </w:r>
      <w:r w:rsidRPr="004A4ED1">
        <w:rPr>
          <w:rFonts w:ascii="Segoe UI" w:eastAsia="Times New Roman" w:hAnsi="Segoe UI" w:cs="Segoe UI"/>
          <w:i/>
          <w:iCs/>
          <w:szCs w:val="24"/>
          <w:lang w:eastAsia="es-CO"/>
        </w:rPr>
        <w:t>la nulidad de los actos demandados, por las razones expuestas en la sentencia de segunda instancia.</w:t>
      </w:r>
    </w:p>
    <w:p w14:paraId="7F845AFF"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i/>
          <w:iCs/>
          <w:szCs w:val="24"/>
          <w:lang w:eastAsia="es-CO"/>
        </w:rPr>
        <w:lastRenderedPageBreak/>
        <w:t> </w:t>
      </w:r>
    </w:p>
    <w:p w14:paraId="13A3DCA1"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b/>
          <w:bCs/>
          <w:i/>
          <w:iCs/>
          <w:szCs w:val="24"/>
          <w:lang w:eastAsia="es-CO"/>
        </w:rPr>
        <w:t>Segundo.</w:t>
      </w:r>
      <w:r w:rsidRPr="004A4ED1">
        <w:rPr>
          <w:rFonts w:ascii="Segoe UI" w:eastAsia="Times New Roman" w:hAnsi="Segoe UI" w:cs="Segoe UI"/>
          <w:i/>
          <w:iCs/>
          <w:szCs w:val="24"/>
          <w:lang w:eastAsia="es-CO"/>
        </w:rPr>
        <w:t> A título de restablecimiento del derecho, </w:t>
      </w:r>
      <w:r w:rsidRPr="004A4ED1">
        <w:rPr>
          <w:rFonts w:ascii="Segoe UI" w:eastAsia="Times New Roman" w:hAnsi="Segoe UI" w:cs="Segoe UI"/>
          <w:b/>
          <w:bCs/>
          <w:i/>
          <w:iCs/>
          <w:szCs w:val="24"/>
          <w:lang w:eastAsia="es-CO"/>
        </w:rPr>
        <w:t>declarar </w:t>
      </w:r>
      <w:r w:rsidRPr="004A4ED1">
        <w:rPr>
          <w:rFonts w:ascii="Segoe UI" w:eastAsia="Times New Roman" w:hAnsi="Segoe UI" w:cs="Segoe UI"/>
          <w:i/>
          <w:iCs/>
          <w:szCs w:val="24"/>
          <w:lang w:eastAsia="es-CO"/>
        </w:rPr>
        <w:t>en firme la declaración presentada por Bingos Codere S.A. el 12 de abril de 2013.</w:t>
      </w:r>
    </w:p>
    <w:p w14:paraId="1053C6DC"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i/>
          <w:iCs/>
          <w:szCs w:val="24"/>
          <w:lang w:eastAsia="es-CO"/>
        </w:rPr>
        <w:t> </w:t>
      </w:r>
    </w:p>
    <w:p w14:paraId="7900AC80" w14:textId="77777777" w:rsidR="004A4ED1" w:rsidRPr="004A4ED1" w:rsidRDefault="004A4ED1" w:rsidP="004A4ED1">
      <w:pPr>
        <w:spacing w:after="0" w:line="240" w:lineRule="auto"/>
        <w:ind w:left="284"/>
        <w:jc w:val="both"/>
        <w:rPr>
          <w:rFonts w:ascii="Arial" w:eastAsia="Times New Roman" w:hAnsi="Arial" w:cs="Arial"/>
          <w:color w:val="000000"/>
          <w:szCs w:val="24"/>
          <w:lang w:eastAsia="es-CO"/>
        </w:rPr>
      </w:pPr>
      <w:r w:rsidRPr="004A4ED1">
        <w:rPr>
          <w:rFonts w:ascii="Segoe UI" w:eastAsia="Times New Roman" w:hAnsi="Segoe UI" w:cs="Segoe UI"/>
          <w:b/>
          <w:bCs/>
          <w:i/>
          <w:iCs/>
          <w:szCs w:val="24"/>
          <w:lang w:eastAsia="es-CO"/>
        </w:rPr>
        <w:t>Tercero.</w:t>
      </w:r>
      <w:r w:rsidRPr="004A4ED1">
        <w:rPr>
          <w:rFonts w:ascii="Segoe UI" w:eastAsia="Times New Roman" w:hAnsi="Segoe UI" w:cs="Segoe UI"/>
          <w:i/>
          <w:iCs/>
          <w:szCs w:val="24"/>
          <w:lang w:eastAsia="es-CO"/>
        </w:rPr>
        <w:t> </w:t>
      </w:r>
      <w:r w:rsidRPr="004A4ED1">
        <w:rPr>
          <w:rFonts w:ascii="Segoe UI" w:eastAsia="Times New Roman" w:hAnsi="Segoe UI" w:cs="Segoe UI"/>
          <w:b/>
          <w:bCs/>
          <w:i/>
          <w:iCs/>
          <w:szCs w:val="24"/>
          <w:lang w:eastAsia="es-CO"/>
        </w:rPr>
        <w:t>Negar </w:t>
      </w:r>
      <w:r w:rsidRPr="004A4ED1">
        <w:rPr>
          <w:rFonts w:ascii="Segoe UI" w:eastAsia="Times New Roman" w:hAnsi="Segoe UI" w:cs="Segoe UI"/>
          <w:i/>
          <w:iCs/>
          <w:szCs w:val="24"/>
          <w:lang w:eastAsia="es-CO"/>
        </w:rPr>
        <w:t>la solicitud de devolución formulada por la demandante, de conformidad con lo considerado en la sentencia de segunda instancia.</w:t>
      </w:r>
    </w:p>
    <w:p w14:paraId="29E6AEC0"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11CAC628"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2. Sin condena en costas en esta instancia.</w:t>
      </w:r>
    </w:p>
    <w:p w14:paraId="2B20AE2C"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1FC685F5"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Cópiese, notifíquese, comuníquese. Devuélvase al tribunal de origen. Cúmplase.</w:t>
      </w:r>
    </w:p>
    <w:p w14:paraId="1E0DD5C8"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13CF21F7"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La anterior providencia se estudió y aprobó en la sesión de la fecha.</w:t>
      </w:r>
    </w:p>
    <w:p w14:paraId="0C56BF13"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76ECF42C"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7B6025A1"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(Firmado electrónicamente)</w:t>
      </w:r>
    </w:p>
    <w:p w14:paraId="32909630"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b/>
          <w:bCs/>
          <w:szCs w:val="24"/>
          <w:lang w:eastAsia="es-CO"/>
        </w:rPr>
        <w:t>MILTON CHAVES GARCÍA</w:t>
      </w:r>
    </w:p>
    <w:p w14:paraId="6FDE7D49"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Presidente</w:t>
      </w:r>
    </w:p>
    <w:p w14:paraId="45794F28"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59DE9243"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4A9E0149"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(Firmado electrónicamente)</w:t>
      </w:r>
    </w:p>
    <w:p w14:paraId="2AA42B68"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b/>
          <w:bCs/>
          <w:szCs w:val="24"/>
          <w:lang w:eastAsia="es-CO"/>
        </w:rPr>
        <w:t>STELLA JEANNETTE CARVAJAL BASTO</w:t>
      </w:r>
    </w:p>
    <w:p w14:paraId="7721FF1B"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6E44B634"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5D0ECB6B"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(Firmado electrónicamente)</w:t>
      </w:r>
    </w:p>
    <w:p w14:paraId="1B9EC2AE"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b/>
          <w:bCs/>
          <w:szCs w:val="24"/>
          <w:lang w:eastAsia="es-CO"/>
        </w:rPr>
        <w:t>MYRIAM STELLA GUTIÉRREZ ARGÜELLO</w:t>
      </w:r>
    </w:p>
    <w:p w14:paraId="349F5BE3"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6094E2AA"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 </w:t>
      </w:r>
    </w:p>
    <w:p w14:paraId="4AC86D5F"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szCs w:val="24"/>
          <w:lang w:eastAsia="es-CO"/>
        </w:rPr>
        <w:t>(Firmado electrónicamente)</w:t>
      </w:r>
    </w:p>
    <w:p w14:paraId="0618B8A5"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b/>
          <w:bCs/>
          <w:szCs w:val="24"/>
          <w:lang w:eastAsia="es-CO"/>
        </w:rPr>
        <w:t>JULIO ROBERTO PIZA RODRÍGUEZ</w:t>
      </w:r>
    </w:p>
    <w:p w14:paraId="7D705154"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Arial" w:eastAsia="Times New Roman" w:hAnsi="Arial" w:cs="Arial"/>
          <w:color w:val="000000"/>
          <w:szCs w:val="24"/>
          <w:lang w:eastAsia="es-CO"/>
        </w:rPr>
        <w:br w:type="textWrapping" w:clear="all"/>
      </w:r>
    </w:p>
    <w:p w14:paraId="58ECF6FB"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Arial" w:eastAsia="Times New Roman" w:hAnsi="Arial" w:cs="Arial"/>
          <w:color w:val="000000"/>
          <w:szCs w:val="24"/>
          <w:lang w:eastAsia="es-CO"/>
        </w:rPr>
        <w:pict w14:anchorId="6D66883E">
          <v:rect id="_x0000_i1025" style="width:145.85pt;height:.6pt" o:hrpct="330" o:hrstd="t" o:hr="t" fillcolor="#a0a0a0" stroked="f"/>
        </w:pict>
      </w:r>
    </w:p>
    <w:bookmarkStart w:id="3" w:name="_ftn1"/>
    <w:p w14:paraId="15CBD194"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Arial" w:eastAsia="Times New Roman" w:hAnsi="Arial" w:cs="Arial"/>
          <w:color w:val="000000"/>
          <w:szCs w:val="24"/>
          <w:lang w:eastAsia="es-CO"/>
        </w:rPr>
        <w:fldChar w:fldCharType="begin"/>
      </w:r>
      <w:r w:rsidRPr="004A4ED1">
        <w:rPr>
          <w:rFonts w:ascii="Arial" w:eastAsia="Times New Roman" w:hAnsi="Arial" w:cs="Arial"/>
          <w:color w:val="000000"/>
          <w:szCs w:val="24"/>
          <w:lang w:eastAsia="es-CO"/>
        </w:rPr>
        <w:instrText xml:space="preserve"> HYPERLINK "https://www.ceta.org.co/html/vista_de_un_documento.asp?DocumentoID=42858" \l "_ftnref1" \o "" </w:instrText>
      </w:r>
      <w:r w:rsidRPr="004A4ED1">
        <w:rPr>
          <w:rFonts w:ascii="Arial" w:eastAsia="Times New Roman" w:hAnsi="Arial" w:cs="Arial"/>
          <w:color w:val="000000"/>
          <w:szCs w:val="24"/>
          <w:lang w:eastAsia="es-CO"/>
        </w:rPr>
        <w:fldChar w:fldCharType="separate"/>
      </w:r>
      <w:r w:rsidRPr="004A4ED1">
        <w:rPr>
          <w:rFonts w:ascii="Segoe UI" w:eastAsia="Times New Roman" w:hAnsi="Segoe UI" w:cs="Segoe UI"/>
          <w:color w:val="0089E1"/>
          <w:szCs w:val="24"/>
          <w:lang w:eastAsia="es-CO"/>
        </w:rPr>
        <w:t>[1]</w:t>
      </w:r>
      <w:r w:rsidRPr="004A4ED1">
        <w:rPr>
          <w:rFonts w:ascii="Arial" w:eastAsia="Times New Roman" w:hAnsi="Arial" w:cs="Arial"/>
          <w:color w:val="000000"/>
          <w:szCs w:val="24"/>
          <w:lang w:eastAsia="es-CO"/>
        </w:rPr>
        <w:fldChar w:fldCharType="end"/>
      </w:r>
      <w:bookmarkEnd w:id="3"/>
      <w:r w:rsidRPr="004A4ED1">
        <w:rPr>
          <w:rFonts w:ascii="Segoe UI" w:eastAsia="Times New Roman" w:hAnsi="Segoe UI" w:cs="Segoe UI"/>
          <w:color w:val="000000"/>
          <w:szCs w:val="24"/>
          <w:lang w:eastAsia="es-CO"/>
        </w:rPr>
        <w:t> Citó la Circular externa nro. 115-000006, del 23 de diciembre de 2009, de la primera entidad y el Oficio nro. 077256, del 11 de septiembre de 2006, de la última.</w:t>
      </w:r>
    </w:p>
    <w:p w14:paraId="4733DECD"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color w:val="000000"/>
          <w:szCs w:val="24"/>
          <w:lang w:eastAsia="es-CO"/>
        </w:rPr>
        <w:t> </w:t>
      </w:r>
    </w:p>
    <w:bookmarkStart w:id="4" w:name="_ftn2"/>
    <w:p w14:paraId="2BF7359E"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Arial" w:eastAsia="Times New Roman" w:hAnsi="Arial" w:cs="Arial"/>
          <w:color w:val="000000"/>
          <w:szCs w:val="24"/>
          <w:lang w:eastAsia="es-CO"/>
        </w:rPr>
        <w:fldChar w:fldCharType="begin"/>
      </w:r>
      <w:r w:rsidRPr="004A4ED1">
        <w:rPr>
          <w:rFonts w:ascii="Arial" w:eastAsia="Times New Roman" w:hAnsi="Arial" w:cs="Arial"/>
          <w:color w:val="000000"/>
          <w:szCs w:val="24"/>
          <w:lang w:eastAsia="es-CO"/>
        </w:rPr>
        <w:instrText xml:space="preserve"> HYPERLINK "https://www.ceta.org.co/html/vista_de_un_documento.asp?DocumentoID=42858" \l "_ftnref2" \o "" </w:instrText>
      </w:r>
      <w:r w:rsidRPr="004A4ED1">
        <w:rPr>
          <w:rFonts w:ascii="Arial" w:eastAsia="Times New Roman" w:hAnsi="Arial" w:cs="Arial"/>
          <w:color w:val="000000"/>
          <w:szCs w:val="24"/>
          <w:lang w:eastAsia="es-CO"/>
        </w:rPr>
        <w:fldChar w:fldCharType="separate"/>
      </w:r>
      <w:r w:rsidRPr="004A4ED1">
        <w:rPr>
          <w:rFonts w:ascii="Segoe UI" w:eastAsia="Times New Roman" w:hAnsi="Segoe UI" w:cs="Segoe UI"/>
          <w:color w:val="0089E1"/>
          <w:szCs w:val="24"/>
          <w:lang w:eastAsia="es-CO"/>
        </w:rPr>
        <w:t>[2]</w:t>
      </w:r>
      <w:r w:rsidRPr="004A4ED1">
        <w:rPr>
          <w:rFonts w:ascii="Arial" w:eastAsia="Times New Roman" w:hAnsi="Arial" w:cs="Arial"/>
          <w:color w:val="000000"/>
          <w:szCs w:val="24"/>
          <w:lang w:eastAsia="es-CO"/>
        </w:rPr>
        <w:fldChar w:fldCharType="end"/>
      </w:r>
      <w:bookmarkEnd w:id="4"/>
      <w:r w:rsidRPr="004A4ED1">
        <w:rPr>
          <w:rFonts w:ascii="Segoe UI" w:eastAsia="Times New Roman" w:hAnsi="Segoe UI" w:cs="Segoe UI"/>
          <w:color w:val="000000"/>
          <w:szCs w:val="24"/>
          <w:lang w:eastAsia="es-CO"/>
        </w:rPr>
        <w:t> Sentencias del 13 de diciembre de 2017 (</w:t>
      </w:r>
      <w:proofErr w:type="spellStart"/>
      <w:r w:rsidRPr="004A4ED1">
        <w:rPr>
          <w:rFonts w:ascii="Segoe UI" w:eastAsia="Times New Roman" w:hAnsi="Segoe UI" w:cs="Segoe UI"/>
          <w:color w:val="000000"/>
          <w:szCs w:val="24"/>
          <w:lang w:eastAsia="es-CO"/>
        </w:rPr>
        <w:t>exp</w:t>
      </w:r>
      <w:proofErr w:type="spellEnd"/>
      <w:r w:rsidRPr="004A4ED1">
        <w:rPr>
          <w:rFonts w:ascii="Segoe UI" w:eastAsia="Times New Roman" w:hAnsi="Segoe UI" w:cs="Segoe UI"/>
          <w:color w:val="000000"/>
          <w:szCs w:val="24"/>
          <w:lang w:eastAsia="es-CO"/>
        </w:rPr>
        <w:t>. 20858, CP: Jorge Octavio Ramírez Ramírez), del 22 de febrero de 2018 (</w:t>
      </w:r>
      <w:proofErr w:type="spellStart"/>
      <w:r w:rsidRPr="004A4ED1">
        <w:rPr>
          <w:rFonts w:ascii="Segoe UI" w:eastAsia="Times New Roman" w:hAnsi="Segoe UI" w:cs="Segoe UI"/>
          <w:color w:val="000000"/>
          <w:szCs w:val="24"/>
          <w:lang w:eastAsia="es-CO"/>
        </w:rPr>
        <w:t>exp</w:t>
      </w:r>
      <w:proofErr w:type="spellEnd"/>
      <w:r w:rsidRPr="004A4ED1">
        <w:rPr>
          <w:rFonts w:ascii="Segoe UI" w:eastAsia="Times New Roman" w:hAnsi="Segoe UI" w:cs="Segoe UI"/>
          <w:color w:val="000000"/>
          <w:szCs w:val="24"/>
          <w:lang w:eastAsia="es-CO"/>
        </w:rPr>
        <w:t>. 21453, CP: </w:t>
      </w:r>
      <w:proofErr w:type="spellStart"/>
      <w:r w:rsidRPr="004A4ED1">
        <w:rPr>
          <w:rFonts w:ascii="Segoe UI" w:eastAsia="Times New Roman" w:hAnsi="Segoe UI" w:cs="Segoe UI"/>
          <w:i/>
          <w:iCs/>
          <w:color w:val="000000"/>
          <w:szCs w:val="24"/>
          <w:lang w:eastAsia="es-CO"/>
        </w:rPr>
        <w:t>ibídem</w:t>
      </w:r>
      <w:proofErr w:type="spellEnd"/>
      <w:r w:rsidRPr="004A4ED1">
        <w:rPr>
          <w:rFonts w:ascii="Segoe UI" w:eastAsia="Times New Roman" w:hAnsi="Segoe UI" w:cs="Segoe UI"/>
          <w:color w:val="000000"/>
          <w:szCs w:val="24"/>
          <w:lang w:eastAsia="es-CO"/>
        </w:rPr>
        <w:t>) y del 08 de marzo del 2019 (</w:t>
      </w:r>
      <w:proofErr w:type="spellStart"/>
      <w:r w:rsidRPr="004A4ED1">
        <w:rPr>
          <w:rFonts w:ascii="Segoe UI" w:eastAsia="Times New Roman" w:hAnsi="Segoe UI" w:cs="Segoe UI"/>
          <w:color w:val="000000"/>
          <w:szCs w:val="24"/>
          <w:lang w:eastAsia="es-CO"/>
        </w:rPr>
        <w:t>exp</w:t>
      </w:r>
      <w:proofErr w:type="spellEnd"/>
      <w:r w:rsidRPr="004A4ED1">
        <w:rPr>
          <w:rFonts w:ascii="Segoe UI" w:eastAsia="Times New Roman" w:hAnsi="Segoe UI" w:cs="Segoe UI"/>
          <w:color w:val="000000"/>
          <w:szCs w:val="24"/>
          <w:lang w:eastAsia="es-CO"/>
        </w:rPr>
        <w:t>. 21295, CP: Julio Roberto Piza Rodríguez).</w:t>
      </w:r>
    </w:p>
    <w:p w14:paraId="45D0AB64"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Segoe UI" w:eastAsia="Times New Roman" w:hAnsi="Segoe UI" w:cs="Segoe UI"/>
          <w:color w:val="000000"/>
          <w:szCs w:val="24"/>
          <w:lang w:eastAsia="es-CO"/>
        </w:rPr>
        <w:t> </w:t>
      </w:r>
    </w:p>
    <w:bookmarkStart w:id="5" w:name="_ftn3"/>
    <w:p w14:paraId="714BEF9F" w14:textId="77777777" w:rsidR="004A4ED1" w:rsidRPr="004A4ED1" w:rsidRDefault="004A4ED1" w:rsidP="004A4ED1">
      <w:pPr>
        <w:spacing w:after="0" w:line="240" w:lineRule="auto"/>
        <w:jc w:val="both"/>
        <w:rPr>
          <w:rFonts w:ascii="Arial" w:eastAsia="Times New Roman" w:hAnsi="Arial" w:cs="Arial"/>
          <w:color w:val="000000"/>
          <w:szCs w:val="24"/>
          <w:lang w:eastAsia="es-CO"/>
        </w:rPr>
      </w:pPr>
      <w:r w:rsidRPr="004A4ED1">
        <w:rPr>
          <w:rFonts w:ascii="Arial" w:eastAsia="Times New Roman" w:hAnsi="Arial" w:cs="Arial"/>
          <w:color w:val="000000"/>
          <w:szCs w:val="24"/>
          <w:lang w:eastAsia="es-CO"/>
        </w:rPr>
        <w:fldChar w:fldCharType="begin"/>
      </w:r>
      <w:r w:rsidRPr="004A4ED1">
        <w:rPr>
          <w:rFonts w:ascii="Arial" w:eastAsia="Times New Roman" w:hAnsi="Arial" w:cs="Arial"/>
          <w:color w:val="000000"/>
          <w:szCs w:val="24"/>
          <w:lang w:eastAsia="es-CO"/>
        </w:rPr>
        <w:instrText xml:space="preserve"> HYPERLINK "https://www.ceta.org.co/html/vista_de_un_documento.asp?DocumentoID=42858" \l "_ftnref3" \o "" </w:instrText>
      </w:r>
      <w:r w:rsidRPr="004A4ED1">
        <w:rPr>
          <w:rFonts w:ascii="Arial" w:eastAsia="Times New Roman" w:hAnsi="Arial" w:cs="Arial"/>
          <w:color w:val="000000"/>
          <w:szCs w:val="24"/>
          <w:lang w:eastAsia="es-CO"/>
        </w:rPr>
        <w:fldChar w:fldCharType="separate"/>
      </w:r>
      <w:r w:rsidRPr="004A4ED1">
        <w:rPr>
          <w:rFonts w:ascii="Segoe UI" w:eastAsia="Times New Roman" w:hAnsi="Segoe UI" w:cs="Segoe UI"/>
          <w:color w:val="0089E1"/>
          <w:szCs w:val="24"/>
          <w:lang w:eastAsia="es-CO"/>
        </w:rPr>
        <w:t>[3]</w:t>
      </w:r>
      <w:r w:rsidRPr="004A4ED1">
        <w:rPr>
          <w:rFonts w:ascii="Arial" w:eastAsia="Times New Roman" w:hAnsi="Arial" w:cs="Arial"/>
          <w:color w:val="000000"/>
          <w:szCs w:val="24"/>
          <w:lang w:eastAsia="es-CO"/>
        </w:rPr>
        <w:fldChar w:fldCharType="end"/>
      </w:r>
      <w:bookmarkEnd w:id="5"/>
      <w:r w:rsidRPr="004A4ED1">
        <w:rPr>
          <w:rFonts w:ascii="Segoe UI" w:eastAsia="Times New Roman" w:hAnsi="Segoe UI" w:cs="Segoe UI"/>
          <w:color w:val="000000"/>
          <w:szCs w:val="24"/>
          <w:lang w:eastAsia="es-CO"/>
        </w:rPr>
        <w:t> Sentencias del 09 de diciembre de 2004 (</w:t>
      </w:r>
      <w:proofErr w:type="spellStart"/>
      <w:r w:rsidRPr="004A4ED1">
        <w:rPr>
          <w:rFonts w:ascii="Segoe UI" w:eastAsia="Times New Roman" w:hAnsi="Segoe UI" w:cs="Segoe UI"/>
          <w:color w:val="000000"/>
          <w:szCs w:val="24"/>
          <w:lang w:eastAsia="es-CO"/>
        </w:rPr>
        <w:t>exp</w:t>
      </w:r>
      <w:proofErr w:type="spellEnd"/>
      <w:r w:rsidRPr="004A4ED1">
        <w:rPr>
          <w:rFonts w:ascii="Segoe UI" w:eastAsia="Times New Roman" w:hAnsi="Segoe UI" w:cs="Segoe UI"/>
          <w:color w:val="000000"/>
          <w:szCs w:val="24"/>
          <w:lang w:eastAsia="es-CO"/>
        </w:rPr>
        <w:t>. 14307, CP: María Inés Ortiz Barbosa), del 05 de octubre de 2016 (</w:t>
      </w:r>
      <w:proofErr w:type="spellStart"/>
      <w:r w:rsidRPr="004A4ED1">
        <w:rPr>
          <w:rFonts w:ascii="Segoe UI" w:eastAsia="Times New Roman" w:hAnsi="Segoe UI" w:cs="Segoe UI"/>
          <w:color w:val="000000"/>
          <w:szCs w:val="24"/>
          <w:lang w:eastAsia="es-CO"/>
        </w:rPr>
        <w:t>exp</w:t>
      </w:r>
      <w:proofErr w:type="spellEnd"/>
      <w:r w:rsidRPr="004A4ED1">
        <w:rPr>
          <w:rFonts w:ascii="Segoe UI" w:eastAsia="Times New Roman" w:hAnsi="Segoe UI" w:cs="Segoe UI"/>
          <w:color w:val="000000"/>
          <w:szCs w:val="24"/>
          <w:lang w:eastAsia="es-CO"/>
        </w:rPr>
        <w:t>. 19366, CP: Jorge Octavio Ramírez Ramírez), del 13 de diciembre de 2017 (</w:t>
      </w:r>
      <w:proofErr w:type="spellStart"/>
      <w:r w:rsidRPr="004A4ED1">
        <w:rPr>
          <w:rFonts w:ascii="Segoe UI" w:eastAsia="Times New Roman" w:hAnsi="Segoe UI" w:cs="Segoe UI"/>
          <w:color w:val="000000"/>
          <w:szCs w:val="24"/>
          <w:lang w:eastAsia="es-CO"/>
        </w:rPr>
        <w:t>exp</w:t>
      </w:r>
      <w:proofErr w:type="spellEnd"/>
      <w:r w:rsidRPr="004A4ED1">
        <w:rPr>
          <w:rFonts w:ascii="Segoe UI" w:eastAsia="Times New Roman" w:hAnsi="Segoe UI" w:cs="Segoe UI"/>
          <w:color w:val="000000"/>
          <w:szCs w:val="24"/>
          <w:lang w:eastAsia="es-CO"/>
        </w:rPr>
        <w:t>. 20858, CP: </w:t>
      </w:r>
      <w:proofErr w:type="spellStart"/>
      <w:r w:rsidRPr="004A4ED1">
        <w:rPr>
          <w:rFonts w:ascii="Segoe UI" w:eastAsia="Times New Roman" w:hAnsi="Segoe UI" w:cs="Segoe UI"/>
          <w:i/>
          <w:iCs/>
          <w:color w:val="000000"/>
          <w:szCs w:val="24"/>
          <w:lang w:eastAsia="es-CO"/>
        </w:rPr>
        <w:t>ibídem</w:t>
      </w:r>
      <w:proofErr w:type="spellEnd"/>
      <w:r w:rsidRPr="004A4ED1">
        <w:rPr>
          <w:rFonts w:ascii="Segoe UI" w:eastAsia="Times New Roman" w:hAnsi="Segoe UI" w:cs="Segoe UI"/>
          <w:color w:val="000000"/>
          <w:szCs w:val="24"/>
          <w:lang w:eastAsia="es-CO"/>
        </w:rPr>
        <w:t>) y del 14 de junio de 2018 (</w:t>
      </w:r>
      <w:proofErr w:type="spellStart"/>
      <w:r w:rsidRPr="004A4ED1">
        <w:rPr>
          <w:rFonts w:ascii="Segoe UI" w:eastAsia="Times New Roman" w:hAnsi="Segoe UI" w:cs="Segoe UI"/>
          <w:color w:val="000000"/>
          <w:szCs w:val="24"/>
          <w:lang w:eastAsia="es-CO"/>
        </w:rPr>
        <w:t>exp</w:t>
      </w:r>
      <w:proofErr w:type="spellEnd"/>
      <w:r w:rsidRPr="004A4ED1">
        <w:rPr>
          <w:rFonts w:ascii="Segoe UI" w:eastAsia="Times New Roman" w:hAnsi="Segoe UI" w:cs="Segoe UI"/>
          <w:color w:val="000000"/>
          <w:szCs w:val="24"/>
          <w:lang w:eastAsia="es-CO"/>
        </w:rPr>
        <w:t>. 20821, CP: Milton Chaves García).</w:t>
      </w:r>
    </w:p>
    <w:p w14:paraId="430707FF" w14:textId="77777777" w:rsidR="007F5CC8" w:rsidRPr="004A4ED1" w:rsidRDefault="007F5CC8">
      <w:pPr>
        <w:rPr>
          <w:szCs w:val="24"/>
        </w:rPr>
      </w:pPr>
    </w:p>
    <w:p w14:paraId="0BCE20FE" w14:textId="77777777" w:rsidR="004A4ED1" w:rsidRPr="004A4ED1" w:rsidRDefault="004A4ED1">
      <w:pPr>
        <w:rPr>
          <w:szCs w:val="24"/>
        </w:rPr>
      </w:pPr>
    </w:p>
    <w:sectPr w:rsidR="004A4ED1" w:rsidRPr="004A4ED1"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D1"/>
    <w:rsid w:val="000F3837"/>
    <w:rsid w:val="001E311E"/>
    <w:rsid w:val="00434AE6"/>
    <w:rsid w:val="004A4ED1"/>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6D7EC"/>
  <w15:chartTrackingRefBased/>
  <w15:docId w15:val="{FBDF6220-90FF-40E6-BF0F-EBBA255D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132107">
      <w:bodyDiv w:val="1"/>
      <w:marLeft w:val="0"/>
      <w:marRight w:val="0"/>
      <w:marTop w:val="0"/>
      <w:marBottom w:val="0"/>
      <w:divBdr>
        <w:top w:val="none" w:sz="0" w:space="0" w:color="auto"/>
        <w:left w:val="none" w:sz="0" w:space="0" w:color="auto"/>
        <w:bottom w:val="none" w:sz="0" w:space="0" w:color="auto"/>
        <w:right w:val="none" w:sz="0" w:space="0" w:color="auto"/>
      </w:divBdr>
      <w:divsChild>
        <w:div w:id="600993284">
          <w:marLeft w:val="0"/>
          <w:marRight w:val="0"/>
          <w:marTop w:val="0"/>
          <w:marBottom w:val="0"/>
          <w:divBdr>
            <w:top w:val="none" w:sz="0" w:space="0" w:color="auto"/>
            <w:left w:val="none" w:sz="0" w:space="0" w:color="auto"/>
            <w:bottom w:val="none" w:sz="0" w:space="0" w:color="auto"/>
            <w:right w:val="none" w:sz="0" w:space="0" w:color="auto"/>
          </w:divBdr>
        </w:div>
        <w:div w:id="644048546">
          <w:marLeft w:val="0"/>
          <w:marRight w:val="0"/>
          <w:marTop w:val="0"/>
          <w:marBottom w:val="0"/>
          <w:divBdr>
            <w:top w:val="none" w:sz="0" w:space="0" w:color="auto"/>
            <w:left w:val="none" w:sz="0" w:space="0" w:color="auto"/>
            <w:bottom w:val="none" w:sz="0" w:space="0" w:color="auto"/>
            <w:right w:val="none" w:sz="0" w:space="0" w:color="auto"/>
          </w:divBdr>
        </w:div>
        <w:div w:id="2137675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919" TargetMode="External"/><Relationship Id="rId13" Type="http://schemas.openxmlformats.org/officeDocument/2006/relationships/hyperlink" Target="https://www.ceta.org.co/html/vista_de_un_articulo.asp?Norma=42" TargetMode="External"/><Relationship Id="rId18" Type="http://schemas.openxmlformats.org/officeDocument/2006/relationships/hyperlink" Target="https://www.ceta.org.co/html/vista_de_un_articulo.asp?Norma=155"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eta.org.co/html/vista_de_un_articulo.asp?Norma=804" TargetMode="External"/><Relationship Id="rId12" Type="http://schemas.openxmlformats.org/officeDocument/2006/relationships/hyperlink" Target="https://www.ceta.org.co/html/vista_de_un_articulo.asp?Norma=155" TargetMode="External"/><Relationship Id="rId17" Type="http://schemas.openxmlformats.org/officeDocument/2006/relationships/hyperlink" Target="https://www.ceta.org.co/html/vista_de_un_articulo.asp?Norma=155" TargetMode="External"/><Relationship Id="rId2" Type="http://schemas.openxmlformats.org/officeDocument/2006/relationships/settings" Target="settings.xml"/><Relationship Id="rId16" Type="http://schemas.openxmlformats.org/officeDocument/2006/relationships/hyperlink" Target="https://www.ceta.org.co/html/vista_de_un_articulo.asp?Norma=96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155" TargetMode="External"/><Relationship Id="rId11" Type="http://schemas.openxmlformats.org/officeDocument/2006/relationships/hyperlink" Target="https://www.ceta.org.co/html/vista_de_un_articulo.asp?Norma=155" TargetMode="External"/><Relationship Id="rId5" Type="http://schemas.openxmlformats.org/officeDocument/2006/relationships/hyperlink" Target="https://www.ceta.org.co/html/vista_de_un_articulo.asp?Norma=56" TargetMode="External"/><Relationship Id="rId15" Type="http://schemas.openxmlformats.org/officeDocument/2006/relationships/hyperlink" Target="https://www.ceta.org.co/html/vista_de_un_articulo.asp?Norma=961" TargetMode="External"/><Relationship Id="rId10" Type="http://schemas.openxmlformats.org/officeDocument/2006/relationships/hyperlink" Target="https://www.ceta.org.co/html/vista_de_un_articulo.asp?Norma=155" TargetMode="External"/><Relationship Id="rId19" Type="http://schemas.openxmlformats.org/officeDocument/2006/relationships/hyperlink" Target="https://www.ceta.org.co/html/vista_de_un_articulo.asp?Norma=155" TargetMode="External"/><Relationship Id="rId4" Type="http://schemas.openxmlformats.org/officeDocument/2006/relationships/hyperlink" Target="https://www.ceta.org.co/html/vista_de_un_articulo.asp?Norma=1073" TargetMode="External"/><Relationship Id="rId9" Type="http://schemas.openxmlformats.org/officeDocument/2006/relationships/hyperlink" Target="https://www.ceta.org.co/html/vista_de_un_articulo.asp?Norma=923" TargetMode="External"/><Relationship Id="rId14" Type="http://schemas.openxmlformats.org/officeDocument/2006/relationships/hyperlink" Target="https://www.ceta.org.co/html/vista_de_un_articulo.asp?Norma=96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7584</Words>
  <Characters>41717</Characters>
  <Application>Microsoft Office Word</Application>
  <DocSecurity>0</DocSecurity>
  <Lines>347</Lines>
  <Paragraphs>98</Paragraphs>
  <ScaleCrop>false</ScaleCrop>
  <Company/>
  <LinksUpToDate>false</LinksUpToDate>
  <CharactersWithSpaces>49203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2021-12-10T18:05:00Z</dcterms:created>
  <dcterms:modified xsi:type="dcterms:W3CDTF">2021-12-10T18:07:00Z</dcterms:modified>
</cp:coreProperties>
</file>