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E3E" w:rsidRPr="00382E3E" w:rsidRDefault="00382E3E" w:rsidP="00382E3E">
      <w:pPr>
        <w:spacing w:line="240" w:lineRule="auto"/>
        <w:jc w:val="center"/>
        <w:rPr>
          <w:rFonts w:ascii="Arial" w:eastAsia="Times New Roman" w:hAnsi="Arial" w:cs="Arial"/>
          <w:color w:val="000000"/>
          <w:sz w:val="18"/>
          <w:szCs w:val="18"/>
          <w:lang w:eastAsia="es-ES"/>
        </w:rPr>
      </w:pPr>
      <w:r w:rsidRPr="00382E3E">
        <w:rPr>
          <w:rFonts w:ascii="Segoe UI" w:eastAsia="Times New Roman" w:hAnsi="Segoe UI" w:cs="Segoe UI"/>
          <w:b/>
          <w:bCs/>
          <w:color w:val="0000FF"/>
          <w:sz w:val="28"/>
          <w:szCs w:val="28"/>
          <w:lang w:val="es-CO" w:eastAsia="es-ES"/>
        </w:rPr>
        <w:t xml:space="preserve">COMUNICADO </w:t>
      </w:r>
      <w:proofErr w:type="spellStart"/>
      <w:r w:rsidRPr="00382E3E">
        <w:rPr>
          <w:rFonts w:ascii="Segoe UI" w:eastAsia="Times New Roman" w:hAnsi="Segoe UI" w:cs="Segoe UI"/>
          <w:b/>
          <w:bCs/>
          <w:color w:val="0000FF"/>
          <w:sz w:val="28"/>
          <w:szCs w:val="28"/>
          <w:lang w:val="es-CO" w:eastAsia="es-ES"/>
        </w:rPr>
        <w:t>Nº</w:t>
      </w:r>
      <w:proofErr w:type="spellEnd"/>
      <w:r w:rsidRPr="00382E3E">
        <w:rPr>
          <w:rFonts w:ascii="Segoe UI" w:eastAsia="Times New Roman" w:hAnsi="Segoe UI" w:cs="Segoe UI"/>
          <w:b/>
          <w:bCs/>
          <w:color w:val="0000FF"/>
          <w:sz w:val="28"/>
          <w:szCs w:val="28"/>
          <w:lang w:val="es-CO" w:eastAsia="es-ES"/>
        </w:rPr>
        <w:t xml:space="preserve"> 08</w:t>
      </w:r>
    </w:p>
    <w:p w:rsidR="00382E3E" w:rsidRPr="00382E3E" w:rsidRDefault="00382E3E" w:rsidP="00382E3E">
      <w:pPr>
        <w:spacing w:line="240" w:lineRule="auto"/>
        <w:jc w:val="center"/>
        <w:rPr>
          <w:rFonts w:ascii="Arial" w:eastAsia="Times New Roman" w:hAnsi="Arial" w:cs="Arial"/>
          <w:color w:val="000000"/>
          <w:sz w:val="18"/>
          <w:szCs w:val="18"/>
          <w:lang w:eastAsia="es-ES"/>
        </w:rPr>
      </w:pPr>
      <w:r w:rsidRPr="00382E3E">
        <w:rPr>
          <w:rFonts w:ascii="Segoe UI" w:eastAsia="Times New Roman" w:hAnsi="Segoe UI" w:cs="Segoe UI"/>
          <w:b/>
          <w:bCs/>
          <w:color w:val="0000FF"/>
          <w:sz w:val="28"/>
          <w:szCs w:val="28"/>
          <w:lang w:val="es-CO" w:eastAsia="es-ES"/>
        </w:rPr>
        <w:t>19/20-02 - 2020</w:t>
      </w:r>
    </w:p>
    <w:p w:rsidR="00382E3E" w:rsidRPr="00382E3E" w:rsidRDefault="00382E3E" w:rsidP="00382E3E">
      <w:pPr>
        <w:spacing w:line="240" w:lineRule="auto"/>
        <w:jc w:val="center"/>
        <w:rPr>
          <w:rFonts w:ascii="Arial" w:eastAsia="Times New Roman" w:hAnsi="Arial" w:cs="Arial"/>
          <w:color w:val="000000"/>
          <w:sz w:val="18"/>
          <w:szCs w:val="18"/>
          <w:lang w:eastAsia="es-ES"/>
        </w:rPr>
      </w:pPr>
      <w:r w:rsidRPr="00382E3E">
        <w:rPr>
          <w:rFonts w:ascii="Segoe UI" w:eastAsia="Times New Roman" w:hAnsi="Segoe UI" w:cs="Segoe UI"/>
          <w:b/>
          <w:bCs/>
          <w:color w:val="0000FF"/>
          <w:sz w:val="28"/>
          <w:szCs w:val="28"/>
          <w:lang w:val="es-CO" w:eastAsia="es-ES"/>
        </w:rPr>
        <w:t>CORTE CONSTITUCIONAL</w:t>
      </w:r>
    </w:p>
    <w:p w:rsidR="00382E3E" w:rsidRPr="00382E3E" w:rsidRDefault="00382E3E" w:rsidP="00382E3E">
      <w:pPr>
        <w:spacing w:line="240" w:lineRule="auto"/>
        <w:rPr>
          <w:rFonts w:ascii="Segoe UI" w:eastAsia="Times New Roman" w:hAnsi="Segoe UI" w:cs="Segoe UI"/>
          <w:color w:val="2E5395"/>
          <w:sz w:val="18"/>
          <w:szCs w:val="18"/>
          <w:lang w:val="es-CO" w:eastAsia="es-ES"/>
        </w:rPr>
      </w:pPr>
      <w:r w:rsidRPr="00382E3E">
        <w:rPr>
          <w:rFonts w:ascii="Segoe UI" w:eastAsia="Times New Roman" w:hAnsi="Segoe UI" w:cs="Segoe UI"/>
          <w:color w:val="2E5395"/>
          <w:sz w:val="18"/>
          <w:szCs w:val="18"/>
          <w:lang w:val="es-CO" w:eastAsia="es-ES"/>
        </w:rPr>
        <w:t> </w:t>
      </w:r>
    </w:p>
    <w:p w:rsidR="00382E3E" w:rsidRPr="00382E3E" w:rsidRDefault="00382E3E" w:rsidP="00382E3E">
      <w:pPr>
        <w:spacing w:line="240" w:lineRule="auto"/>
        <w:rPr>
          <w:rFonts w:ascii="Segoe UI" w:eastAsia="Times New Roman" w:hAnsi="Segoe UI" w:cs="Segoe UI"/>
          <w:color w:val="2E5395"/>
          <w:sz w:val="18"/>
          <w:szCs w:val="18"/>
          <w:lang w:val="es-CO" w:eastAsia="es-ES"/>
        </w:rPr>
      </w:pPr>
      <w:r w:rsidRPr="00382E3E">
        <w:rPr>
          <w:rFonts w:ascii="Segoe UI" w:eastAsia="Times New Roman" w:hAnsi="Segoe UI" w:cs="Segoe UI"/>
          <w:color w:val="2E5395"/>
          <w:sz w:val="18"/>
          <w:szCs w:val="18"/>
          <w:lang w:val="es-CO" w:eastAsia="es-ES"/>
        </w:rPr>
        <w:t> </w:t>
      </w:r>
    </w:p>
    <w:p w:rsidR="00382E3E" w:rsidRPr="00382E3E" w:rsidRDefault="00382E3E" w:rsidP="00382E3E">
      <w:pPr>
        <w:spacing w:line="240" w:lineRule="auto"/>
        <w:rPr>
          <w:rFonts w:ascii="Segoe UI" w:eastAsia="Times New Roman" w:hAnsi="Segoe UI" w:cs="Segoe UI"/>
          <w:color w:val="2E5395"/>
          <w:sz w:val="18"/>
          <w:szCs w:val="18"/>
          <w:lang w:val="es-CO" w:eastAsia="es-ES"/>
        </w:rPr>
      </w:pPr>
      <w:r w:rsidRPr="00382E3E">
        <w:rPr>
          <w:rFonts w:ascii="Segoe UI" w:eastAsia="Times New Roman" w:hAnsi="Segoe UI" w:cs="Segoe UI"/>
          <w:b/>
          <w:bCs/>
          <w:color w:val="000000"/>
          <w:sz w:val="18"/>
          <w:szCs w:val="18"/>
          <w:lang w:val="es-CO" w:eastAsia="es-ES"/>
        </w:rPr>
        <w:t>POR DESCONOCIMIENTO DEL PRINCIPIO DE UNIDAD DE MATERIA, LA CORTE DECLARÓ LA INEXEQUIBILIDAD DE LA NORMA QUE ESTABLECE EL INGRESO BASE DE COTIZACIÓN DE LOS INDEPENDIENTES AL SISTEMA DE SEGURIDAD SOCIAL INTEGRAL, POR CUANTO NO EXISTE VÍNCULO DIRECTO E INMEDIATO CON LOS OBJETIVOS, METAS O ESTRATEGIAS DE LA LEY DEL PLAN O EL DOCUMENTO QUE CONTIENE LAS BASES DEL PLAN NACIONAL DE DESARROLLO 2018-2021. LOS EFECTOS DE LA INCONSTITUCIONALIDAD SE DIFIRIERON HASTA EL VENCIMIENTO DE LAS DOS LEGISLATURAS ORDINARIAS SIGUIENTES</w:t>
      </w:r>
    </w:p>
    <w:p w:rsidR="00382E3E" w:rsidRPr="00382E3E" w:rsidRDefault="00382E3E" w:rsidP="00382E3E">
      <w:pPr>
        <w:spacing w:line="240" w:lineRule="auto"/>
        <w:rPr>
          <w:rFonts w:ascii="Segoe UI" w:eastAsia="Times New Roman" w:hAnsi="Segoe UI" w:cs="Segoe UI"/>
          <w:color w:val="2E5395"/>
          <w:sz w:val="18"/>
          <w:szCs w:val="18"/>
          <w:lang w:val="es-CO" w:eastAsia="es-ES"/>
        </w:rPr>
      </w:pPr>
      <w:r w:rsidRPr="00382E3E">
        <w:rPr>
          <w:rFonts w:ascii="Segoe UI" w:eastAsia="Times New Roman" w:hAnsi="Segoe UI" w:cs="Segoe UI"/>
          <w:color w:val="000000"/>
          <w:sz w:val="18"/>
          <w:szCs w:val="18"/>
          <w:lang w:val="es-CO" w:eastAsia="es-ES"/>
        </w:rPr>
        <w:t> </w:t>
      </w:r>
    </w:p>
    <w:p w:rsidR="00382E3E" w:rsidRPr="00382E3E" w:rsidRDefault="00382E3E" w:rsidP="00382E3E">
      <w:pPr>
        <w:spacing w:line="240" w:lineRule="auto"/>
        <w:rPr>
          <w:rFonts w:ascii="Segoe UI" w:eastAsia="Times New Roman" w:hAnsi="Segoe UI" w:cs="Segoe UI"/>
          <w:color w:val="2E5395"/>
          <w:sz w:val="18"/>
          <w:szCs w:val="18"/>
          <w:lang w:val="es-CO" w:eastAsia="es-ES"/>
        </w:rPr>
      </w:pPr>
      <w:r w:rsidRPr="00382E3E">
        <w:rPr>
          <w:rFonts w:ascii="Segoe UI" w:eastAsia="Times New Roman" w:hAnsi="Segoe UI" w:cs="Segoe UI"/>
          <w:b/>
          <w:bCs/>
          <w:color w:val="000000"/>
          <w:sz w:val="18"/>
          <w:szCs w:val="18"/>
          <w:lang w:val="es-CO" w:eastAsia="es-ES"/>
        </w:rPr>
        <w:t>I. EXPEDIENTE D-13343 - SENTENCIA C-068/20 (febrero 19)</w:t>
      </w:r>
    </w:p>
    <w:p w:rsidR="00382E3E" w:rsidRPr="00382E3E" w:rsidRDefault="00382E3E" w:rsidP="00382E3E">
      <w:pPr>
        <w:spacing w:line="240" w:lineRule="auto"/>
        <w:rPr>
          <w:rFonts w:ascii="Segoe UI" w:eastAsia="Times New Roman" w:hAnsi="Segoe UI" w:cs="Segoe UI"/>
          <w:color w:val="2E5395"/>
          <w:sz w:val="18"/>
          <w:szCs w:val="18"/>
          <w:lang w:val="es-CO" w:eastAsia="es-ES"/>
        </w:rPr>
      </w:pPr>
      <w:r w:rsidRPr="00382E3E">
        <w:rPr>
          <w:rFonts w:ascii="Segoe UI" w:eastAsia="Times New Roman" w:hAnsi="Segoe UI" w:cs="Segoe UI"/>
          <w:color w:val="000000"/>
          <w:sz w:val="18"/>
          <w:szCs w:val="18"/>
          <w:lang w:val="es-CO" w:eastAsia="es-ES"/>
        </w:rPr>
        <w:t>M.P. Diana Fajardo Rivera</w:t>
      </w:r>
    </w:p>
    <w:p w:rsidR="00382E3E" w:rsidRPr="00382E3E" w:rsidRDefault="00382E3E" w:rsidP="00382E3E">
      <w:pPr>
        <w:spacing w:line="240" w:lineRule="auto"/>
        <w:rPr>
          <w:rFonts w:ascii="Segoe UI" w:eastAsia="Times New Roman" w:hAnsi="Segoe UI" w:cs="Segoe UI"/>
          <w:color w:val="2E5395"/>
          <w:sz w:val="18"/>
          <w:szCs w:val="18"/>
          <w:lang w:val="es-CO" w:eastAsia="es-ES"/>
        </w:rPr>
      </w:pPr>
      <w:r w:rsidRPr="00382E3E">
        <w:rPr>
          <w:rFonts w:ascii="Segoe UI" w:eastAsia="Times New Roman" w:hAnsi="Segoe UI" w:cs="Segoe UI"/>
          <w:color w:val="000000"/>
          <w:sz w:val="18"/>
          <w:szCs w:val="18"/>
          <w:lang w:val="es-CO" w:eastAsia="es-ES"/>
        </w:rPr>
        <w:t> </w:t>
      </w:r>
    </w:p>
    <w:p w:rsidR="00382E3E" w:rsidRPr="00382E3E" w:rsidRDefault="00382E3E" w:rsidP="00382E3E">
      <w:pPr>
        <w:spacing w:line="240" w:lineRule="auto"/>
        <w:rPr>
          <w:rFonts w:ascii="Segoe UI" w:eastAsia="Times New Roman" w:hAnsi="Segoe UI" w:cs="Segoe UI"/>
          <w:color w:val="2E5395"/>
          <w:sz w:val="18"/>
          <w:szCs w:val="18"/>
          <w:lang w:val="es-CO" w:eastAsia="es-ES"/>
        </w:rPr>
      </w:pPr>
      <w:r w:rsidRPr="00382E3E">
        <w:rPr>
          <w:rFonts w:ascii="Segoe UI" w:eastAsia="Times New Roman" w:hAnsi="Segoe UI" w:cs="Segoe UI"/>
          <w:b/>
          <w:bCs/>
          <w:color w:val="000000"/>
          <w:sz w:val="18"/>
          <w:szCs w:val="18"/>
          <w:lang w:val="es-CO" w:eastAsia="es-ES"/>
        </w:rPr>
        <w:t>1. Norma acusada</w:t>
      </w:r>
    </w:p>
    <w:p w:rsidR="00382E3E" w:rsidRPr="00382E3E" w:rsidRDefault="00382E3E" w:rsidP="00382E3E">
      <w:pPr>
        <w:spacing w:line="240" w:lineRule="auto"/>
        <w:jc w:val="center"/>
        <w:rPr>
          <w:rFonts w:ascii="Segoe UI" w:eastAsia="Times New Roman" w:hAnsi="Segoe UI" w:cs="Segoe UI"/>
          <w:color w:val="2E5395"/>
          <w:sz w:val="18"/>
          <w:szCs w:val="18"/>
          <w:lang w:val="es-CO" w:eastAsia="es-ES"/>
        </w:rPr>
      </w:pPr>
      <w:r w:rsidRPr="00382E3E">
        <w:rPr>
          <w:rFonts w:ascii="Segoe UI" w:eastAsia="Times New Roman" w:hAnsi="Segoe UI" w:cs="Segoe UI"/>
          <w:color w:val="2E5395"/>
          <w:sz w:val="18"/>
          <w:szCs w:val="18"/>
          <w:lang w:val="es-CO" w:eastAsia="es-ES"/>
        </w:rPr>
        <w:t> </w:t>
      </w:r>
    </w:p>
    <w:p w:rsidR="00382E3E" w:rsidRPr="00382E3E" w:rsidRDefault="00382E3E" w:rsidP="00382E3E">
      <w:pPr>
        <w:spacing w:line="240" w:lineRule="auto"/>
        <w:jc w:val="center"/>
        <w:rPr>
          <w:rFonts w:ascii="Segoe UI" w:eastAsia="Times New Roman" w:hAnsi="Segoe UI" w:cs="Segoe UI"/>
          <w:color w:val="000000"/>
          <w:sz w:val="18"/>
          <w:szCs w:val="18"/>
          <w:lang w:val="es-CO" w:eastAsia="es-ES"/>
        </w:rPr>
      </w:pPr>
      <w:r w:rsidRPr="00382E3E">
        <w:rPr>
          <w:rFonts w:ascii="Segoe UI" w:eastAsia="Times New Roman" w:hAnsi="Segoe UI" w:cs="Segoe UI"/>
          <w:b/>
          <w:bCs/>
          <w:i/>
          <w:iCs/>
          <w:color w:val="000000"/>
          <w:sz w:val="22"/>
          <w:lang w:val="es-CO" w:eastAsia="es-ES"/>
        </w:rPr>
        <w:t>LEY 1955 DE 2019</w:t>
      </w:r>
    </w:p>
    <w:p w:rsidR="00382E3E" w:rsidRPr="00382E3E" w:rsidRDefault="00382E3E" w:rsidP="00382E3E">
      <w:pPr>
        <w:spacing w:line="240" w:lineRule="auto"/>
        <w:jc w:val="center"/>
        <w:rPr>
          <w:rFonts w:ascii="Segoe UI" w:eastAsia="Times New Roman" w:hAnsi="Segoe UI" w:cs="Segoe UI"/>
          <w:color w:val="000000"/>
          <w:sz w:val="18"/>
          <w:szCs w:val="18"/>
          <w:lang w:val="es-CO" w:eastAsia="es-ES"/>
        </w:rPr>
      </w:pPr>
      <w:r w:rsidRPr="00382E3E">
        <w:rPr>
          <w:rFonts w:ascii="Segoe UI" w:eastAsia="Times New Roman" w:hAnsi="Segoe UI" w:cs="Segoe UI"/>
          <w:i/>
          <w:iCs/>
          <w:color w:val="000000"/>
          <w:sz w:val="22"/>
          <w:lang w:val="es-CO" w:eastAsia="es-ES"/>
        </w:rPr>
        <w:t>(mayo 25)</w:t>
      </w:r>
    </w:p>
    <w:p w:rsidR="00382E3E" w:rsidRPr="00382E3E" w:rsidRDefault="00382E3E" w:rsidP="00382E3E">
      <w:pPr>
        <w:spacing w:line="240" w:lineRule="auto"/>
        <w:jc w:val="center"/>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t> </w:t>
      </w:r>
    </w:p>
    <w:p w:rsidR="00382E3E" w:rsidRPr="00382E3E" w:rsidRDefault="00382E3E" w:rsidP="00382E3E">
      <w:pPr>
        <w:spacing w:line="240" w:lineRule="auto"/>
        <w:jc w:val="center"/>
        <w:rPr>
          <w:rFonts w:ascii="Segoe UI" w:eastAsia="Times New Roman" w:hAnsi="Segoe UI" w:cs="Segoe UI"/>
          <w:color w:val="000000"/>
          <w:sz w:val="18"/>
          <w:szCs w:val="18"/>
          <w:lang w:val="es-CO" w:eastAsia="es-ES"/>
        </w:rPr>
      </w:pPr>
      <w:r w:rsidRPr="00382E3E">
        <w:rPr>
          <w:rFonts w:ascii="Segoe UI" w:eastAsia="Times New Roman" w:hAnsi="Segoe UI" w:cs="Segoe UI"/>
          <w:i/>
          <w:iCs/>
          <w:color w:val="000000"/>
          <w:sz w:val="22"/>
          <w:lang w:val="es-CO" w:eastAsia="es-ES"/>
        </w:rPr>
        <w:t>Por el cual se expide el Plan Nacional de Desarrollo 2018-2022. “Pacto por Colombia, Pacto por la Equidad”</w:t>
      </w:r>
    </w:p>
    <w:p w:rsidR="00382E3E" w:rsidRPr="00382E3E" w:rsidRDefault="00382E3E" w:rsidP="00382E3E">
      <w:pPr>
        <w:spacing w:line="240" w:lineRule="auto"/>
        <w:jc w:val="center"/>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t> </w:t>
      </w:r>
    </w:p>
    <w:p w:rsidR="00382E3E" w:rsidRPr="00382E3E" w:rsidRDefault="00382E3E" w:rsidP="00382E3E">
      <w:pPr>
        <w:spacing w:line="240" w:lineRule="auto"/>
        <w:jc w:val="center"/>
        <w:rPr>
          <w:rFonts w:ascii="Segoe UI" w:eastAsia="Times New Roman" w:hAnsi="Segoe UI" w:cs="Segoe UI"/>
          <w:color w:val="000000"/>
          <w:sz w:val="18"/>
          <w:szCs w:val="18"/>
          <w:lang w:val="es-CO" w:eastAsia="es-ES"/>
        </w:rPr>
      </w:pPr>
      <w:r w:rsidRPr="00382E3E">
        <w:rPr>
          <w:rFonts w:ascii="Segoe UI" w:eastAsia="Times New Roman" w:hAnsi="Segoe UI" w:cs="Segoe UI"/>
          <w:b/>
          <w:bCs/>
          <w:i/>
          <w:iCs/>
          <w:color w:val="000000"/>
          <w:sz w:val="22"/>
          <w:lang w:val="es-CO" w:eastAsia="es-ES"/>
        </w:rPr>
        <w:t>TÍTULO II</w:t>
      </w:r>
    </w:p>
    <w:p w:rsidR="00382E3E" w:rsidRPr="00382E3E" w:rsidRDefault="00382E3E" w:rsidP="00382E3E">
      <w:pPr>
        <w:spacing w:line="240" w:lineRule="auto"/>
        <w:jc w:val="center"/>
        <w:rPr>
          <w:rFonts w:ascii="Segoe UI" w:eastAsia="Times New Roman" w:hAnsi="Segoe UI" w:cs="Segoe UI"/>
          <w:color w:val="000000"/>
          <w:sz w:val="18"/>
          <w:szCs w:val="18"/>
          <w:lang w:val="es-CO" w:eastAsia="es-ES"/>
        </w:rPr>
      </w:pPr>
      <w:r w:rsidRPr="00382E3E">
        <w:rPr>
          <w:rFonts w:ascii="Segoe UI" w:eastAsia="Times New Roman" w:hAnsi="Segoe UI" w:cs="Segoe UI"/>
          <w:i/>
          <w:iCs/>
          <w:color w:val="000000"/>
          <w:sz w:val="22"/>
          <w:lang w:val="es-CO" w:eastAsia="es-ES"/>
        </w:rPr>
        <w:t>(…)</w:t>
      </w:r>
    </w:p>
    <w:p w:rsidR="00382E3E" w:rsidRPr="00382E3E" w:rsidRDefault="00382E3E" w:rsidP="00382E3E">
      <w:pPr>
        <w:spacing w:line="240" w:lineRule="auto"/>
        <w:jc w:val="center"/>
        <w:rPr>
          <w:rFonts w:ascii="Segoe UI" w:eastAsia="Times New Roman" w:hAnsi="Segoe UI" w:cs="Segoe UI"/>
          <w:color w:val="000000"/>
          <w:sz w:val="18"/>
          <w:szCs w:val="18"/>
          <w:lang w:val="es-CO" w:eastAsia="es-ES"/>
        </w:rPr>
      </w:pPr>
      <w:r w:rsidRPr="00382E3E">
        <w:rPr>
          <w:rFonts w:ascii="Segoe UI" w:eastAsia="Times New Roman" w:hAnsi="Segoe UI" w:cs="Segoe UI"/>
          <w:b/>
          <w:bCs/>
          <w:i/>
          <w:iCs/>
          <w:color w:val="000000"/>
          <w:sz w:val="22"/>
          <w:lang w:val="es-CO" w:eastAsia="es-ES"/>
        </w:rPr>
        <w:t>CAPÍTULO II.</w:t>
      </w:r>
    </w:p>
    <w:p w:rsidR="00382E3E" w:rsidRPr="00382E3E" w:rsidRDefault="00382E3E" w:rsidP="00382E3E">
      <w:pPr>
        <w:spacing w:line="240" w:lineRule="auto"/>
        <w:jc w:val="center"/>
        <w:rPr>
          <w:rFonts w:ascii="Segoe UI" w:eastAsia="Times New Roman" w:hAnsi="Segoe UI" w:cs="Segoe UI"/>
          <w:color w:val="000000"/>
          <w:sz w:val="18"/>
          <w:szCs w:val="18"/>
          <w:lang w:val="es-CO" w:eastAsia="es-ES"/>
        </w:rPr>
      </w:pPr>
      <w:r w:rsidRPr="00382E3E">
        <w:rPr>
          <w:rFonts w:ascii="Segoe UI" w:eastAsia="Times New Roman" w:hAnsi="Segoe UI" w:cs="Segoe UI"/>
          <w:b/>
          <w:bCs/>
          <w:i/>
          <w:iCs/>
          <w:color w:val="000000"/>
          <w:sz w:val="22"/>
          <w:lang w:val="es-CO" w:eastAsia="es-ES"/>
        </w:rPr>
        <w:t>MECANISMOS DE EJECUCIÓN DEL PLAN.</w:t>
      </w:r>
    </w:p>
    <w:p w:rsidR="00382E3E" w:rsidRPr="00382E3E" w:rsidRDefault="00382E3E" w:rsidP="00382E3E">
      <w:pPr>
        <w:spacing w:line="240" w:lineRule="auto"/>
        <w:jc w:val="center"/>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t> </w:t>
      </w:r>
    </w:p>
    <w:p w:rsidR="00382E3E" w:rsidRPr="00382E3E" w:rsidRDefault="00382E3E" w:rsidP="00382E3E">
      <w:pPr>
        <w:spacing w:line="240" w:lineRule="auto"/>
        <w:jc w:val="center"/>
        <w:rPr>
          <w:rFonts w:ascii="Segoe UI" w:eastAsia="Times New Roman" w:hAnsi="Segoe UI" w:cs="Segoe UI"/>
          <w:color w:val="000000"/>
          <w:sz w:val="18"/>
          <w:szCs w:val="18"/>
          <w:lang w:val="es-CO" w:eastAsia="es-ES"/>
        </w:rPr>
      </w:pPr>
      <w:r w:rsidRPr="00382E3E">
        <w:rPr>
          <w:rFonts w:ascii="Segoe UI" w:eastAsia="Times New Roman" w:hAnsi="Segoe UI" w:cs="Segoe UI"/>
          <w:b/>
          <w:bCs/>
          <w:i/>
          <w:iCs/>
          <w:color w:val="000000"/>
          <w:sz w:val="22"/>
          <w:lang w:val="es-CO" w:eastAsia="es-ES"/>
        </w:rPr>
        <w:t>SECCIÓN III</w:t>
      </w:r>
    </w:p>
    <w:p w:rsidR="00382E3E" w:rsidRPr="00382E3E" w:rsidRDefault="00382E3E" w:rsidP="00382E3E">
      <w:pPr>
        <w:spacing w:line="240" w:lineRule="auto"/>
        <w:jc w:val="center"/>
        <w:rPr>
          <w:rFonts w:ascii="Segoe UI" w:eastAsia="Times New Roman" w:hAnsi="Segoe UI" w:cs="Segoe UI"/>
          <w:color w:val="000000"/>
          <w:sz w:val="18"/>
          <w:szCs w:val="18"/>
          <w:lang w:val="es-CO" w:eastAsia="es-ES"/>
        </w:rPr>
      </w:pPr>
      <w:r w:rsidRPr="00382E3E">
        <w:rPr>
          <w:rFonts w:ascii="Segoe UI" w:eastAsia="Times New Roman" w:hAnsi="Segoe UI" w:cs="Segoe UI"/>
          <w:i/>
          <w:iCs/>
          <w:color w:val="000000"/>
          <w:sz w:val="22"/>
          <w:lang w:val="es-CO" w:eastAsia="es-ES"/>
        </w:rPr>
        <w:t>(…)</w:t>
      </w:r>
    </w:p>
    <w:p w:rsidR="00382E3E" w:rsidRPr="00382E3E" w:rsidRDefault="00382E3E" w:rsidP="00382E3E">
      <w:pPr>
        <w:spacing w:line="240" w:lineRule="auto"/>
        <w:jc w:val="center"/>
        <w:rPr>
          <w:rFonts w:ascii="Segoe UI" w:eastAsia="Times New Roman" w:hAnsi="Segoe UI" w:cs="Segoe UI"/>
          <w:color w:val="000000"/>
          <w:sz w:val="18"/>
          <w:szCs w:val="18"/>
          <w:lang w:val="es-CO" w:eastAsia="es-ES"/>
        </w:rPr>
      </w:pPr>
      <w:r w:rsidRPr="00382E3E">
        <w:rPr>
          <w:rFonts w:ascii="Segoe UI" w:eastAsia="Times New Roman" w:hAnsi="Segoe UI" w:cs="Segoe UI"/>
          <w:b/>
          <w:bCs/>
          <w:i/>
          <w:iCs/>
          <w:color w:val="000000"/>
          <w:sz w:val="22"/>
          <w:lang w:val="es-CO" w:eastAsia="es-ES"/>
        </w:rPr>
        <w:t>SUBSECCIÓN 4</w:t>
      </w:r>
    </w:p>
    <w:p w:rsidR="00382E3E" w:rsidRPr="00382E3E" w:rsidRDefault="00382E3E" w:rsidP="00382E3E">
      <w:pPr>
        <w:spacing w:line="240" w:lineRule="auto"/>
        <w:jc w:val="center"/>
        <w:rPr>
          <w:rFonts w:ascii="Segoe UI" w:eastAsia="Times New Roman" w:hAnsi="Segoe UI" w:cs="Segoe UI"/>
          <w:color w:val="000000"/>
          <w:sz w:val="18"/>
          <w:szCs w:val="18"/>
          <w:lang w:val="es-CO" w:eastAsia="es-ES"/>
        </w:rPr>
      </w:pPr>
      <w:r w:rsidRPr="00382E3E">
        <w:rPr>
          <w:rFonts w:ascii="Segoe UI" w:eastAsia="Times New Roman" w:hAnsi="Segoe UI" w:cs="Segoe UI"/>
          <w:b/>
          <w:bCs/>
          <w:i/>
          <w:iCs/>
          <w:color w:val="000000"/>
          <w:sz w:val="22"/>
          <w:lang w:val="es-CO" w:eastAsia="es-ES"/>
        </w:rPr>
        <w:t>EQUIDAD EN LA SALUD</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t> </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22"/>
          <w:lang w:val="es-CO" w:eastAsia="es-ES"/>
        </w:rPr>
        <w:t>(…)</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b/>
          <w:bCs/>
          <w:color w:val="000000"/>
          <w:sz w:val="22"/>
          <w:lang w:val="es-CO" w:eastAsia="es-ES"/>
        </w:rPr>
        <w:t>ARTÍCULO 244. INGRESO BASE DE COTIZACIÓN (IBC) DE LOS INDEPENDIENTES. </w:t>
      </w:r>
      <w:r w:rsidRPr="00382E3E">
        <w:rPr>
          <w:rFonts w:ascii="Segoe UI" w:eastAsia="Times New Roman" w:hAnsi="Segoe UI" w:cs="Segoe UI"/>
          <w:color w:val="000000"/>
          <w:sz w:val="22"/>
          <w:lang w:val="es-CO" w:eastAsia="es-ES"/>
        </w:rPr>
        <w:t>Los trabajadores independientes con ingresos netos iguales o superiores a 1 salario mínimo legal mensual vigente que celebren contratos de prestación de servicios personales, cotizarán mes vencido al Sistema de Seguridad Social Integral, sobre una base mínima del 40% del valor mensualizado del contrato, sin incluir el valor del Impuesto al Valor Agregado (IVA).</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t> </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22"/>
          <w:lang w:val="es-CO" w:eastAsia="es-ES"/>
        </w:rPr>
        <w:t>Los independientes por cuenta propia y los trabajadores independientes con contratos diferentes a prestación de servicios personales con ingresos netos iguales o superiores a un (1) salario mínimo legal mensual vigente efectuarán su cotización mes vencido, sobre una base mínima de cotización del 40% del valor mensualizado de los ingresos, sin incluir el valor del Impuesto al Valor Agregado (IVA). En estos casos será procedente la imputación de costos y deducciones siempre que se cumplan los criterios determinados en el </w:t>
      </w:r>
      <w:hyperlink r:id="rId4" w:tooltip="Estatuto Tributario CETA" w:history="1">
        <w:r w:rsidRPr="00382E3E">
          <w:rPr>
            <w:rFonts w:ascii="Segoe UI" w:eastAsia="Times New Roman" w:hAnsi="Segoe UI" w:cs="Segoe UI"/>
            <w:color w:val="0089E1"/>
            <w:sz w:val="22"/>
            <w:u w:val="single"/>
            <w:lang w:val="es-CO" w:eastAsia="es-ES"/>
          </w:rPr>
          <w:t>artículo 107</w:t>
        </w:r>
      </w:hyperlink>
      <w:r w:rsidRPr="00382E3E">
        <w:rPr>
          <w:rFonts w:ascii="Segoe UI" w:eastAsia="Times New Roman" w:hAnsi="Segoe UI" w:cs="Segoe UI"/>
          <w:color w:val="000000"/>
          <w:sz w:val="22"/>
          <w:lang w:val="es-CO" w:eastAsia="es-ES"/>
        </w:rPr>
        <w:t> del Estatuto Tributario y sin exceder los valores incluidos en la declaración de renta de la respectiva vigencia.</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t> </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22"/>
          <w:lang w:val="es-CO" w:eastAsia="es-ES"/>
        </w:rPr>
        <w:t>El Gobierno nacional reglamentará el mecanismo para realizar la mensualización de que trata el presente artículo.</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t> </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b/>
          <w:bCs/>
          <w:color w:val="000000"/>
          <w:sz w:val="22"/>
          <w:lang w:val="es-CO" w:eastAsia="es-ES"/>
        </w:rPr>
        <w:t>PARÁGRAFO. </w:t>
      </w:r>
      <w:r w:rsidRPr="00382E3E">
        <w:rPr>
          <w:rFonts w:ascii="Segoe UI" w:eastAsia="Times New Roman" w:hAnsi="Segoe UI" w:cs="Segoe UI"/>
          <w:color w:val="000000"/>
          <w:sz w:val="22"/>
          <w:lang w:val="es-CO" w:eastAsia="es-ES"/>
        </w:rPr>
        <w:t>Para efectos de la determinación del ingreso base de cotización de los trabajadores independientes por cuenta propia y para quienes celebren contratos diferentes de prestación de servicios personales que impliquen subcontratación y/o compra de insumos o expensas, la Unidad de Gestión Pensional y Parafiscales (UGPP) deberá, atendiendo a los datos estadísticos producidos por la Dirección de Impuestos y Aduanas Nacionales (DIAN), por el Departamento Administrativo Nacional de Estadística, por el Banco de la República, por la Superintendencia de Sociedades u otras entidades cuyas estadísticas fueren aplicables, determinar un esquema de presunción de costos.</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lastRenderedPageBreak/>
        <w:t> </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22"/>
          <w:lang w:val="es-CO" w:eastAsia="es-ES"/>
        </w:rPr>
        <w:t>No obstante lo anterior, los obligados podrán establecer costos diferentes de los definidos por el esquema de presunción de costos de la UGPP, siempre y cuando cuenten con los documentos que soporten los costos y deducciones, los cuales deben cumplir con los requisitos establecidos en el </w:t>
      </w:r>
      <w:hyperlink r:id="rId5" w:tooltip="Estatuto Tributario CETA" w:history="1">
        <w:r w:rsidRPr="00382E3E">
          <w:rPr>
            <w:rFonts w:ascii="Segoe UI" w:eastAsia="Times New Roman" w:hAnsi="Segoe UI" w:cs="Segoe UI"/>
            <w:color w:val="0089E1"/>
            <w:sz w:val="22"/>
            <w:u w:val="single"/>
            <w:lang w:val="es-CO" w:eastAsia="es-ES"/>
          </w:rPr>
          <w:t>artículo 107</w:t>
        </w:r>
      </w:hyperlink>
      <w:r w:rsidRPr="00382E3E">
        <w:rPr>
          <w:rFonts w:ascii="Segoe UI" w:eastAsia="Times New Roman" w:hAnsi="Segoe UI" w:cs="Segoe UI"/>
          <w:color w:val="000000"/>
          <w:sz w:val="22"/>
          <w:lang w:val="es-CO" w:eastAsia="es-ES"/>
        </w:rPr>
        <w:t> del Estatuto Tributario y demás normas que regulen las exigencias para la validez de dichos documentos.</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t> </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b/>
          <w:bCs/>
          <w:color w:val="000000"/>
          <w:sz w:val="18"/>
          <w:szCs w:val="18"/>
          <w:lang w:val="es-CO" w:eastAsia="es-ES"/>
        </w:rPr>
        <w:t>PARÁGRAFO 2o. </w:t>
      </w:r>
      <w:r w:rsidRPr="00382E3E">
        <w:rPr>
          <w:rFonts w:ascii="Segoe UI" w:eastAsia="Times New Roman" w:hAnsi="Segoe UI" w:cs="Segoe UI"/>
          <w:color w:val="000000"/>
          <w:sz w:val="18"/>
          <w:szCs w:val="18"/>
          <w:lang w:val="es-CO" w:eastAsia="es-ES"/>
        </w:rPr>
        <w:t>&lt;Parágrafo adicionado por el artículo 139 de la Ley 2010 de 2019. El nuevo texto es el siguiente:&gt; La UGPP podrá aplicar el esquema de presunción previsto en el parágrafo anterior a los procesos de fiscalización en curso y a los que se inicien respecto de cualquier vigencia fiscal y a los que, siendo procedente y sin requerir el consentimiento previo, estén o llegaren a estar en trámite de resolver a través de revocación directa y no dispongan de una situación jurídica consolidada por pago.</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t> </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22"/>
          <w:lang w:val="es-CO" w:eastAsia="es-ES"/>
        </w:rPr>
        <w:t>Los plazos que se encuentren cursando para resolver recursos o la revocatoria directa de actos administrativos proferidos por la UGPP en la materia, se ampliarán en el mismo término del inicialmente definido por la ley.</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t> </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22"/>
          <w:lang w:val="es-CO" w:eastAsia="es-ES"/>
        </w:rPr>
        <w:t>A las decisiones resultantes de la aplicación de la presente disposición también le será aplicable lo dispuesto en el artículo 110 de la presente ley, cuyo plazo para solicitar la transacción con la UGPP será el 31 de diciembre de 2020.</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t> </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b/>
          <w:bCs/>
          <w:color w:val="000000"/>
          <w:sz w:val="22"/>
          <w:lang w:val="es-CO" w:eastAsia="es-ES"/>
        </w:rPr>
        <w:t>2. Decisión</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t> </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b/>
          <w:bCs/>
          <w:color w:val="000000"/>
          <w:sz w:val="22"/>
          <w:lang w:val="es-CO" w:eastAsia="es-ES"/>
        </w:rPr>
        <w:t>Primero. - </w:t>
      </w:r>
      <w:r w:rsidRPr="00382E3E">
        <w:rPr>
          <w:rFonts w:ascii="Segoe UI" w:eastAsia="Times New Roman" w:hAnsi="Segoe UI" w:cs="Segoe UI"/>
          <w:color w:val="000000"/>
          <w:sz w:val="22"/>
          <w:lang w:val="es-CO" w:eastAsia="es-ES"/>
        </w:rPr>
        <w:t>Declarar </w:t>
      </w:r>
      <w:r w:rsidRPr="00382E3E">
        <w:rPr>
          <w:rFonts w:ascii="Segoe UI" w:eastAsia="Times New Roman" w:hAnsi="Segoe UI" w:cs="Segoe UI"/>
          <w:b/>
          <w:bCs/>
          <w:color w:val="000000"/>
          <w:sz w:val="22"/>
          <w:lang w:val="es-CO" w:eastAsia="es-ES"/>
        </w:rPr>
        <w:t>INEXEQUIBLE </w:t>
      </w:r>
      <w:r w:rsidRPr="00382E3E">
        <w:rPr>
          <w:rFonts w:ascii="Segoe UI" w:eastAsia="Times New Roman" w:hAnsi="Segoe UI" w:cs="Segoe UI"/>
          <w:color w:val="000000"/>
          <w:sz w:val="22"/>
          <w:lang w:val="es-CO" w:eastAsia="es-ES"/>
        </w:rPr>
        <w:t>el artículo 244 de la Ley 1955 de 2019 “Por la cual se expide el Plan Nacional de Desarrollo 2018-2022, </w:t>
      </w:r>
      <w:r w:rsidRPr="00382E3E">
        <w:rPr>
          <w:rFonts w:ascii="Segoe UI" w:eastAsia="Times New Roman" w:hAnsi="Segoe UI" w:cs="Segoe UI"/>
          <w:i/>
          <w:iCs/>
          <w:color w:val="000000"/>
          <w:sz w:val="22"/>
          <w:lang w:val="es-CO" w:eastAsia="es-ES"/>
        </w:rPr>
        <w:t>“Pacto por Colombia, pacto por la equidad”</w:t>
      </w:r>
      <w:r w:rsidRPr="00382E3E">
        <w:rPr>
          <w:rFonts w:ascii="Segoe UI" w:eastAsia="Times New Roman" w:hAnsi="Segoe UI" w:cs="Segoe UI"/>
          <w:color w:val="000000"/>
          <w:sz w:val="22"/>
          <w:lang w:val="es-CO" w:eastAsia="es-ES"/>
        </w:rPr>
        <w:t>, por infracción al principio de unidad de materia.</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t> </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b/>
          <w:bCs/>
          <w:color w:val="000000"/>
          <w:sz w:val="22"/>
          <w:lang w:val="es-CO" w:eastAsia="es-ES"/>
        </w:rPr>
        <w:t>Segundo. - </w:t>
      </w:r>
      <w:r w:rsidRPr="00382E3E">
        <w:rPr>
          <w:rFonts w:ascii="Segoe UI" w:eastAsia="Times New Roman" w:hAnsi="Segoe UI" w:cs="Segoe UI"/>
          <w:color w:val="000000"/>
          <w:sz w:val="22"/>
          <w:lang w:val="es-CO" w:eastAsia="es-ES"/>
        </w:rPr>
        <w:t>Diferir los efectos de la inconstitucionalidad declarada hasta el vencimiento de las dos legislaturas ordinarias siguientes, contadas a partir de la notificación de esta sentencia.</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t> </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b/>
          <w:bCs/>
          <w:color w:val="000000"/>
          <w:sz w:val="22"/>
          <w:lang w:val="es-CO" w:eastAsia="es-ES"/>
        </w:rPr>
        <w:t>3. Síntesis de la providencia</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t> </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22"/>
          <w:lang w:val="es-CO" w:eastAsia="es-ES"/>
        </w:rPr>
        <w:t>La Sala Plena concluyó que el artículo 244 de la Ley 1955 de 2019 desconoce el mandato constitucional de unidad de materia previsto en el artículo 158 de la Constitución Política, toda vez que no existe un vínculo directo e inmediato entre la regulación del Ingreso Base de Cotización de los trabajadores independientes, los independientes por cuenta propia y los trabajadores independientes con contratos diferentes a prestación de servicios personales y los objetivos, metas o estrategias previstos en la Ley del Plan o en el documento Bases del Plan Nacional de Desarrollo 2018-2022. La Corte difirió los efectos de la decisión hasta el vencimiento de las dos legislaturas ordinarias siguientes, contadas a partir de la notificación de esta sentencia.</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t> </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22"/>
          <w:lang w:val="es-CO" w:eastAsia="es-ES"/>
        </w:rPr>
        <w:t>Para la Corte, la norma acusada no tiene un conexidad directa ni inmediata por las siguientes razones: </w:t>
      </w:r>
      <w:r w:rsidRPr="00382E3E">
        <w:rPr>
          <w:rFonts w:ascii="Segoe UI" w:eastAsia="Times New Roman" w:hAnsi="Segoe UI" w:cs="Segoe UI"/>
          <w:i/>
          <w:iCs/>
          <w:color w:val="000000"/>
          <w:sz w:val="22"/>
          <w:lang w:val="es-CO" w:eastAsia="es-ES"/>
        </w:rPr>
        <w:t>(i) </w:t>
      </w:r>
      <w:r w:rsidRPr="00382E3E">
        <w:rPr>
          <w:rFonts w:ascii="Segoe UI" w:eastAsia="Times New Roman" w:hAnsi="Segoe UI" w:cs="Segoe UI"/>
          <w:color w:val="000000"/>
          <w:sz w:val="22"/>
          <w:lang w:val="es-CO" w:eastAsia="es-ES"/>
        </w:rPr>
        <w:t>la ubicación de la norma en la Ley no responde a una relación sistemática que explique regular el ingreso base de cotización de los trabajadores independientes y los demás temas que hacen parte del pacto por equidad en salud de la Ley 1955 de 2019; </w:t>
      </w:r>
      <w:r w:rsidRPr="00382E3E">
        <w:rPr>
          <w:rFonts w:ascii="Segoe UI" w:eastAsia="Times New Roman" w:hAnsi="Segoe UI" w:cs="Segoe UI"/>
          <w:i/>
          <w:iCs/>
          <w:color w:val="000000"/>
          <w:sz w:val="22"/>
          <w:lang w:val="es-CO" w:eastAsia="es-ES"/>
        </w:rPr>
        <w:t>(</w:t>
      </w:r>
      <w:proofErr w:type="spellStart"/>
      <w:r w:rsidRPr="00382E3E">
        <w:rPr>
          <w:rFonts w:ascii="Segoe UI" w:eastAsia="Times New Roman" w:hAnsi="Segoe UI" w:cs="Segoe UI"/>
          <w:i/>
          <w:iCs/>
          <w:color w:val="000000"/>
          <w:sz w:val="22"/>
          <w:lang w:val="es-CO" w:eastAsia="es-ES"/>
        </w:rPr>
        <w:t>ii</w:t>
      </w:r>
      <w:proofErr w:type="spellEnd"/>
      <w:r w:rsidRPr="00382E3E">
        <w:rPr>
          <w:rFonts w:ascii="Segoe UI" w:eastAsia="Times New Roman" w:hAnsi="Segoe UI" w:cs="Segoe UI"/>
          <w:i/>
          <w:iCs/>
          <w:color w:val="000000"/>
          <w:sz w:val="22"/>
          <w:lang w:val="es-CO" w:eastAsia="es-ES"/>
        </w:rPr>
        <w:t>) </w:t>
      </w:r>
      <w:r w:rsidRPr="00382E3E">
        <w:rPr>
          <w:rFonts w:ascii="Segoe UI" w:eastAsia="Times New Roman" w:hAnsi="Segoe UI" w:cs="Segoe UI"/>
          <w:color w:val="000000"/>
          <w:sz w:val="22"/>
          <w:lang w:val="es-CO" w:eastAsia="es-ES"/>
        </w:rPr>
        <w:t>no se identifica de qué forma instrumental regular el ingreso base de cotización de los trabajadores independientes responde a alguno de los objetivos, metas, planes o estrategias propuestos en el Plan Nacional de Desarrollo, en concreto, al “Pacto por la equidad: política social moderna centrada en la familia, eficiente, de calidad y conectada a mercados” o al “Pacto por el Emprendimiento, la formalización y la productividad: una economía dinámica, incluyente y sostenible que potencie todos nuestros talentos”; </w:t>
      </w:r>
      <w:r w:rsidRPr="00382E3E">
        <w:rPr>
          <w:rFonts w:ascii="Segoe UI" w:eastAsia="Times New Roman" w:hAnsi="Segoe UI" w:cs="Segoe UI"/>
          <w:i/>
          <w:iCs/>
          <w:color w:val="000000"/>
          <w:sz w:val="22"/>
          <w:lang w:val="es-CO" w:eastAsia="es-ES"/>
        </w:rPr>
        <w:t>(</w:t>
      </w:r>
      <w:proofErr w:type="spellStart"/>
      <w:r w:rsidRPr="00382E3E">
        <w:rPr>
          <w:rFonts w:ascii="Segoe UI" w:eastAsia="Times New Roman" w:hAnsi="Segoe UI" w:cs="Segoe UI"/>
          <w:i/>
          <w:iCs/>
          <w:color w:val="000000"/>
          <w:sz w:val="22"/>
          <w:lang w:val="es-CO" w:eastAsia="es-ES"/>
        </w:rPr>
        <w:t>iii</w:t>
      </w:r>
      <w:proofErr w:type="spellEnd"/>
      <w:r w:rsidRPr="00382E3E">
        <w:rPr>
          <w:rFonts w:ascii="Segoe UI" w:eastAsia="Times New Roman" w:hAnsi="Segoe UI" w:cs="Segoe UI"/>
          <w:i/>
          <w:iCs/>
          <w:color w:val="000000"/>
          <w:sz w:val="22"/>
          <w:lang w:val="es-CO" w:eastAsia="es-ES"/>
        </w:rPr>
        <w:t>) </w:t>
      </w:r>
      <w:r w:rsidRPr="00382E3E">
        <w:rPr>
          <w:rFonts w:ascii="Segoe UI" w:eastAsia="Times New Roman" w:hAnsi="Segoe UI" w:cs="Segoe UI"/>
          <w:color w:val="000000"/>
          <w:sz w:val="22"/>
          <w:lang w:val="es-CO" w:eastAsia="es-ES"/>
        </w:rPr>
        <w:t>tampoco es posible identificar un vínculo con cada una de las estrategias asignadas a los ministerios de Trabajo, Salud y Hacienda, o al Departamento Nacional de Planeación o la UGPP; y (</w:t>
      </w:r>
      <w:proofErr w:type="spellStart"/>
      <w:r w:rsidRPr="00382E3E">
        <w:rPr>
          <w:rFonts w:ascii="Segoe UI" w:eastAsia="Times New Roman" w:hAnsi="Segoe UI" w:cs="Segoe UI"/>
          <w:color w:val="000000"/>
          <w:sz w:val="22"/>
          <w:lang w:val="es-CO" w:eastAsia="es-ES"/>
        </w:rPr>
        <w:t>iv</w:t>
      </w:r>
      <w:proofErr w:type="spellEnd"/>
      <w:r w:rsidRPr="00382E3E">
        <w:rPr>
          <w:rFonts w:ascii="Segoe UI" w:eastAsia="Times New Roman" w:hAnsi="Segoe UI" w:cs="Segoe UI"/>
          <w:color w:val="000000"/>
          <w:sz w:val="22"/>
          <w:lang w:val="es-CO" w:eastAsia="es-ES"/>
        </w:rPr>
        <w:t>) porque se pretende llenar un vacío normativo creado por la Ley 1122 de 2007, lo que significa</w:t>
      </w:r>
      <w:r w:rsidRPr="00382E3E">
        <w:rPr>
          <w:rFonts w:ascii="Segoe UI" w:eastAsia="Times New Roman" w:hAnsi="Segoe UI" w:cs="Segoe UI"/>
          <w:b/>
          <w:bCs/>
          <w:color w:val="000000"/>
          <w:sz w:val="22"/>
          <w:lang w:val="es-CO" w:eastAsia="es-ES"/>
        </w:rPr>
        <w:t>, </w:t>
      </w:r>
      <w:r w:rsidRPr="00382E3E">
        <w:rPr>
          <w:rFonts w:ascii="Segoe UI" w:eastAsia="Times New Roman" w:hAnsi="Segoe UI" w:cs="Segoe UI"/>
          <w:color w:val="000000"/>
          <w:sz w:val="22"/>
          <w:lang w:val="es-CO" w:eastAsia="es-ES"/>
        </w:rPr>
        <w:t>siguiendo el precedente fijado en la Sentencia C-219 de 2019, que el artículo 244 censurado es una disposición de índole transversal y con carácter permanente en el ordenamiento jurídico por lo que debería estar incluida en una ley ordinaria y no en la Ley del Plan Nacional de Desarrollo.</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t> </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b/>
          <w:bCs/>
          <w:color w:val="000000"/>
          <w:sz w:val="22"/>
          <w:lang w:val="es-CO" w:eastAsia="es-ES"/>
        </w:rPr>
        <w:t>4. Aclaraciones de voto</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lastRenderedPageBreak/>
        <w:t> </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22"/>
          <w:lang w:val="es-CO" w:eastAsia="es-ES"/>
        </w:rPr>
        <w:t>La magistrada </w:t>
      </w:r>
      <w:r w:rsidRPr="00382E3E">
        <w:rPr>
          <w:rFonts w:ascii="Segoe UI" w:eastAsia="Times New Roman" w:hAnsi="Segoe UI" w:cs="Segoe UI"/>
          <w:b/>
          <w:bCs/>
          <w:color w:val="000000"/>
          <w:sz w:val="22"/>
          <w:lang w:val="es-CO" w:eastAsia="es-ES"/>
        </w:rPr>
        <w:t>DIANA FAJARDO RIVERA </w:t>
      </w:r>
      <w:r w:rsidRPr="00382E3E">
        <w:rPr>
          <w:rFonts w:ascii="Segoe UI" w:eastAsia="Times New Roman" w:hAnsi="Segoe UI" w:cs="Segoe UI"/>
          <w:color w:val="000000"/>
          <w:sz w:val="22"/>
          <w:lang w:val="es-CO" w:eastAsia="es-ES"/>
        </w:rPr>
        <w:t>aclaró el votó por cuanto como fundamento de la posición mayoritaria se reiteró lo decidido en la Sentencia C-219 de 2019, providencia de la cual se apartó al considerar que no existían precedentes para incluir como parte del análisis del principio de unidad de materia lo concerniente a la temporalidad de las normas contenidas en el Plan Nacional de Desarrollo.</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t> </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t>El magistrado </w:t>
      </w:r>
      <w:r w:rsidRPr="00382E3E">
        <w:rPr>
          <w:rFonts w:ascii="Segoe UI" w:eastAsia="Times New Roman" w:hAnsi="Segoe UI" w:cs="Segoe UI"/>
          <w:b/>
          <w:bCs/>
          <w:color w:val="000000"/>
          <w:sz w:val="18"/>
          <w:szCs w:val="18"/>
          <w:lang w:val="es-CO" w:eastAsia="es-ES"/>
        </w:rPr>
        <w:t>ALEJANDRO LINARES CANTILLO </w:t>
      </w:r>
      <w:r w:rsidRPr="00382E3E">
        <w:rPr>
          <w:rFonts w:ascii="Segoe UI" w:eastAsia="Times New Roman" w:hAnsi="Segoe UI" w:cs="Segoe UI"/>
          <w:color w:val="000000"/>
          <w:sz w:val="18"/>
          <w:szCs w:val="18"/>
          <w:lang w:val="es-CO" w:eastAsia="es-ES"/>
        </w:rPr>
        <w:t>aclaró su voto porque, a su juicio, la Sala Plena desarrolló su argumentación sobre la base de lo afirmado por la Corte en la sentencia C-219 de 2019, sin tener en consideración que en el presente caso se trataba de un nuevo Plan Nacional de Desarrollo, lo que ameritaba un análisis particular y más detallado de las razones por las cuales se estimaba que la norma demandada no tenía una conexidad directa con dicho Plan. Tampoco estuvo de acuerdo con la afirmación de que el artículo 244 demandado tuviera como propósito llenar un vacío normativo de la Ley 1122 de 2007, en relación con el ingreso base de cotización de trabajadores independientes con contratos diferentes a la prestación de servicios, pues el artículo 135 de la Ley 1753 de 2015 estableció en su momento un ingreso base de cotización mínimo del 40% del valor mensualizado de los ingresos de los trabajadores independientes por cuenta propia y de los independientes con contrato diferente a prestación de servicios. Esta norma, como lo recuerda el fallo, fue declarada inexequible dos días antes de la expedición de la Ley 1955 de 2019, de manera que el artículo demandado no pudo haber tenido la indicada finalidad.</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t> </w:t>
      </w:r>
    </w:p>
    <w:p w:rsidR="00382E3E" w:rsidRPr="00382E3E" w:rsidRDefault="00382E3E" w:rsidP="00382E3E">
      <w:pPr>
        <w:spacing w:line="240" w:lineRule="auto"/>
        <w:rPr>
          <w:rFonts w:ascii="Segoe UI" w:eastAsia="Times New Roman" w:hAnsi="Segoe UI" w:cs="Segoe UI"/>
          <w:color w:val="000000"/>
          <w:sz w:val="18"/>
          <w:szCs w:val="18"/>
          <w:lang w:val="es-CO" w:eastAsia="es-ES"/>
        </w:rPr>
      </w:pPr>
      <w:r w:rsidRPr="00382E3E">
        <w:rPr>
          <w:rFonts w:ascii="Segoe UI" w:eastAsia="Times New Roman" w:hAnsi="Segoe UI" w:cs="Segoe UI"/>
          <w:color w:val="000000"/>
          <w:sz w:val="18"/>
          <w:szCs w:val="18"/>
          <w:lang w:val="es-CO" w:eastAsia="es-ES"/>
        </w:rPr>
        <w:t>Por su parte, el magistrado </w:t>
      </w:r>
      <w:r w:rsidRPr="00382E3E">
        <w:rPr>
          <w:rFonts w:ascii="Segoe UI" w:eastAsia="Times New Roman" w:hAnsi="Segoe UI" w:cs="Segoe UI"/>
          <w:b/>
          <w:bCs/>
          <w:color w:val="000000"/>
          <w:sz w:val="18"/>
          <w:szCs w:val="18"/>
          <w:lang w:val="es-CO" w:eastAsia="es-ES"/>
        </w:rPr>
        <w:t>ANTONIO JOSÉ LIZARAZO </w:t>
      </w:r>
      <w:r w:rsidRPr="00382E3E">
        <w:rPr>
          <w:rFonts w:ascii="Segoe UI" w:eastAsia="Times New Roman" w:hAnsi="Segoe UI" w:cs="Segoe UI"/>
          <w:color w:val="000000"/>
          <w:sz w:val="18"/>
          <w:szCs w:val="18"/>
          <w:lang w:val="es-CO" w:eastAsia="es-ES"/>
        </w:rPr>
        <w:t>aclaró el voto respecto del énfasis que en su concepto ha de hacerse en la naturaleza de la Ley del Plan Nacional de Desarrollo la cual, según la Constitución, no implica el ejercicio de una facultad legislativa general, que pueda ser utilizada para llenar vacíos normativos que corresponden a leyes ordinarias. Su objeto se limita a señalar los propósitos y objetivos nacionales de largo plazo, las metas y prioridades de la acción estatal a mediano plazo y las estrategias y orientaciones generales de la política económica, social y ambiental que serán adoptadas por el Gobierno, a la vez que establecer el plan de inversiones públicas durante el período de un gobierno (art. 339 CP). Por ello, las únicas normas que admite son aquellas de carácter meramente instrumental, requeridas para poner en marcha un plan de desarrollo específico.</w:t>
      </w:r>
    </w:p>
    <w:p w:rsidR="00382E3E" w:rsidRPr="00382E3E" w:rsidRDefault="00382E3E" w:rsidP="00382E3E">
      <w:pPr>
        <w:spacing w:line="240" w:lineRule="auto"/>
        <w:rPr>
          <w:rFonts w:ascii="Segoe UI" w:eastAsia="Times New Roman" w:hAnsi="Segoe UI" w:cs="Segoe UI"/>
          <w:color w:val="2E5395"/>
          <w:sz w:val="18"/>
          <w:szCs w:val="18"/>
          <w:lang w:val="es-CO" w:eastAsia="es-ES"/>
        </w:rPr>
      </w:pPr>
      <w:r w:rsidRPr="00382E3E">
        <w:rPr>
          <w:rFonts w:ascii="Segoe UI" w:eastAsia="Times New Roman" w:hAnsi="Segoe UI" w:cs="Segoe UI"/>
          <w:color w:val="2E5395"/>
          <w:sz w:val="18"/>
          <w:szCs w:val="18"/>
          <w:lang w:val="es-CO" w:eastAsia="es-ES"/>
        </w:rPr>
        <w:t> </w:t>
      </w:r>
    </w:p>
    <w:p w:rsidR="00382E3E" w:rsidRPr="00382E3E" w:rsidRDefault="00382E3E" w:rsidP="00382E3E">
      <w:pPr>
        <w:spacing w:line="240" w:lineRule="auto"/>
        <w:rPr>
          <w:rFonts w:ascii="Segoe UI" w:eastAsia="Times New Roman" w:hAnsi="Segoe UI" w:cs="Segoe UI"/>
          <w:color w:val="2E5395"/>
          <w:sz w:val="18"/>
          <w:szCs w:val="18"/>
          <w:lang w:val="es-CO" w:eastAsia="es-ES"/>
        </w:rPr>
      </w:pPr>
      <w:r w:rsidRPr="00382E3E">
        <w:rPr>
          <w:rFonts w:ascii="Segoe UI" w:eastAsia="Times New Roman" w:hAnsi="Segoe UI" w:cs="Segoe UI"/>
          <w:color w:val="2E5395"/>
          <w:sz w:val="18"/>
          <w:szCs w:val="18"/>
          <w:lang w:val="es-CO" w:eastAsia="es-ES"/>
        </w:rPr>
        <w:t> </w:t>
      </w:r>
    </w:p>
    <w:p w:rsidR="00382E3E" w:rsidRPr="00382E3E" w:rsidRDefault="00382E3E" w:rsidP="00382E3E">
      <w:pPr>
        <w:spacing w:line="240" w:lineRule="auto"/>
        <w:rPr>
          <w:rFonts w:ascii="Segoe UI" w:eastAsia="Times New Roman" w:hAnsi="Segoe UI" w:cs="Segoe UI"/>
          <w:color w:val="2E5395"/>
          <w:sz w:val="18"/>
          <w:szCs w:val="18"/>
          <w:lang w:val="es-CO" w:eastAsia="es-ES"/>
        </w:rPr>
      </w:pPr>
      <w:r w:rsidRPr="00382E3E">
        <w:rPr>
          <w:rFonts w:ascii="Segoe UI" w:eastAsia="Times New Roman" w:hAnsi="Segoe UI" w:cs="Segoe UI"/>
          <w:b/>
          <w:bCs/>
          <w:color w:val="000000"/>
          <w:sz w:val="18"/>
          <w:szCs w:val="18"/>
          <w:lang w:val="es-CO" w:eastAsia="es-ES"/>
        </w:rPr>
        <w:t>LA CORTE CONSTITUCIONAL RESOLVIÓ QUE EN EL PRESENTE CASO EXISTÍA COSA JUZGADA EN RAZÓN DE LO DECIDIDO EN LA SENTENCIA C-026 DE 2020. EN ESTA PROVIDENCIA SE DECLARARON INCONSTITUCIONALES LOS ARTÍCULOS 274 Y 275 DE LA LEY 1955 PORQUE EL CONGRESO DESBORDÓ SU COMPETENCIA EN MATERIA DE LEYES MARCO SOBRE POLÍTICA COMERCIAL Y POR EL DESCONOCIMIENTO DEL PRINCIPIO CONSTITUCIONAL DE UNIDAD DE MATERIA</w:t>
      </w:r>
    </w:p>
    <w:p w:rsidR="00382E3E" w:rsidRPr="00382E3E" w:rsidRDefault="00382E3E" w:rsidP="00382E3E">
      <w:pPr>
        <w:spacing w:line="240" w:lineRule="auto"/>
        <w:rPr>
          <w:rFonts w:ascii="Segoe UI" w:eastAsia="Times New Roman" w:hAnsi="Segoe UI" w:cs="Segoe UI"/>
          <w:color w:val="2E5395"/>
          <w:sz w:val="18"/>
          <w:szCs w:val="18"/>
          <w:lang w:val="es-CO" w:eastAsia="es-ES"/>
        </w:rPr>
      </w:pPr>
      <w:r w:rsidRPr="00382E3E">
        <w:rPr>
          <w:rFonts w:ascii="Segoe UI" w:eastAsia="Times New Roman" w:hAnsi="Segoe UI" w:cs="Segoe UI"/>
          <w:color w:val="000000"/>
          <w:sz w:val="18"/>
          <w:szCs w:val="18"/>
          <w:lang w:val="es-CO" w:eastAsia="es-ES"/>
        </w:rPr>
        <w:t> </w:t>
      </w:r>
    </w:p>
    <w:p w:rsidR="00382E3E" w:rsidRPr="00382E3E" w:rsidRDefault="00382E3E" w:rsidP="00382E3E">
      <w:pPr>
        <w:spacing w:line="240" w:lineRule="auto"/>
        <w:rPr>
          <w:rFonts w:ascii="Segoe UI" w:eastAsia="Times New Roman" w:hAnsi="Segoe UI" w:cs="Segoe UI"/>
          <w:color w:val="2E5395"/>
          <w:sz w:val="18"/>
          <w:szCs w:val="18"/>
          <w:lang w:val="es-CO" w:eastAsia="es-ES"/>
        </w:rPr>
      </w:pPr>
      <w:r w:rsidRPr="00382E3E">
        <w:rPr>
          <w:rFonts w:ascii="Segoe UI" w:eastAsia="Times New Roman" w:hAnsi="Segoe UI" w:cs="Segoe UI"/>
          <w:b/>
          <w:bCs/>
          <w:color w:val="000000"/>
          <w:sz w:val="18"/>
          <w:szCs w:val="18"/>
          <w:lang w:val="es-CO" w:eastAsia="es-ES"/>
        </w:rPr>
        <w:t>IV. EXPEDIENTE D-13409 - SENTENCIA C-071/20 (febrero 19)</w:t>
      </w:r>
    </w:p>
    <w:p w:rsidR="00382E3E" w:rsidRPr="00382E3E" w:rsidRDefault="00382E3E" w:rsidP="00382E3E">
      <w:pPr>
        <w:spacing w:line="240" w:lineRule="auto"/>
        <w:rPr>
          <w:rFonts w:ascii="Segoe UI" w:eastAsia="Times New Roman" w:hAnsi="Segoe UI" w:cs="Segoe UI"/>
          <w:color w:val="2E5395"/>
          <w:sz w:val="18"/>
          <w:szCs w:val="18"/>
          <w:lang w:val="es-CO" w:eastAsia="es-ES"/>
        </w:rPr>
      </w:pPr>
      <w:r w:rsidRPr="00382E3E">
        <w:rPr>
          <w:rFonts w:ascii="Segoe UI" w:eastAsia="Times New Roman" w:hAnsi="Segoe UI" w:cs="Segoe UI"/>
          <w:color w:val="000000"/>
          <w:sz w:val="18"/>
          <w:szCs w:val="18"/>
          <w:lang w:val="es-CO" w:eastAsia="es-ES"/>
        </w:rPr>
        <w:t>M.P. Cristina Pardo Schlesinger</w:t>
      </w:r>
    </w:p>
    <w:p w:rsidR="00382E3E" w:rsidRPr="00382E3E" w:rsidRDefault="00382E3E" w:rsidP="00382E3E">
      <w:pPr>
        <w:spacing w:line="240" w:lineRule="auto"/>
        <w:rPr>
          <w:rFonts w:ascii="Segoe UI" w:eastAsia="Times New Roman" w:hAnsi="Segoe UI" w:cs="Segoe UI"/>
          <w:color w:val="2E5395"/>
          <w:sz w:val="18"/>
          <w:szCs w:val="18"/>
          <w:lang w:val="es-CO" w:eastAsia="es-ES"/>
        </w:rPr>
      </w:pPr>
      <w:r w:rsidRPr="00382E3E">
        <w:rPr>
          <w:rFonts w:ascii="Segoe UI" w:eastAsia="Times New Roman" w:hAnsi="Segoe UI" w:cs="Segoe UI"/>
          <w:color w:val="000000"/>
          <w:sz w:val="18"/>
          <w:szCs w:val="18"/>
          <w:lang w:val="es-CO" w:eastAsia="es-ES"/>
        </w:rPr>
        <w:t> </w:t>
      </w:r>
    </w:p>
    <w:p w:rsidR="007F5CC8" w:rsidRDefault="007F5CC8">
      <w:bookmarkStart w:id="0" w:name="_GoBack"/>
      <w:bookmarkEnd w:id="0"/>
    </w:p>
    <w:sectPr w:rsidR="007F5CC8"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3E"/>
    <w:rsid w:val="001E311E"/>
    <w:rsid w:val="00382E3E"/>
    <w:rsid w:val="00434AE6"/>
    <w:rsid w:val="007F5CC8"/>
    <w:rsid w:val="008779B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D41E8-AB57-4AC4-AA94-65415009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56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eta.org.co/html/vista_de_un_articulo.asp?Norma=155" TargetMode="External"/><Relationship Id="rId4" Type="http://schemas.openxmlformats.org/officeDocument/2006/relationships/hyperlink" Target="https://www.ceta.org.co/html/vista_de_un_articulo.asp?Norma=15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1561</Words>
  <Characters>8589</Characters>
  <Application>Microsoft Office Word</Application>
  <DocSecurity>0</DocSecurity>
  <Lines>71</Lines>
  <Paragraphs>20</Paragraphs>
  <ScaleCrop>false</ScaleCrop>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2020-02-26T22:28:00Z</dcterms:created>
  <dcterms:modified xsi:type="dcterms:W3CDTF">2020-02-26T22:31:00Z</dcterms:modified>
</cp:coreProperties>
</file>