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9ECDF" w14:textId="77777777" w:rsidR="003A22E4" w:rsidRPr="002A6144" w:rsidRDefault="003A22E4" w:rsidP="00751266">
      <w:pPr>
        <w:adjustRightInd w:val="0"/>
        <w:jc w:val="center"/>
        <w:rPr>
          <w:rFonts w:eastAsia="Times New Roman"/>
          <w:szCs w:val="24"/>
          <w:lang w:eastAsia="es-CO"/>
        </w:rPr>
      </w:pPr>
      <w:r w:rsidRPr="002A6144">
        <w:rPr>
          <w:rFonts w:eastAsia="Times New Roman"/>
          <w:b/>
          <w:bCs/>
          <w:szCs w:val="24"/>
          <w:lang w:eastAsia="es-CO"/>
        </w:rPr>
        <w:t>DECRETO N° 3032</w:t>
      </w:r>
    </w:p>
    <w:p w14:paraId="7370FD40" w14:textId="77777777" w:rsidR="003A22E4" w:rsidRDefault="003A22E4" w:rsidP="00751266">
      <w:pPr>
        <w:adjustRightInd w:val="0"/>
        <w:jc w:val="center"/>
        <w:rPr>
          <w:rFonts w:eastAsia="Times New Roman"/>
          <w:b/>
          <w:szCs w:val="24"/>
          <w:lang w:eastAsia="es-CO"/>
        </w:rPr>
      </w:pPr>
    </w:p>
    <w:p w14:paraId="50B08313" w14:textId="77777777" w:rsidR="003A22E4" w:rsidRDefault="003A22E4" w:rsidP="00751266">
      <w:pPr>
        <w:adjustRightInd w:val="0"/>
        <w:jc w:val="center"/>
        <w:rPr>
          <w:rFonts w:eastAsia="Times New Roman"/>
          <w:b/>
          <w:szCs w:val="24"/>
          <w:lang w:eastAsia="es-CO"/>
        </w:rPr>
      </w:pPr>
      <w:r w:rsidRPr="002A6144">
        <w:rPr>
          <w:rFonts w:eastAsia="Times New Roman"/>
          <w:b/>
          <w:szCs w:val="24"/>
          <w:lang w:eastAsia="es-CO"/>
        </w:rPr>
        <w:t>27-12-2013</w:t>
      </w:r>
    </w:p>
    <w:p w14:paraId="1EA14F70" w14:textId="77777777" w:rsidR="003A22E4" w:rsidRPr="002A6144" w:rsidRDefault="003A22E4" w:rsidP="00751266">
      <w:pPr>
        <w:adjustRightInd w:val="0"/>
        <w:jc w:val="center"/>
        <w:rPr>
          <w:rFonts w:eastAsia="Times New Roman"/>
          <w:szCs w:val="24"/>
          <w:lang w:eastAsia="es-CO"/>
        </w:rPr>
      </w:pPr>
    </w:p>
    <w:p w14:paraId="2D7145DE" w14:textId="77777777" w:rsidR="003A22E4" w:rsidRPr="002A6144" w:rsidRDefault="003A22E4" w:rsidP="00751266">
      <w:pPr>
        <w:adjustRightInd w:val="0"/>
        <w:jc w:val="center"/>
        <w:rPr>
          <w:rFonts w:eastAsia="Times New Roman"/>
          <w:szCs w:val="24"/>
          <w:lang w:eastAsia="es-CO"/>
        </w:rPr>
      </w:pPr>
      <w:r w:rsidRPr="002A6144">
        <w:rPr>
          <w:rFonts w:eastAsia="Times New Roman"/>
          <w:b/>
          <w:iCs/>
          <w:szCs w:val="24"/>
          <w:lang w:eastAsia="es-CO"/>
        </w:rPr>
        <w:t>MINISTERIO DE HACIENDA Y CRÉDITO PÚBLICO</w:t>
      </w:r>
    </w:p>
    <w:p w14:paraId="6D9228BE" w14:textId="77777777" w:rsidR="003A22E4" w:rsidRPr="002A6144" w:rsidRDefault="003A22E4" w:rsidP="00751266">
      <w:pPr>
        <w:adjustRightInd w:val="0"/>
        <w:jc w:val="center"/>
        <w:rPr>
          <w:rFonts w:eastAsia="Times New Roman"/>
          <w:szCs w:val="24"/>
          <w:lang w:eastAsia="es-CO"/>
        </w:rPr>
      </w:pPr>
      <w:r w:rsidRPr="002A6144">
        <w:rPr>
          <w:rFonts w:eastAsia="Times New Roman"/>
          <w:szCs w:val="24"/>
          <w:lang w:eastAsia="es-CO"/>
        </w:rPr>
        <w:t> </w:t>
      </w:r>
    </w:p>
    <w:p w14:paraId="1B31EBB9" w14:textId="77777777" w:rsidR="003A22E4" w:rsidRPr="002A6144" w:rsidRDefault="003A22E4" w:rsidP="00751266">
      <w:pPr>
        <w:adjustRightInd w:val="0"/>
        <w:jc w:val="center"/>
        <w:rPr>
          <w:rFonts w:eastAsia="Times New Roman"/>
          <w:szCs w:val="24"/>
          <w:lang w:eastAsia="es-CO"/>
        </w:rPr>
      </w:pPr>
      <w:r w:rsidRPr="002A6144">
        <w:rPr>
          <w:rFonts w:eastAsia="Times New Roman"/>
          <w:szCs w:val="24"/>
          <w:lang w:eastAsia="es-CO"/>
        </w:rPr>
        <w:t> </w:t>
      </w:r>
    </w:p>
    <w:p w14:paraId="652CE4DB" w14:textId="77777777" w:rsidR="003A22E4" w:rsidRPr="002A6144" w:rsidRDefault="003A22E4" w:rsidP="00751266">
      <w:pPr>
        <w:adjustRightInd w:val="0"/>
        <w:jc w:val="center"/>
        <w:rPr>
          <w:rFonts w:eastAsia="Times New Roman"/>
          <w:szCs w:val="24"/>
          <w:lang w:eastAsia="es-CO"/>
        </w:rPr>
      </w:pPr>
      <w:r w:rsidRPr="002A6144">
        <w:rPr>
          <w:rFonts w:eastAsia="Times New Roman"/>
          <w:i/>
          <w:iCs/>
          <w:szCs w:val="24"/>
          <w:lang w:eastAsia="es-CO"/>
        </w:rPr>
        <w:t>por el cual se reglamenta parcialmente el Estatuto Tributario.</w:t>
      </w:r>
    </w:p>
    <w:p w14:paraId="06549ECC" w14:textId="77777777" w:rsidR="00147980" w:rsidRDefault="00147980" w:rsidP="00751266"/>
    <w:p w14:paraId="775CA789" w14:textId="77777777" w:rsidR="003A22E4" w:rsidRDefault="003A22E4" w:rsidP="00751266"/>
    <w:p w14:paraId="38943226" w14:textId="77777777" w:rsidR="003A22E4" w:rsidRDefault="003A22E4" w:rsidP="00751266">
      <w:r>
        <w:t>(….)</w:t>
      </w:r>
    </w:p>
    <w:p w14:paraId="2854AD8E" w14:textId="77777777" w:rsidR="003A22E4" w:rsidRDefault="003A22E4" w:rsidP="00751266"/>
    <w:p w14:paraId="5392DA94" w14:textId="77777777" w:rsidR="003A22E4" w:rsidRPr="003A22E4" w:rsidRDefault="003A22E4" w:rsidP="00751266">
      <w:pPr>
        <w:adjustRightInd w:val="0"/>
        <w:rPr>
          <w:rFonts w:eastAsia="Times New Roman"/>
          <w:szCs w:val="24"/>
          <w:lang w:eastAsia="es-CO"/>
        </w:rPr>
      </w:pPr>
      <w:r w:rsidRPr="003A22E4">
        <w:rPr>
          <w:rFonts w:eastAsia="Times New Roman"/>
          <w:b/>
          <w:szCs w:val="24"/>
          <w:highlight w:val="green"/>
          <w:lang w:eastAsia="es-CO"/>
        </w:rPr>
        <w:t>Artículo 9°.</w:t>
      </w:r>
      <w:r w:rsidRPr="003A22E4">
        <w:rPr>
          <w:rFonts w:eastAsia="Times New Roman"/>
          <w:szCs w:val="24"/>
          <w:highlight w:val="green"/>
          <w:lang w:eastAsia="es-CO"/>
        </w:rPr>
        <w:t xml:space="preserve"> Modifíquese el artículo 3° del Decreto número 1070 de 2013, el cual quedará así:</w:t>
      </w:r>
    </w:p>
    <w:p w14:paraId="43D8503C" w14:textId="77777777" w:rsidR="003A22E4" w:rsidRPr="003A22E4" w:rsidRDefault="003A22E4" w:rsidP="00751266">
      <w:pPr>
        <w:adjustRightInd w:val="0"/>
        <w:rPr>
          <w:rFonts w:eastAsia="Times New Roman"/>
          <w:szCs w:val="24"/>
          <w:lang w:eastAsia="es-CO"/>
        </w:rPr>
      </w:pPr>
      <w:r w:rsidRPr="003A22E4">
        <w:rPr>
          <w:rFonts w:eastAsia="Times New Roman"/>
          <w:szCs w:val="24"/>
          <w:lang w:eastAsia="es-CO"/>
        </w:rPr>
        <w:t> </w:t>
      </w:r>
    </w:p>
    <w:p w14:paraId="5C8AD9EC" w14:textId="77777777" w:rsidR="003A22E4" w:rsidRPr="003A22E4" w:rsidRDefault="003A22E4" w:rsidP="00751266">
      <w:pPr>
        <w:adjustRightInd w:val="0"/>
        <w:rPr>
          <w:rFonts w:eastAsia="Times New Roman"/>
          <w:szCs w:val="24"/>
          <w:lang w:eastAsia="es-CO"/>
        </w:rPr>
      </w:pPr>
      <w:r w:rsidRPr="008A3995">
        <w:rPr>
          <w:rFonts w:eastAsia="Times New Roman"/>
          <w:b/>
          <w:bCs/>
          <w:szCs w:val="24"/>
          <w:highlight w:val="yellow"/>
          <w:lang w:eastAsia="es-CO"/>
        </w:rPr>
        <w:t xml:space="preserve">“Artículo 3°. </w:t>
      </w:r>
      <w:r w:rsidRPr="008A3995">
        <w:rPr>
          <w:rFonts w:eastAsia="Times New Roman"/>
          <w:b/>
          <w:bCs/>
          <w:i/>
          <w:iCs/>
          <w:szCs w:val="24"/>
          <w:highlight w:val="yellow"/>
          <w:lang w:eastAsia="es-CO"/>
        </w:rPr>
        <w:t>Contribuciones al Sistema General de Seguridad Social</w:t>
      </w:r>
      <w:r w:rsidRPr="003A22E4">
        <w:rPr>
          <w:rFonts w:eastAsia="Times New Roman"/>
          <w:b/>
          <w:bCs/>
          <w:i/>
          <w:iCs/>
          <w:szCs w:val="24"/>
          <w:lang w:eastAsia="es-CO"/>
        </w:rPr>
        <w:t xml:space="preserve">. </w:t>
      </w:r>
      <w:r w:rsidRPr="003A22E4">
        <w:rPr>
          <w:rFonts w:eastAsia="Times New Roman"/>
          <w:szCs w:val="24"/>
          <w:lang w:eastAsia="es-CO"/>
        </w:rPr>
        <w:t xml:space="preserve">De acuerdo con lo previsto en el artículo 26 de la Ley 1393 de 2010 y el </w:t>
      </w:r>
      <w:hyperlink r:id="rId4" w:tooltip="Estatuto Tributario CETA" w:history="1">
        <w:r w:rsidRPr="003A22E4">
          <w:rPr>
            <w:rFonts w:eastAsia="Times New Roman"/>
            <w:szCs w:val="24"/>
            <w:lang w:eastAsia="es-CO"/>
          </w:rPr>
          <w:t>artículo 108</w:t>
        </w:r>
      </w:hyperlink>
      <w:r w:rsidRPr="003A22E4">
        <w:rPr>
          <w:rFonts w:eastAsia="Times New Roman"/>
          <w:szCs w:val="24"/>
          <w:lang w:eastAsia="es-CO"/>
        </w:rPr>
        <w:t xml:space="preserve"> del Estatuto Tributario, la disminución de la base de retención para las personas naturales residentes cuyos ingresos no provengan de una relación laboral, o legal y reglamentaria, por concepto de contribuciones al Sistema General de Seguridad Social, pertenezcan o no a la categoría de empleados, estará condicionada a su liquidación y pago en lo relacionado con las sumas que son objeto del contrato, para lo cual se adjuntará a la respectiva factura o documento equivalente copia de la planilla o documento de pago.</w:t>
      </w:r>
    </w:p>
    <w:p w14:paraId="55D7218D" w14:textId="77777777" w:rsidR="003A22E4" w:rsidRPr="003A22E4" w:rsidRDefault="003A22E4" w:rsidP="00751266">
      <w:pPr>
        <w:adjustRightInd w:val="0"/>
        <w:rPr>
          <w:rFonts w:eastAsia="Times New Roman"/>
          <w:szCs w:val="24"/>
          <w:lang w:eastAsia="es-CO"/>
        </w:rPr>
      </w:pPr>
      <w:r w:rsidRPr="003A22E4">
        <w:rPr>
          <w:rFonts w:eastAsia="Times New Roman"/>
          <w:szCs w:val="24"/>
          <w:lang w:eastAsia="es-CO"/>
        </w:rPr>
        <w:t> </w:t>
      </w:r>
    </w:p>
    <w:p w14:paraId="392F10DD" w14:textId="77777777" w:rsidR="003A22E4" w:rsidRPr="003A22E4" w:rsidRDefault="003A22E4" w:rsidP="00751266">
      <w:pPr>
        <w:adjustRightInd w:val="0"/>
        <w:rPr>
          <w:rFonts w:eastAsia="Times New Roman"/>
          <w:szCs w:val="24"/>
          <w:lang w:eastAsia="es-CO"/>
        </w:rPr>
      </w:pPr>
      <w:r w:rsidRPr="00751266">
        <w:rPr>
          <w:rFonts w:eastAsia="Times New Roman"/>
          <w:szCs w:val="24"/>
          <w:highlight w:val="yellow"/>
          <w:lang w:eastAsia="es-CO"/>
        </w:rPr>
        <w:t>Para la procedencia de la deducción en el impuesto sobre la renta de los pagos realizados a las personas mencionadas en el inciso anterior por concepto de contratos de prestación de servicios, el contratante deberá verificar que los aportes al Sistema General de Seguridad Social estén realizados de acuerdo con los ingresos obtenidos en el contrato respectivo, en los términos del artículo 18 de la Ley 1122 de 2007, los Decretos números 1703 de 2002 y 510 de 2003, las demás normas vigentes sobre la materia, así como aquellas disposiciones que las adicionen, modifiquen o sustituyan.</w:t>
      </w:r>
    </w:p>
    <w:p w14:paraId="5DA6C4AD" w14:textId="77777777" w:rsidR="003A22E4" w:rsidRPr="003A22E4" w:rsidRDefault="003A22E4" w:rsidP="00751266">
      <w:pPr>
        <w:adjustRightInd w:val="0"/>
        <w:rPr>
          <w:rFonts w:eastAsia="Times New Roman"/>
          <w:szCs w:val="24"/>
          <w:lang w:eastAsia="es-CO"/>
        </w:rPr>
      </w:pPr>
      <w:r w:rsidRPr="003A22E4">
        <w:rPr>
          <w:rFonts w:eastAsia="Times New Roman"/>
          <w:szCs w:val="24"/>
          <w:lang w:eastAsia="es-CO"/>
        </w:rPr>
        <w:t> </w:t>
      </w:r>
    </w:p>
    <w:p w14:paraId="61D40B3E" w14:textId="77777777" w:rsidR="003A22E4" w:rsidRPr="003A22E4" w:rsidRDefault="003A22E4" w:rsidP="00751266">
      <w:pPr>
        <w:adjustRightInd w:val="0"/>
        <w:rPr>
          <w:rFonts w:eastAsia="Times New Roman"/>
          <w:b/>
          <w:sz w:val="32"/>
          <w:szCs w:val="32"/>
          <w:lang w:eastAsia="es-CO"/>
        </w:rPr>
      </w:pPr>
      <w:r w:rsidRPr="003A22E4">
        <w:rPr>
          <w:rFonts w:eastAsia="Times New Roman"/>
          <w:b/>
          <w:sz w:val="32"/>
          <w:szCs w:val="32"/>
          <w:highlight w:val="green"/>
          <w:lang w:eastAsia="es-CO"/>
        </w:rPr>
        <w:t>Parágrafo.</w:t>
      </w:r>
      <w:r w:rsidRPr="003A22E4">
        <w:rPr>
          <w:rFonts w:eastAsia="Times New Roman"/>
          <w:sz w:val="32"/>
          <w:szCs w:val="32"/>
          <w:highlight w:val="green"/>
          <w:lang w:eastAsia="es-CO"/>
        </w:rPr>
        <w:t xml:space="preserve"> Esta obligación </w:t>
      </w:r>
      <w:r w:rsidRPr="003A22E4">
        <w:rPr>
          <w:rFonts w:eastAsia="Times New Roman"/>
          <w:b/>
          <w:sz w:val="32"/>
          <w:szCs w:val="32"/>
          <w:highlight w:val="green"/>
          <w:u w:val="single"/>
          <w:lang w:eastAsia="es-CO"/>
        </w:rPr>
        <w:t>no será aplicable</w:t>
      </w:r>
      <w:r w:rsidRPr="003A22E4">
        <w:rPr>
          <w:rFonts w:eastAsia="Times New Roman"/>
          <w:b/>
          <w:sz w:val="32"/>
          <w:szCs w:val="32"/>
          <w:highlight w:val="green"/>
          <w:lang w:eastAsia="es-CO"/>
        </w:rPr>
        <w:t xml:space="preserve"> cuando la totalidad de los pagos mensuales sean inferiores a un salario mínimo legal mensual vigente (1 </w:t>
      </w:r>
      <w:proofErr w:type="spellStart"/>
      <w:r w:rsidRPr="003A22E4">
        <w:rPr>
          <w:rFonts w:eastAsia="Times New Roman"/>
          <w:b/>
          <w:sz w:val="32"/>
          <w:szCs w:val="32"/>
          <w:highlight w:val="green"/>
          <w:lang w:eastAsia="es-CO"/>
        </w:rPr>
        <w:t>smlmv</w:t>
      </w:r>
      <w:proofErr w:type="spellEnd"/>
      <w:r w:rsidRPr="003A22E4">
        <w:rPr>
          <w:rFonts w:eastAsia="Times New Roman"/>
          <w:b/>
          <w:sz w:val="32"/>
          <w:szCs w:val="32"/>
          <w:highlight w:val="green"/>
          <w:lang w:eastAsia="es-CO"/>
        </w:rPr>
        <w:t>)”.</w:t>
      </w:r>
    </w:p>
    <w:p w14:paraId="1EC04708" w14:textId="77777777" w:rsidR="003A22E4" w:rsidRPr="003A22E4" w:rsidRDefault="003A22E4" w:rsidP="00751266">
      <w:pPr>
        <w:adjustRightInd w:val="0"/>
        <w:rPr>
          <w:rFonts w:eastAsia="Times New Roman"/>
          <w:sz w:val="32"/>
          <w:szCs w:val="32"/>
          <w:lang w:eastAsia="es-CO"/>
        </w:rPr>
      </w:pPr>
      <w:r w:rsidRPr="003A22E4">
        <w:rPr>
          <w:rFonts w:eastAsia="Times New Roman"/>
          <w:sz w:val="32"/>
          <w:szCs w:val="32"/>
          <w:lang w:eastAsia="es-CO"/>
        </w:rPr>
        <w:t> </w:t>
      </w:r>
    </w:p>
    <w:p w14:paraId="5171BAE6" w14:textId="77777777" w:rsidR="003A22E4" w:rsidRDefault="003A22E4" w:rsidP="00751266">
      <w:r>
        <w:t>(….)</w:t>
      </w:r>
    </w:p>
    <w:p w14:paraId="131BDDDA" w14:textId="77777777" w:rsidR="003A22E4" w:rsidRDefault="003A22E4" w:rsidP="00751266"/>
    <w:p w14:paraId="2F1AB4EF" w14:textId="77777777" w:rsidR="003A22E4" w:rsidRPr="002A6144" w:rsidRDefault="003A22E4" w:rsidP="00751266">
      <w:pPr>
        <w:adjustRightInd w:val="0"/>
        <w:rPr>
          <w:rFonts w:eastAsia="Times New Roman"/>
          <w:szCs w:val="24"/>
          <w:lang w:eastAsia="es-CO"/>
        </w:rPr>
      </w:pPr>
      <w:r w:rsidRPr="002A6144">
        <w:rPr>
          <w:rFonts w:eastAsia="Times New Roman"/>
          <w:b/>
          <w:szCs w:val="24"/>
          <w:lang w:eastAsia="es-CO"/>
        </w:rPr>
        <w:t>Artículo 10.</w:t>
      </w:r>
      <w:r w:rsidRPr="002A6144">
        <w:rPr>
          <w:rFonts w:eastAsia="Times New Roman"/>
          <w:szCs w:val="24"/>
          <w:lang w:eastAsia="es-CO"/>
        </w:rPr>
        <w:t xml:space="preserve"> </w:t>
      </w:r>
      <w:r w:rsidRPr="002A6144">
        <w:rPr>
          <w:rFonts w:eastAsia="Times New Roman"/>
          <w:i/>
          <w:iCs/>
          <w:szCs w:val="24"/>
          <w:lang w:eastAsia="es-CO"/>
        </w:rPr>
        <w:t>Vigencia</w:t>
      </w:r>
      <w:r w:rsidRPr="002A6144">
        <w:rPr>
          <w:rFonts w:eastAsia="Times New Roman"/>
          <w:szCs w:val="24"/>
          <w:lang w:eastAsia="es-CO"/>
        </w:rPr>
        <w:t>. El presente decreto rige a partir de la fecha de su publicación.</w:t>
      </w:r>
    </w:p>
    <w:p w14:paraId="2E9C0C44" w14:textId="77777777" w:rsidR="003A22E4" w:rsidRPr="002A6144" w:rsidRDefault="003A22E4" w:rsidP="00751266">
      <w:pPr>
        <w:adjustRightInd w:val="0"/>
        <w:rPr>
          <w:rFonts w:eastAsia="Times New Roman"/>
          <w:szCs w:val="24"/>
          <w:lang w:eastAsia="es-CO"/>
        </w:rPr>
      </w:pPr>
      <w:r w:rsidRPr="002A6144">
        <w:rPr>
          <w:rFonts w:eastAsia="Times New Roman"/>
          <w:szCs w:val="24"/>
          <w:lang w:eastAsia="es-CO"/>
        </w:rPr>
        <w:t> </w:t>
      </w:r>
    </w:p>
    <w:p w14:paraId="338F6592" w14:textId="77777777" w:rsidR="003A22E4" w:rsidRPr="002A6144" w:rsidRDefault="003A22E4" w:rsidP="00751266">
      <w:pPr>
        <w:adjustRightInd w:val="0"/>
        <w:rPr>
          <w:rFonts w:eastAsia="Times New Roman"/>
          <w:szCs w:val="24"/>
          <w:lang w:eastAsia="es-CO"/>
        </w:rPr>
      </w:pPr>
      <w:r w:rsidRPr="002A6144">
        <w:rPr>
          <w:rFonts w:eastAsia="Times New Roman"/>
          <w:b/>
          <w:szCs w:val="24"/>
          <w:lang w:eastAsia="es-CO"/>
        </w:rPr>
        <w:t>Publíquese y cúmplase.</w:t>
      </w:r>
    </w:p>
    <w:p w14:paraId="1F3855DA" w14:textId="77777777" w:rsidR="003A22E4" w:rsidRDefault="003A22E4" w:rsidP="00751266">
      <w:pPr>
        <w:adjustRightInd w:val="0"/>
        <w:rPr>
          <w:rFonts w:eastAsia="Times New Roman"/>
          <w:szCs w:val="24"/>
          <w:lang w:eastAsia="es-CO"/>
        </w:rPr>
      </w:pPr>
      <w:r w:rsidRPr="002A6144">
        <w:rPr>
          <w:rFonts w:eastAsia="Times New Roman"/>
          <w:szCs w:val="24"/>
          <w:lang w:eastAsia="es-CO"/>
        </w:rPr>
        <w:t>Dado en Bogotá, D. C., a 27 de diciembre de 2013.</w:t>
      </w:r>
    </w:p>
    <w:p w14:paraId="4F424E6E" w14:textId="77777777" w:rsidR="003A22E4" w:rsidRPr="002A6144" w:rsidRDefault="003A22E4" w:rsidP="00751266">
      <w:pPr>
        <w:adjustRightInd w:val="0"/>
        <w:rPr>
          <w:rFonts w:eastAsia="Times New Roman"/>
          <w:szCs w:val="24"/>
          <w:lang w:eastAsia="es-CO"/>
        </w:rPr>
      </w:pPr>
      <w:r>
        <w:rPr>
          <w:rFonts w:eastAsia="Times New Roman"/>
          <w:szCs w:val="24"/>
          <w:lang w:eastAsia="es-CO"/>
        </w:rPr>
        <w:t>_________________________________________________________________________</w:t>
      </w:r>
    </w:p>
    <w:p w14:paraId="3DC7C1AE" w14:textId="77777777" w:rsidR="003A22E4" w:rsidRPr="002A6144" w:rsidRDefault="003A22E4" w:rsidP="00751266">
      <w:pPr>
        <w:rPr>
          <w:szCs w:val="24"/>
        </w:rPr>
      </w:pPr>
    </w:p>
    <w:p w14:paraId="335E0362" w14:textId="77777777" w:rsidR="003A22E4" w:rsidRDefault="003A22E4" w:rsidP="00751266"/>
    <w:sectPr w:rsidR="003A22E4" w:rsidSect="00EC5FC0">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2E4"/>
    <w:rsid w:val="00147980"/>
    <w:rsid w:val="001674C7"/>
    <w:rsid w:val="003A22E4"/>
    <w:rsid w:val="00751266"/>
    <w:rsid w:val="007E6419"/>
    <w:rsid w:val="008A3995"/>
    <w:rsid w:val="00B66046"/>
    <w:rsid w:val="00C72693"/>
    <w:rsid w:val="00EC5FC0"/>
    <w:rsid w:val="00EF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39D1"/>
  <w15:chartTrackingRefBased/>
  <w15:docId w15:val="{36175647-B202-4182-9633-831FBC1E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22222"/>
        <w:sz w:val="24"/>
        <w:szCs w:val="24"/>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2E4"/>
    <w:rPr>
      <w:color w:val="auto"/>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ta.org.co/html/vista_de_un_articulo.asp?Norma=1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1709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Diana Alexandra Orozco López</cp:lastModifiedBy>
  <cp:revision>3</cp:revision>
  <dcterms:created xsi:type="dcterms:W3CDTF">2024-02-02T19:35:00Z</dcterms:created>
  <dcterms:modified xsi:type="dcterms:W3CDTF">2024-02-02T19:37:00Z</dcterms:modified>
</cp:coreProperties>
</file>