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02EB" w14:textId="77777777" w:rsidR="00830EC5" w:rsidRPr="005B2F5F" w:rsidRDefault="00830EC5" w:rsidP="00830EC5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highlight w:val="yellow"/>
          <w:lang w:eastAsia="es-419"/>
        </w:rPr>
      </w:pPr>
      <w:r w:rsidRPr="005B2F5F">
        <w:rPr>
          <w:rFonts w:eastAsia="Times New Roman" w:cs="Arial"/>
          <w:b/>
          <w:bCs/>
          <w:highlight w:val="yellow"/>
          <w:lang w:eastAsia="es-419"/>
        </w:rPr>
        <w:t>OFICIO 115 – 126588 DE 28 DE JUNIO DE 2023</w:t>
      </w:r>
    </w:p>
    <w:p w14:paraId="442EB7C0" w14:textId="77777777" w:rsidR="00830EC5" w:rsidRPr="005B2F5F" w:rsidRDefault="00830EC5" w:rsidP="00830EC5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lang w:eastAsia="es-419"/>
        </w:rPr>
      </w:pPr>
      <w:r w:rsidRPr="005B2F5F">
        <w:rPr>
          <w:rFonts w:ascii="Times New Roman" w:eastAsia="Times New Roman" w:hAnsi="Times New Roman" w:cs="Times New Roman"/>
          <w:b/>
          <w:bCs/>
          <w:highlight w:val="yellow"/>
          <w:lang w:eastAsia="es-419"/>
        </w:rPr>
        <w:br/>
      </w:r>
      <w:r w:rsidRPr="005B2F5F">
        <w:rPr>
          <w:rFonts w:eastAsia="Times New Roman" w:cs="Arial"/>
          <w:b/>
          <w:bCs/>
          <w:highlight w:val="yellow"/>
          <w:lang w:eastAsia="es-419"/>
        </w:rPr>
        <w:t>TOPES INGRESOS BRUTOS PARA DESIGNAR REVISOR FISCAL</w:t>
      </w:r>
    </w:p>
    <w:p w14:paraId="3803693E" w14:textId="75E92F5C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5B2F5F">
        <w:rPr>
          <w:rFonts w:ascii="Times New Roman" w:eastAsia="Times New Roman" w:hAnsi="Times New Roman" w:cs="Times New Roman"/>
          <w:b/>
          <w:bCs/>
          <w:lang w:eastAsia="es-419"/>
        </w:rPr>
        <w:br/>
      </w:r>
      <w:r w:rsidRPr="00830EC5">
        <w:rPr>
          <w:rFonts w:eastAsia="Times New Roman" w:cs="Arial"/>
          <w:lang w:eastAsia="es-419"/>
        </w:rPr>
        <w:t>Me refiero a su escrito radicado en esta entidad bajo el número de la referencia,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mediante el cual eleva la siguiente consulta</w:t>
      </w:r>
      <w:r>
        <w:rPr>
          <w:rFonts w:eastAsia="Times New Roman" w:cs="Arial"/>
          <w:lang w:eastAsia="es-419"/>
        </w:rPr>
        <w:t>.</w:t>
      </w:r>
    </w:p>
    <w:p w14:paraId="391A47E9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¿Para efectos de validar los topes de obligatoriedad de revisor fiscal, de cara a los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ingresos obtenidos en el año inmediatamente, debe tomarse el valor de ingresos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incluyendo el monto correspondiente a deducciones y devoluciones (por situaciones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tales como rechazo de factura); o, por el contrario, debe hacerse la correspondiente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resta?</w:t>
      </w:r>
    </w:p>
    <w:p w14:paraId="44B01B79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Previo a resolver su solicitud es necesario aclarar que las consultas que se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presentan a esta Entidad se resuelven de manera general, abstracta e impersonal,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de acuerdo con las facultades conferidas en ejercicio de las atribuciones de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inspección, vigilancia y control de las sociedades comerciales expresamente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señaladas en la Ley 222 de 1995 y en particular, la prevista en el numeral 2 del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Artículo 10 de la Ley 1314 de 2009, y se circunscribe a hacer claridad en cuanto al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texto de las normas de manera general, para lo cual armoniza las disposiciones en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su conjunto de acuerdo al asunto que se trate y emite su concepto, ciñéndonos en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un todo a las normas vigentes sobre la materia.</w:t>
      </w:r>
    </w:p>
    <w:p w14:paraId="2608241A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Con respecto a la obligación de nombrar revisor fiscal en las sociedades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comerciales, el artículo 203 del Código de Comercio establece que:</w:t>
      </w:r>
    </w:p>
    <w:p w14:paraId="2526A439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Art. 203. Deberán tener revisor fiscal:</w:t>
      </w:r>
    </w:p>
    <w:p w14:paraId="29F0E9A6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1. Las sociedades por acciones;</w:t>
      </w:r>
    </w:p>
    <w:p w14:paraId="31838C24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2. Las sucursales de compañías extranjeras;</w:t>
      </w:r>
    </w:p>
    <w:p w14:paraId="1889DC78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3. Las sociedades en las que, por ley o por los estatutos, la administración no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lastRenderedPageBreak/>
        <w:t>corresponda a todos los socios, cuando así lo disponga cualquier número de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 xml:space="preserve">socios excluidos de la administración que representen no menos </w:t>
      </w:r>
      <w:proofErr w:type="spellStart"/>
      <w:r w:rsidRPr="00830EC5">
        <w:rPr>
          <w:rFonts w:eastAsia="Times New Roman" w:cs="Arial"/>
          <w:lang w:eastAsia="es-419"/>
        </w:rPr>
        <w:t>del</w:t>
      </w:r>
      <w:proofErr w:type="spellEnd"/>
      <w:r w:rsidRPr="00830EC5">
        <w:rPr>
          <w:rFonts w:eastAsia="Times New Roman" w:cs="Arial"/>
          <w:lang w:eastAsia="es-419"/>
        </w:rPr>
        <w:t xml:space="preserve"> veinte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por ciento del capital.</w:t>
      </w:r>
    </w:p>
    <w:p w14:paraId="33D2E7F6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Por su parte, la Ley 43 de 1990 que reglamentó la profesión de contador público,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incorporó en el parágrafo 2 del artículo 13 la obligación de nombrar revisor fiscal</w:t>
      </w: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lang w:eastAsia="es-419"/>
        </w:rPr>
        <w:t>cuando se presenten los siguientes montos:</w:t>
      </w:r>
    </w:p>
    <w:p w14:paraId="471F2046" w14:textId="7BDBA196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lang w:eastAsia="es-419"/>
        </w:rPr>
      </w:pPr>
      <w:r w:rsidRPr="00830EC5">
        <w:rPr>
          <w:rFonts w:ascii="Times New Roman" w:eastAsia="Times New Roman" w:hAnsi="Times New Roman" w:cs="Times New Roman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Parágrafo 2. Será obligatorio tener Revisor Fiscal en todas las sociedades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comerciales, de cualquier naturaleza, cuyos activos brutos a 31 de diciembre del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año inmediatamente anterior sean o excedan el equivalente de cinco mil (5.000)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salarios mínimos y/o cuyos ingresos brutos durante el año inmediatamente anterior</w:t>
      </w:r>
      <w:r w:rsidRPr="00830EC5">
        <w:rPr>
          <w:rFonts w:ascii="Times New Roman" w:eastAsia="Times New Roman" w:hAnsi="Times New Roman" w:cs="Times New Roman"/>
          <w:highlight w:val="yellow"/>
          <w:lang w:eastAsia="es-419"/>
        </w:rPr>
        <w:br/>
      </w:r>
      <w:r w:rsidRPr="00830EC5">
        <w:rPr>
          <w:rFonts w:eastAsia="Times New Roman" w:cs="Arial"/>
          <w:highlight w:val="yellow"/>
          <w:lang w:eastAsia="es-419"/>
        </w:rPr>
        <w:t>sean o excedan al equivalente a tres mil (3.000) salarios mínimos.</w:t>
      </w:r>
    </w:p>
    <w:p w14:paraId="19657477" w14:textId="77777777" w:rsidR="00830EC5" w:rsidRPr="00830EC5" w:rsidRDefault="00830EC5" w:rsidP="00830E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es-419"/>
        </w:rPr>
      </w:pPr>
    </w:p>
    <w:p w14:paraId="63D4C9BB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Los topes señalados se refieren al monto por concepto de ingresos y/o activos</w:t>
      </w: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brutos con corte a 31 de diciembre del año anterior, son:</w:t>
      </w:r>
    </w:p>
    <w:p w14:paraId="7D887B18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Activos brutos: 5.000 o más salarios mínimos;</w:t>
      </w:r>
    </w:p>
    <w:p w14:paraId="0073E6D4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Ingresos brutos: 3.000 o más salarios mínimos.</w:t>
      </w:r>
    </w:p>
    <w:p w14:paraId="3D9712BE" w14:textId="7704BFB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Es preciso tener en cuenta que el marco normativo hoy vigente en materia de</w:t>
      </w: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información financiera (NIIF) corresponde al Decreto Único Reglamentario (DUR)</w:t>
      </w:r>
      <w:r>
        <w:rPr>
          <w:rFonts w:eastAsia="Times New Roman" w:cs="Arial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2420 de 2015 y otras normas que lo adicionan, modifican o sustituyen, establece en</w:t>
      </w:r>
      <w:r>
        <w:rPr>
          <w:rFonts w:eastAsia="Times New Roman" w:cs="Arial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sus anexos 1, 2 o 3, las bases o principios para la elaboración de los estados</w:t>
      </w:r>
      <w:r>
        <w:rPr>
          <w:rFonts w:eastAsia="Times New Roman" w:cs="Arial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financieros de propósito general para cada una de las entidades clasificadas en el</w:t>
      </w:r>
      <w:r>
        <w:rPr>
          <w:rFonts w:eastAsia="Times New Roman" w:cs="Arial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grupo 1, grupo 2 o grupo 3.</w:t>
      </w:r>
    </w:p>
    <w:p w14:paraId="067101C7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Según el marco conceptual de las NIIF, se reconoce un ingreso en el estado de</w:t>
      </w: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resultados cuando ha surgido un incremento en los beneficios económicos futuros,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 xml:space="preserve">relacionado con un incremento en los activos o un decremento en los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lastRenderedPageBreak/>
        <w:t>pasivos, 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además el importe del ingreso puede medirse con fiabilidad (Anexo 1.1, párrafo 4.47</w:t>
      </w:r>
      <w:r>
        <w:rPr>
          <w:rFonts w:eastAsia="Times New Roman" w:cs="Arial"/>
          <w:color w:val="000000"/>
          <w:sz w:val="27"/>
          <w:szCs w:val="27"/>
          <w:lang w:eastAsia="es-419"/>
        </w:rPr>
        <w:t xml:space="preserve"> M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arco conceptual, Anexo 2, sección 2, párrafo 2.41, Anexo 3, Capítulo 2, párrafo</w:t>
      </w:r>
      <w:r>
        <w:rPr>
          <w:rFonts w:eastAsia="Times New Roman" w:cs="Arial"/>
          <w:color w:val="000000"/>
          <w:sz w:val="27"/>
          <w:szCs w:val="27"/>
          <w:lang w:eastAsia="es-419"/>
        </w:rPr>
        <w:t xml:space="preserve"> 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2.32, del DUR 2420 de 2015).</w:t>
      </w:r>
    </w:p>
    <w:p w14:paraId="003C8751" w14:textId="77777777" w:rsidR="00830EC5" w:rsidRPr="005B2F5F" w:rsidRDefault="00830EC5" w:rsidP="00830EC5">
      <w:pPr>
        <w:shd w:val="clear" w:color="auto" w:fill="FFFFFF"/>
        <w:spacing w:line="360" w:lineRule="auto"/>
        <w:rPr>
          <w:rFonts w:eastAsia="Times New Roman" w:cs="Arial"/>
          <w:b/>
          <w:bCs/>
          <w:color w:val="000000"/>
          <w:sz w:val="32"/>
          <w:szCs w:val="32"/>
          <w:u w:val="single"/>
          <w:lang w:eastAsia="es-419"/>
        </w:rPr>
      </w:pP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5B2F5F">
        <w:rPr>
          <w:rFonts w:eastAsia="Times New Roman" w:cs="Arial"/>
          <w:color w:val="000000"/>
          <w:sz w:val="32"/>
          <w:szCs w:val="32"/>
          <w:highlight w:val="yellow"/>
          <w:u w:val="single"/>
          <w:lang w:eastAsia="es-419"/>
        </w:rPr>
        <w:t>Si bien es cierto que la definición de ingreso bruto no es referida en NIIF, considera</w:t>
      </w:r>
      <w:r w:rsidRPr="005B2F5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u w:val="single"/>
          <w:lang w:eastAsia="es-419"/>
        </w:rPr>
        <w:t xml:space="preserve"> </w:t>
      </w:r>
      <w:r w:rsidRPr="005B2F5F">
        <w:rPr>
          <w:rFonts w:eastAsia="Times New Roman" w:cs="Arial"/>
          <w:color w:val="000000"/>
          <w:sz w:val="32"/>
          <w:szCs w:val="32"/>
          <w:highlight w:val="yellow"/>
          <w:u w:val="single"/>
          <w:lang w:eastAsia="es-419"/>
        </w:rPr>
        <w:t>este Despacho que el concepto de ingreso bruto corresponde con los ingresos</w:t>
      </w:r>
      <w:r w:rsidRPr="005B2F5F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u w:val="single"/>
          <w:lang w:eastAsia="es-419"/>
        </w:rPr>
        <w:t xml:space="preserve"> </w:t>
      </w:r>
      <w:r w:rsidRPr="005B2F5F">
        <w:rPr>
          <w:rFonts w:eastAsia="Times New Roman" w:cs="Arial"/>
          <w:color w:val="000000"/>
          <w:sz w:val="32"/>
          <w:szCs w:val="32"/>
          <w:highlight w:val="yellow"/>
          <w:u w:val="single"/>
          <w:lang w:eastAsia="es-419"/>
        </w:rPr>
        <w:t xml:space="preserve">reconocidos y presentados en el estado de resultado integral </w:t>
      </w:r>
      <w:r w:rsidRPr="005B2F5F">
        <w:rPr>
          <w:rFonts w:eastAsia="Times New Roman" w:cs="Arial"/>
          <w:b/>
          <w:bCs/>
          <w:color w:val="000000"/>
          <w:sz w:val="32"/>
          <w:szCs w:val="32"/>
          <w:highlight w:val="cyan"/>
          <w:u w:val="single"/>
          <w:lang w:eastAsia="es-419"/>
        </w:rPr>
        <w:t>sin restar ningún otro concepto.</w:t>
      </w:r>
    </w:p>
    <w:p w14:paraId="245F921D" w14:textId="77777777" w:rsidR="00830EC5" w:rsidRPr="005B2F5F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lang w:eastAsia="es-419"/>
        </w:rPr>
      </w:pPr>
      <w:r w:rsidRPr="005B2F5F">
        <w:rPr>
          <w:rFonts w:ascii="Times New Roman" w:eastAsia="Times New Roman" w:hAnsi="Times New Roman" w:cs="Times New Roman"/>
          <w:color w:val="000000"/>
          <w:lang w:eastAsia="es-419"/>
        </w:rPr>
        <w:br/>
      </w:r>
      <w:r w:rsidRPr="005B2F5F">
        <w:rPr>
          <w:rFonts w:eastAsia="Times New Roman" w:cs="Arial"/>
          <w:color w:val="000000"/>
          <w:highlight w:val="cyan"/>
          <w:lang w:eastAsia="es-419"/>
        </w:rPr>
        <w:t>Así las cosas, los montos por concepto de ingresos y/o activos brutos del año</w:t>
      </w:r>
      <w:r w:rsidRPr="005B2F5F">
        <w:rPr>
          <w:rFonts w:ascii="Times New Roman" w:eastAsia="Times New Roman" w:hAnsi="Times New Roman" w:cs="Times New Roman"/>
          <w:color w:val="000000"/>
          <w:highlight w:val="cyan"/>
          <w:lang w:eastAsia="es-419"/>
        </w:rPr>
        <w:br/>
      </w:r>
      <w:r w:rsidRPr="005B2F5F">
        <w:rPr>
          <w:rFonts w:eastAsia="Times New Roman" w:cs="Arial"/>
          <w:color w:val="000000"/>
          <w:highlight w:val="cyan"/>
          <w:lang w:eastAsia="es-419"/>
        </w:rPr>
        <w:t>inmediatamente anterior descritos en el parágrafo 2 del artículo 13 de la ley 43 de</w:t>
      </w:r>
      <w:r w:rsidRPr="005B2F5F">
        <w:rPr>
          <w:rFonts w:ascii="Times New Roman" w:eastAsia="Times New Roman" w:hAnsi="Times New Roman" w:cs="Times New Roman"/>
          <w:color w:val="000000"/>
          <w:highlight w:val="cyan"/>
          <w:lang w:eastAsia="es-419"/>
        </w:rPr>
        <w:t xml:space="preserve"> </w:t>
      </w:r>
      <w:r w:rsidRPr="005B2F5F">
        <w:rPr>
          <w:rFonts w:eastAsia="Times New Roman" w:cs="Arial"/>
          <w:color w:val="000000"/>
          <w:highlight w:val="cyan"/>
          <w:lang w:eastAsia="es-419"/>
        </w:rPr>
        <w:t>1990 para establecer si la sociedad está obligada a tener revisor fiscal, serán</w:t>
      </w:r>
      <w:r w:rsidRPr="005B2F5F">
        <w:rPr>
          <w:rFonts w:ascii="Times New Roman" w:eastAsia="Times New Roman" w:hAnsi="Times New Roman" w:cs="Times New Roman"/>
          <w:color w:val="000000"/>
          <w:highlight w:val="cyan"/>
          <w:lang w:eastAsia="es-419"/>
        </w:rPr>
        <w:br/>
      </w:r>
      <w:r w:rsidRPr="005B2F5F">
        <w:rPr>
          <w:rFonts w:eastAsia="Times New Roman" w:cs="Arial"/>
          <w:color w:val="000000"/>
          <w:highlight w:val="cyan"/>
          <w:lang w:eastAsia="es-419"/>
        </w:rPr>
        <w:t>tomados de los estados financieros de propósito general preparados bajo los</w:t>
      </w:r>
      <w:r w:rsidRPr="005B2F5F">
        <w:rPr>
          <w:rFonts w:ascii="Times New Roman" w:eastAsia="Times New Roman" w:hAnsi="Times New Roman" w:cs="Times New Roman"/>
          <w:color w:val="000000"/>
          <w:highlight w:val="cyan"/>
          <w:lang w:eastAsia="es-419"/>
        </w:rPr>
        <w:br/>
      </w:r>
      <w:r w:rsidRPr="005B2F5F">
        <w:rPr>
          <w:rFonts w:eastAsia="Times New Roman" w:cs="Arial"/>
          <w:color w:val="000000"/>
          <w:highlight w:val="cyan"/>
          <w:lang w:eastAsia="es-419"/>
        </w:rPr>
        <w:t>marcos normativos vigentes (DUR 2420 de 2015 y otras normas que lo adicionan,</w:t>
      </w:r>
      <w:r w:rsidRPr="005B2F5F">
        <w:rPr>
          <w:rFonts w:ascii="Times New Roman" w:eastAsia="Times New Roman" w:hAnsi="Times New Roman" w:cs="Times New Roman"/>
          <w:color w:val="000000"/>
          <w:highlight w:val="cyan"/>
          <w:lang w:eastAsia="es-419"/>
        </w:rPr>
        <w:t xml:space="preserve"> </w:t>
      </w:r>
      <w:r w:rsidRPr="005B2F5F">
        <w:rPr>
          <w:rFonts w:eastAsia="Times New Roman" w:cs="Arial"/>
          <w:color w:val="000000"/>
          <w:highlight w:val="cyan"/>
          <w:lang w:eastAsia="es-419"/>
        </w:rPr>
        <w:t>modifican o sustituyen) al cierre del ejercicio, esto es a 31 de diciembre.</w:t>
      </w:r>
      <w:r w:rsidRPr="005B2F5F">
        <w:rPr>
          <w:rFonts w:ascii="Times New Roman" w:eastAsia="Times New Roman" w:hAnsi="Times New Roman" w:cs="Times New Roman"/>
          <w:color w:val="000000"/>
          <w:lang w:eastAsia="es-419"/>
        </w:rPr>
        <w:br/>
      </w:r>
    </w:p>
    <w:p w14:paraId="0594EED9" w14:textId="77777777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 xml:space="preserve">Para una mayor ilustración puede consultar el </w:t>
      </w:r>
      <w:r w:rsidRPr="001D5535">
        <w:rPr>
          <w:rFonts w:eastAsia="Times New Roman" w:cs="Arial"/>
          <w:color w:val="000000"/>
          <w:sz w:val="27"/>
          <w:szCs w:val="27"/>
          <w:highlight w:val="cyan"/>
          <w:lang w:eastAsia="es-419"/>
        </w:rPr>
        <w:t>Concepto 0489 publicado el</w:t>
      </w:r>
      <w:r w:rsidRPr="001D5535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es-419"/>
        </w:rPr>
        <w:br/>
      </w:r>
      <w:r w:rsidRPr="001D5535">
        <w:rPr>
          <w:rFonts w:eastAsia="Times New Roman" w:cs="Arial"/>
          <w:color w:val="000000"/>
          <w:sz w:val="27"/>
          <w:szCs w:val="27"/>
          <w:highlight w:val="cyan"/>
          <w:lang w:eastAsia="es-419"/>
        </w:rPr>
        <w:t>13/dic/2022</w:t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 xml:space="preserve"> por el Consejo Técnico de la Contaduría Pública en su página web:</w:t>
      </w: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www.CTCP.gov.co</w:t>
      </w:r>
      <w:r w:rsidRPr="00830EC5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</w:r>
    </w:p>
    <w:p w14:paraId="10260B21" w14:textId="0175218E" w:rsid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 w:rsidRPr="00830EC5">
        <w:rPr>
          <w:rFonts w:eastAsia="Times New Roman" w:cs="Arial"/>
          <w:color w:val="000000"/>
          <w:sz w:val="27"/>
          <w:szCs w:val="27"/>
          <w:lang w:eastAsia="es-419"/>
        </w:rPr>
        <w:t>En los anteriores términos se resuelve su consulta.</w:t>
      </w:r>
    </w:p>
    <w:p w14:paraId="7BF2620A" w14:textId="0A3B1DB3" w:rsidR="00830EC5" w:rsidRPr="00830EC5" w:rsidRDefault="00830EC5" w:rsidP="00830EC5">
      <w:pPr>
        <w:shd w:val="clear" w:color="auto" w:fill="FFFFFF"/>
        <w:spacing w:line="360" w:lineRule="auto"/>
        <w:rPr>
          <w:rFonts w:eastAsia="Times New Roman" w:cs="Arial"/>
          <w:color w:val="000000"/>
          <w:sz w:val="27"/>
          <w:szCs w:val="27"/>
          <w:lang w:eastAsia="es-419"/>
        </w:rPr>
      </w:pPr>
      <w:r>
        <w:rPr>
          <w:rFonts w:eastAsia="Times New Roman" w:cs="Arial"/>
          <w:color w:val="000000"/>
          <w:sz w:val="27"/>
          <w:szCs w:val="27"/>
          <w:lang w:eastAsia="es-419"/>
        </w:rPr>
        <w:t>______________________________________________________________</w:t>
      </w:r>
    </w:p>
    <w:p w14:paraId="55CC7864" w14:textId="77777777" w:rsidR="002F3F02" w:rsidRDefault="002F3F02" w:rsidP="00830EC5">
      <w:pPr>
        <w:spacing w:line="360" w:lineRule="auto"/>
      </w:pPr>
    </w:p>
    <w:sectPr w:rsidR="002F3F02" w:rsidSect="00DE361E"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0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C5"/>
    <w:rsid w:val="000B57B4"/>
    <w:rsid w:val="001135C3"/>
    <w:rsid w:val="001D5535"/>
    <w:rsid w:val="002F3F02"/>
    <w:rsid w:val="00381A9A"/>
    <w:rsid w:val="004A489D"/>
    <w:rsid w:val="004F1D2E"/>
    <w:rsid w:val="005173B2"/>
    <w:rsid w:val="005B14BF"/>
    <w:rsid w:val="005B2F5F"/>
    <w:rsid w:val="005B6BAD"/>
    <w:rsid w:val="00671273"/>
    <w:rsid w:val="00830EC5"/>
    <w:rsid w:val="00840411"/>
    <w:rsid w:val="00885E73"/>
    <w:rsid w:val="008C5C9A"/>
    <w:rsid w:val="009705EC"/>
    <w:rsid w:val="00A06DF4"/>
    <w:rsid w:val="00A613E5"/>
    <w:rsid w:val="00A91F78"/>
    <w:rsid w:val="00AE7AD8"/>
    <w:rsid w:val="00B21583"/>
    <w:rsid w:val="00B76269"/>
    <w:rsid w:val="00B95DCE"/>
    <w:rsid w:val="00BB4D1A"/>
    <w:rsid w:val="00BE074B"/>
    <w:rsid w:val="00CA1F22"/>
    <w:rsid w:val="00CC19F3"/>
    <w:rsid w:val="00CC2D9A"/>
    <w:rsid w:val="00CD2735"/>
    <w:rsid w:val="00D65024"/>
    <w:rsid w:val="00DE361E"/>
    <w:rsid w:val="00E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E8BF"/>
  <w15:chartTrackingRefBased/>
  <w15:docId w15:val="{FC13A320-E342-4836-8C5A-F40A1C34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s-419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4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E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0E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0E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0E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0E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0E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0E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30E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0E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0E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0E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0E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0E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0E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0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0E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0E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0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0EC5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0E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E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0E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4</cp:revision>
  <dcterms:created xsi:type="dcterms:W3CDTF">2024-11-24T17:49:00Z</dcterms:created>
  <dcterms:modified xsi:type="dcterms:W3CDTF">2025-01-19T15:12:00Z</dcterms:modified>
</cp:coreProperties>
</file>