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F681CF" w14:textId="77777777" w:rsidR="00234A8B" w:rsidRPr="00234A8B" w:rsidRDefault="00234A8B" w:rsidP="00234A8B">
      <w:pPr>
        <w:spacing w:after="0" w:line="240" w:lineRule="auto"/>
        <w:jc w:val="center"/>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b/>
          <w:bCs/>
          <w:color w:val="000000"/>
          <w:kern w:val="0"/>
          <w:sz w:val="21"/>
          <w:szCs w:val="21"/>
          <w:lang w:eastAsia="es-CO"/>
          <w14:ligatures w14:val="none"/>
        </w:rPr>
        <w:t xml:space="preserve">Concepto </w:t>
      </w:r>
      <w:proofErr w:type="spellStart"/>
      <w:r w:rsidRPr="00234A8B">
        <w:rPr>
          <w:rFonts w:ascii="Segoe UI" w:eastAsia="Times New Roman" w:hAnsi="Segoe UI" w:cs="Segoe UI"/>
          <w:b/>
          <w:bCs/>
          <w:color w:val="000000"/>
          <w:kern w:val="0"/>
          <w:sz w:val="21"/>
          <w:szCs w:val="21"/>
          <w:lang w:eastAsia="es-CO"/>
          <w14:ligatures w14:val="none"/>
        </w:rPr>
        <w:t>Nº</w:t>
      </w:r>
      <w:proofErr w:type="spellEnd"/>
      <w:r w:rsidRPr="00234A8B">
        <w:rPr>
          <w:rFonts w:ascii="Segoe UI" w:eastAsia="Times New Roman" w:hAnsi="Segoe UI" w:cs="Segoe UI"/>
          <w:b/>
          <w:bCs/>
          <w:color w:val="000000"/>
          <w:kern w:val="0"/>
          <w:sz w:val="21"/>
          <w:szCs w:val="21"/>
          <w:lang w:eastAsia="es-CO"/>
          <w14:ligatures w14:val="none"/>
        </w:rPr>
        <w:t xml:space="preserve"> 064458</w:t>
      </w:r>
    </w:p>
    <w:p w14:paraId="71DEAD59" w14:textId="77777777" w:rsidR="00234A8B" w:rsidRPr="00234A8B" w:rsidRDefault="00234A8B" w:rsidP="00234A8B">
      <w:pPr>
        <w:spacing w:after="0" w:line="240" w:lineRule="auto"/>
        <w:jc w:val="center"/>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b/>
          <w:bCs/>
          <w:color w:val="000000"/>
          <w:kern w:val="0"/>
          <w:sz w:val="21"/>
          <w:szCs w:val="21"/>
          <w:lang w:eastAsia="es-CO"/>
          <w14:ligatures w14:val="none"/>
        </w:rPr>
        <w:t>30-11-2023</w:t>
      </w:r>
    </w:p>
    <w:p w14:paraId="06AD36A8" w14:textId="77777777" w:rsidR="00234A8B" w:rsidRPr="00234A8B" w:rsidRDefault="00234A8B" w:rsidP="00234A8B">
      <w:pPr>
        <w:spacing w:after="0" w:line="240" w:lineRule="auto"/>
        <w:jc w:val="center"/>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b/>
          <w:bCs/>
          <w:color w:val="000000"/>
          <w:kern w:val="0"/>
          <w:sz w:val="21"/>
          <w:szCs w:val="21"/>
          <w:lang w:eastAsia="es-CO"/>
          <w14:ligatures w14:val="none"/>
        </w:rPr>
        <w:t>Ministerio de Hacienda y Crédito Público</w:t>
      </w:r>
    </w:p>
    <w:p w14:paraId="3E16804E"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00450FCC"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747BC851"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6.2. Subdirección de Fortalecimiento Institucional Territorial</w:t>
      </w:r>
    </w:p>
    <w:p w14:paraId="4BC0C902"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3DEC2413"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b/>
          <w:bCs/>
          <w:color w:val="000000"/>
          <w:kern w:val="0"/>
          <w:sz w:val="21"/>
          <w:szCs w:val="21"/>
          <w:lang w:eastAsia="es-CO"/>
          <w14:ligatures w14:val="none"/>
        </w:rPr>
        <w:t>Radicado:</w:t>
      </w:r>
      <w:r w:rsidRPr="00234A8B">
        <w:rPr>
          <w:rFonts w:ascii="Segoe UI" w:eastAsia="Times New Roman" w:hAnsi="Segoe UI" w:cs="Segoe UI"/>
          <w:color w:val="000000"/>
          <w:kern w:val="0"/>
          <w:sz w:val="21"/>
          <w:szCs w:val="21"/>
          <w:lang w:eastAsia="es-CO"/>
          <w14:ligatures w14:val="none"/>
        </w:rPr>
        <w:t> 2-2023-064458</w:t>
      </w:r>
    </w:p>
    <w:p w14:paraId="2730B848"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Bogotá D.C.,</w:t>
      </w:r>
    </w:p>
    <w:p w14:paraId="131A71A9"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78870927"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proofErr w:type="gramStart"/>
      <w:r w:rsidRPr="00234A8B">
        <w:rPr>
          <w:rFonts w:ascii="Segoe UI" w:eastAsia="Times New Roman" w:hAnsi="Segoe UI" w:cs="Segoe UI"/>
          <w:color w:val="000000"/>
          <w:kern w:val="0"/>
          <w:sz w:val="21"/>
          <w:szCs w:val="21"/>
          <w:lang w:eastAsia="es-CO"/>
          <w14:ligatures w14:val="none"/>
        </w:rPr>
        <w:t>Radicado entrada</w:t>
      </w:r>
      <w:proofErr w:type="gramEnd"/>
      <w:r w:rsidRPr="00234A8B">
        <w:rPr>
          <w:rFonts w:ascii="Segoe UI" w:eastAsia="Times New Roman" w:hAnsi="Segoe UI" w:cs="Segoe UI"/>
          <w:color w:val="000000"/>
          <w:kern w:val="0"/>
          <w:sz w:val="21"/>
          <w:szCs w:val="21"/>
          <w:lang w:eastAsia="es-CO"/>
          <w14:ligatures w14:val="none"/>
        </w:rPr>
        <w:t xml:space="preserve"> 1-2023-097024</w:t>
      </w:r>
    </w:p>
    <w:p w14:paraId="6F77162D"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No. Expediente 12260/2023/GEA</w:t>
      </w:r>
    </w:p>
    <w:p w14:paraId="469AA3AC"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3585E9E8"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proofErr w:type="gramStart"/>
      <w:r w:rsidRPr="00234A8B">
        <w:rPr>
          <w:rFonts w:ascii="Segoe UI" w:eastAsia="Times New Roman" w:hAnsi="Segoe UI" w:cs="Segoe UI"/>
          <w:b/>
          <w:bCs/>
          <w:color w:val="000000"/>
          <w:kern w:val="0"/>
          <w:sz w:val="21"/>
          <w:szCs w:val="21"/>
          <w:lang w:eastAsia="es-CO"/>
          <w14:ligatures w14:val="none"/>
        </w:rPr>
        <w:t>Asunto :</w:t>
      </w:r>
      <w:proofErr w:type="gramEnd"/>
      <w:r w:rsidRPr="00234A8B">
        <w:rPr>
          <w:rFonts w:ascii="Segoe UI" w:eastAsia="Times New Roman" w:hAnsi="Segoe UI" w:cs="Segoe UI"/>
          <w:color w:val="000000"/>
          <w:kern w:val="0"/>
          <w:sz w:val="21"/>
          <w:szCs w:val="21"/>
          <w:lang w:eastAsia="es-CO"/>
          <w14:ligatures w14:val="none"/>
        </w:rPr>
        <w:t> Oficio No. 1-2023-097024 del 1 de noviembre de 2023</w:t>
      </w:r>
    </w:p>
    <w:p w14:paraId="6D6B3CC0"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proofErr w:type="gramStart"/>
      <w:r w:rsidRPr="00234A8B">
        <w:rPr>
          <w:rFonts w:ascii="Segoe UI" w:eastAsia="Times New Roman" w:hAnsi="Segoe UI" w:cs="Segoe UI"/>
          <w:b/>
          <w:bCs/>
          <w:color w:val="000000"/>
          <w:kern w:val="0"/>
          <w:sz w:val="21"/>
          <w:szCs w:val="21"/>
          <w:lang w:eastAsia="es-CO"/>
          <w14:ligatures w14:val="none"/>
        </w:rPr>
        <w:t>Tema :</w:t>
      </w:r>
      <w:proofErr w:type="gramEnd"/>
      <w:r w:rsidRPr="00234A8B">
        <w:rPr>
          <w:rFonts w:ascii="Segoe UI" w:eastAsia="Times New Roman" w:hAnsi="Segoe UI" w:cs="Segoe UI"/>
          <w:color w:val="000000"/>
          <w:kern w:val="0"/>
          <w:sz w:val="21"/>
          <w:szCs w:val="21"/>
          <w:lang w:eastAsia="es-CO"/>
          <w14:ligatures w14:val="none"/>
        </w:rPr>
        <w:t> Otros temas territoriales</w:t>
      </w:r>
    </w:p>
    <w:p w14:paraId="460678ED"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proofErr w:type="gramStart"/>
      <w:r w:rsidRPr="00234A8B">
        <w:rPr>
          <w:rFonts w:ascii="Segoe UI" w:eastAsia="Times New Roman" w:hAnsi="Segoe UI" w:cs="Segoe UI"/>
          <w:b/>
          <w:bCs/>
          <w:color w:val="000000"/>
          <w:kern w:val="0"/>
          <w:sz w:val="21"/>
          <w:szCs w:val="21"/>
          <w:lang w:eastAsia="es-CO"/>
          <w14:ligatures w14:val="none"/>
        </w:rPr>
        <w:t>Subtema :</w:t>
      </w:r>
      <w:proofErr w:type="gramEnd"/>
      <w:r w:rsidRPr="00234A8B">
        <w:rPr>
          <w:rFonts w:ascii="Segoe UI" w:eastAsia="Times New Roman" w:hAnsi="Segoe UI" w:cs="Segoe UI"/>
          <w:color w:val="000000"/>
          <w:kern w:val="0"/>
          <w:sz w:val="21"/>
          <w:szCs w:val="21"/>
          <w:lang w:eastAsia="es-CO"/>
          <w14:ligatures w14:val="none"/>
        </w:rPr>
        <w:t> Entrada en vigencia de Acuerdos Municipales</w:t>
      </w:r>
    </w:p>
    <w:p w14:paraId="0159FA96"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73EF01D7"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Cordial saludo:</w:t>
      </w:r>
    </w:p>
    <w:p w14:paraId="33267B89"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665E0179"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Mediante escrito dirigido a este Despacho con efectúa usted una serie de consultas en relación con un acuerdo municipal expedido por el Concejo de Barrancabermeja.</w:t>
      </w:r>
    </w:p>
    <w:p w14:paraId="3F6B5C78"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14C73572"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Sea lo primero señalar que a quién corresponde interpretar y delimitar el contenido y alcance de las normas locales es a la propia entidad territorial en uso de la autonomía que les reconoce el artículo 287 de la Constitución Política, ya que al decir de la Corte Constitucional, “</w:t>
      </w:r>
      <w:r w:rsidRPr="00234A8B">
        <w:rPr>
          <w:rFonts w:ascii="Segoe UI" w:eastAsia="Times New Roman" w:hAnsi="Segoe UI" w:cs="Segoe UI"/>
          <w:i/>
          <w:iCs/>
          <w:color w:val="000000"/>
          <w:kern w:val="0"/>
          <w:sz w:val="21"/>
          <w:szCs w:val="21"/>
          <w:lang w:eastAsia="es-CO"/>
          <w14:ligatures w14:val="none"/>
        </w:rPr>
        <w:t>un espacio propio y normal de dicha autonomía lo constituyen la libertad y la facultad de dichas autoridades para ejecutar y aplicar la ley y las normas que produzcan los órganos de aquéllas dotados de competencia normativa, sin la injerencia o intervención de los órganos de la administración centralizada</w:t>
      </w:r>
      <w:r w:rsidRPr="00234A8B">
        <w:rPr>
          <w:rFonts w:ascii="Segoe UI" w:eastAsia="Times New Roman" w:hAnsi="Segoe UI" w:cs="Segoe UI"/>
          <w:color w:val="000000"/>
          <w:kern w:val="0"/>
          <w:sz w:val="21"/>
          <w:szCs w:val="21"/>
          <w:lang w:eastAsia="es-CO"/>
          <w14:ligatures w14:val="none"/>
        </w:rPr>
        <w:t>.”</w:t>
      </w:r>
      <w:hyperlink r:id="rId5" w:anchor="cite_note-1" w:history="1">
        <w:r w:rsidRPr="00234A8B">
          <w:rPr>
            <w:rFonts w:ascii="Segoe UI" w:eastAsia="Times New Roman" w:hAnsi="Segoe UI" w:cs="Segoe UI"/>
            <w:color w:val="0645AD"/>
            <w:kern w:val="0"/>
            <w:sz w:val="21"/>
            <w:szCs w:val="21"/>
            <w:vertAlign w:val="superscript"/>
            <w:lang w:eastAsia="es-CO"/>
            <w14:ligatures w14:val="none"/>
          </w:rPr>
          <w:t>1</w:t>
        </w:r>
      </w:hyperlink>
      <w:r w:rsidRPr="00234A8B">
        <w:rPr>
          <w:rFonts w:ascii="Segoe UI" w:eastAsia="Times New Roman" w:hAnsi="Segoe UI" w:cs="Segoe UI"/>
          <w:color w:val="000000"/>
          <w:kern w:val="0"/>
          <w:sz w:val="21"/>
          <w:szCs w:val="21"/>
          <w:lang w:eastAsia="es-CO"/>
          <w14:ligatures w14:val="none"/>
        </w:rPr>
        <w:t>.</w:t>
      </w:r>
    </w:p>
    <w:p w14:paraId="395A25B0"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5264B185"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No obstante, en respeto al derecho de petición procederemos a absolver sus consultas de manera general y abstracta en los términos de los artículos 14-2 y 28 del Código de Procedimiento Administrativo y de lo Contencioso Administrativo, por lo que la respuesta no tendrá efectos obligatorios ni vinculantes, y no comprometerá la responsabilidad de este Ministerio.</w:t>
      </w:r>
    </w:p>
    <w:p w14:paraId="7BFB1A52"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Consulta usted:</w:t>
      </w:r>
    </w:p>
    <w:p w14:paraId="6B2DC847"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56693BCF" w14:textId="77777777" w:rsidR="00234A8B" w:rsidRPr="00234A8B" w:rsidRDefault="00234A8B" w:rsidP="00234A8B">
      <w:pPr>
        <w:spacing w:after="0" w:line="240" w:lineRule="auto"/>
        <w:ind w:left="284"/>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b/>
          <w:bCs/>
          <w:i/>
          <w:iCs/>
          <w:color w:val="000000"/>
          <w:kern w:val="0"/>
          <w:sz w:val="21"/>
          <w:szCs w:val="21"/>
          <w:lang w:eastAsia="es-CO"/>
          <w14:ligatures w14:val="none"/>
        </w:rPr>
        <w:t>1. ¿Cuáles son las implicaciones en la vigencia un acto administrativo -que es expedido en la vigencia 2023- que sus efectos fiscales sean a partir de la vigencia 2024?</w:t>
      </w:r>
    </w:p>
    <w:p w14:paraId="1E286352" w14:textId="77777777" w:rsidR="00234A8B" w:rsidRPr="00234A8B" w:rsidRDefault="00234A8B" w:rsidP="00234A8B">
      <w:pPr>
        <w:spacing w:after="0" w:line="240" w:lineRule="auto"/>
        <w:ind w:left="720"/>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0E770294"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xml:space="preserve">En relación con la aplicación de la ley en el tiempo, debe diferenciarse la </w:t>
      </w:r>
      <w:proofErr w:type="gramStart"/>
      <w:r w:rsidRPr="00234A8B">
        <w:rPr>
          <w:rFonts w:ascii="Segoe UI" w:eastAsia="Times New Roman" w:hAnsi="Segoe UI" w:cs="Segoe UI"/>
          <w:color w:val="000000"/>
          <w:kern w:val="0"/>
          <w:sz w:val="21"/>
          <w:szCs w:val="21"/>
          <w:lang w:eastAsia="es-CO"/>
          <w14:ligatures w14:val="none"/>
        </w:rPr>
        <w:t>entrada en vigencia</w:t>
      </w:r>
      <w:proofErr w:type="gramEnd"/>
      <w:r w:rsidRPr="00234A8B">
        <w:rPr>
          <w:rFonts w:ascii="Segoe UI" w:eastAsia="Times New Roman" w:hAnsi="Segoe UI" w:cs="Segoe UI"/>
          <w:color w:val="000000"/>
          <w:kern w:val="0"/>
          <w:sz w:val="21"/>
          <w:szCs w:val="21"/>
          <w:lang w:eastAsia="es-CO"/>
          <w14:ligatures w14:val="none"/>
        </w:rPr>
        <w:t xml:space="preserve"> del Acuerdo, con la aplicación de las normas en él incorporadas. Para el primer caso, es decir la </w:t>
      </w:r>
      <w:proofErr w:type="gramStart"/>
      <w:r w:rsidRPr="00234A8B">
        <w:rPr>
          <w:rFonts w:ascii="Segoe UI" w:eastAsia="Times New Roman" w:hAnsi="Segoe UI" w:cs="Segoe UI"/>
          <w:color w:val="000000"/>
          <w:kern w:val="0"/>
          <w:sz w:val="21"/>
          <w:szCs w:val="21"/>
          <w:lang w:eastAsia="es-CO"/>
          <w14:ligatures w14:val="none"/>
        </w:rPr>
        <w:t>entrada en vigencia</w:t>
      </w:r>
      <w:proofErr w:type="gramEnd"/>
      <w:r w:rsidRPr="00234A8B">
        <w:rPr>
          <w:rFonts w:ascii="Segoe UI" w:eastAsia="Times New Roman" w:hAnsi="Segoe UI" w:cs="Segoe UI"/>
          <w:color w:val="000000"/>
          <w:kern w:val="0"/>
          <w:sz w:val="21"/>
          <w:szCs w:val="21"/>
          <w:lang w:eastAsia="es-CO"/>
          <w14:ligatures w14:val="none"/>
        </w:rPr>
        <w:t>, dependerá entonces de la decisión que tome el concejo municipal al respecto, puesto que la ley no empieza a regir sino dos meses después de su promulgación (artículo 52 de la Ley 4 de 1913), salvo que la ley fije el día en que deba empezar a regir, o autorice al Gobierno para fijarlo, en cuyo caso regirá el día señalado (artículo 53 ibidem). En consecuencia, si la corporación administrativa decidió que iniciará a regir a partir de su promulgación, será a partir de dicho momento.</w:t>
      </w:r>
    </w:p>
    <w:p w14:paraId="06AAADAD"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5CD58B61"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xml:space="preserve">De acuerdo con lo señalado en su consulta, el Acuerdo “rige a partir de la fecha de su sanción y publicación”, por lo que deberá verificarse esta fecha para determinar la </w:t>
      </w:r>
      <w:proofErr w:type="gramStart"/>
      <w:r w:rsidRPr="00234A8B">
        <w:rPr>
          <w:rFonts w:ascii="Segoe UI" w:eastAsia="Times New Roman" w:hAnsi="Segoe UI" w:cs="Segoe UI"/>
          <w:color w:val="000000"/>
          <w:kern w:val="0"/>
          <w:sz w:val="21"/>
          <w:szCs w:val="21"/>
          <w:lang w:eastAsia="es-CO"/>
          <w14:ligatures w14:val="none"/>
        </w:rPr>
        <w:t>entrada en vigencia</w:t>
      </w:r>
      <w:proofErr w:type="gramEnd"/>
      <w:r w:rsidRPr="00234A8B">
        <w:rPr>
          <w:rFonts w:ascii="Segoe UI" w:eastAsia="Times New Roman" w:hAnsi="Segoe UI" w:cs="Segoe UI"/>
          <w:color w:val="000000"/>
          <w:kern w:val="0"/>
          <w:sz w:val="21"/>
          <w:szCs w:val="21"/>
          <w:lang w:eastAsia="es-CO"/>
          <w14:ligatures w14:val="none"/>
        </w:rPr>
        <w:t xml:space="preserve"> del acuerdo.</w:t>
      </w:r>
    </w:p>
    <w:p w14:paraId="0750F7A9"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4839C5B1"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xml:space="preserve">Ahora bien, en lo que se refiere a la aplicación de las normas, en términos generales, ésta es inmediata, es decir desde el momento mismo de </w:t>
      </w:r>
      <w:proofErr w:type="gramStart"/>
      <w:r w:rsidRPr="00234A8B">
        <w:rPr>
          <w:rFonts w:ascii="Segoe UI" w:eastAsia="Times New Roman" w:hAnsi="Segoe UI" w:cs="Segoe UI"/>
          <w:color w:val="000000"/>
          <w:kern w:val="0"/>
          <w:sz w:val="21"/>
          <w:szCs w:val="21"/>
          <w:lang w:eastAsia="es-CO"/>
          <w14:ligatures w14:val="none"/>
        </w:rPr>
        <w:t>entrada en vigencia</w:t>
      </w:r>
      <w:proofErr w:type="gramEnd"/>
      <w:r w:rsidRPr="00234A8B">
        <w:rPr>
          <w:rFonts w:ascii="Segoe UI" w:eastAsia="Times New Roman" w:hAnsi="Segoe UI" w:cs="Segoe UI"/>
          <w:color w:val="000000"/>
          <w:kern w:val="0"/>
          <w:sz w:val="21"/>
          <w:szCs w:val="21"/>
          <w:lang w:eastAsia="es-CO"/>
          <w14:ligatures w14:val="none"/>
        </w:rPr>
        <w:t xml:space="preserve"> de las normas; sin embargo, deben tenerse en cuenta algunos casos particulares, a saber:</w:t>
      </w:r>
    </w:p>
    <w:p w14:paraId="6B61F316"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27B78064" w14:textId="77777777" w:rsidR="00234A8B" w:rsidRPr="00234A8B" w:rsidRDefault="00234A8B" w:rsidP="00234A8B">
      <w:pPr>
        <w:numPr>
          <w:ilvl w:val="0"/>
          <w:numId w:val="1"/>
        </w:numPr>
        <w:spacing w:before="100" w:beforeAutospacing="1" w:after="100" w:afterAutospacing="1" w:line="240" w:lineRule="auto"/>
        <w:ind w:left="644" w:firstLine="0"/>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xml:space="preserve">Las normas concernientes a la sustanciación y ritualidad de los procesos son aplicables desde el momento en que empiezan a regir, pero los términos que hubieren empezado a correr, y las actuaciones y diligencias que ya estuvieren iniciadas, se regirán por la norma vigente al </w:t>
      </w:r>
      <w:r w:rsidRPr="00234A8B">
        <w:rPr>
          <w:rFonts w:ascii="Segoe UI" w:eastAsia="Times New Roman" w:hAnsi="Segoe UI" w:cs="Segoe UI"/>
          <w:color w:val="000000"/>
          <w:kern w:val="0"/>
          <w:sz w:val="21"/>
          <w:szCs w:val="21"/>
          <w:lang w:eastAsia="es-CO"/>
          <w14:ligatures w14:val="none"/>
        </w:rPr>
        <w:lastRenderedPageBreak/>
        <w:t>tiempo de su iniciación (Ley 153 de 1887, artículo 40), esto resultará aplicable en el caso de las modificaciones en aspectos procedimentales.</w:t>
      </w:r>
    </w:p>
    <w:p w14:paraId="45C5374C" w14:textId="77777777" w:rsidR="00234A8B" w:rsidRPr="00234A8B" w:rsidRDefault="00234A8B" w:rsidP="00234A8B">
      <w:pPr>
        <w:spacing w:after="0" w:line="240" w:lineRule="auto"/>
        <w:ind w:left="284"/>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39E73693" w14:textId="77777777" w:rsidR="00234A8B" w:rsidRPr="00234A8B" w:rsidRDefault="00234A8B" w:rsidP="00234A8B">
      <w:pPr>
        <w:numPr>
          <w:ilvl w:val="0"/>
          <w:numId w:val="2"/>
        </w:numPr>
        <w:spacing w:before="100" w:beforeAutospacing="1" w:after="100" w:afterAutospacing="1" w:line="240" w:lineRule="auto"/>
        <w:ind w:left="644" w:firstLine="0"/>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Las normas relacionadas con impuestos de período (</w:t>
      </w:r>
      <w:proofErr w:type="spellStart"/>
      <w:r w:rsidRPr="00234A8B">
        <w:rPr>
          <w:rFonts w:ascii="Segoe UI" w:eastAsia="Times New Roman" w:hAnsi="Segoe UI" w:cs="Segoe UI"/>
          <w:color w:val="000000"/>
          <w:kern w:val="0"/>
          <w:sz w:val="21"/>
          <w:szCs w:val="21"/>
          <w:lang w:eastAsia="es-CO"/>
          <w14:ligatures w14:val="none"/>
        </w:rPr>
        <w:t>Vg</w:t>
      </w:r>
      <w:proofErr w:type="spellEnd"/>
      <w:r w:rsidRPr="00234A8B">
        <w:rPr>
          <w:rFonts w:ascii="Segoe UI" w:eastAsia="Times New Roman" w:hAnsi="Segoe UI" w:cs="Segoe UI"/>
          <w:color w:val="000000"/>
          <w:kern w:val="0"/>
          <w:sz w:val="21"/>
          <w:szCs w:val="21"/>
          <w:lang w:eastAsia="es-CO"/>
          <w14:ligatures w14:val="none"/>
        </w:rPr>
        <w:t>. Industria y Comercio) comenzarán a regir a partir del período que comience después de iniciar la vigencia de la norma, en este caso el acuerdo municipal (Constitución Política, artículo 338). Por su parte, las relacionadas con impuestos de causación instantánea (</w:t>
      </w:r>
      <w:proofErr w:type="spellStart"/>
      <w:r w:rsidRPr="00234A8B">
        <w:rPr>
          <w:rFonts w:ascii="Segoe UI" w:eastAsia="Times New Roman" w:hAnsi="Segoe UI" w:cs="Segoe UI"/>
          <w:color w:val="000000"/>
          <w:kern w:val="0"/>
          <w:sz w:val="21"/>
          <w:szCs w:val="21"/>
          <w:lang w:eastAsia="es-CO"/>
          <w14:ligatures w14:val="none"/>
        </w:rPr>
        <w:t>Vg</w:t>
      </w:r>
      <w:proofErr w:type="spellEnd"/>
      <w:r w:rsidRPr="00234A8B">
        <w:rPr>
          <w:rFonts w:ascii="Segoe UI" w:eastAsia="Times New Roman" w:hAnsi="Segoe UI" w:cs="Segoe UI"/>
          <w:color w:val="000000"/>
          <w:kern w:val="0"/>
          <w:sz w:val="21"/>
          <w:szCs w:val="21"/>
          <w:lang w:eastAsia="es-CO"/>
          <w14:ligatures w14:val="none"/>
        </w:rPr>
        <w:t xml:space="preserve">. Estampillas), aplicarán a partir de la </w:t>
      </w:r>
      <w:proofErr w:type="gramStart"/>
      <w:r w:rsidRPr="00234A8B">
        <w:rPr>
          <w:rFonts w:ascii="Segoe UI" w:eastAsia="Times New Roman" w:hAnsi="Segoe UI" w:cs="Segoe UI"/>
          <w:color w:val="000000"/>
          <w:kern w:val="0"/>
          <w:sz w:val="21"/>
          <w:szCs w:val="21"/>
          <w:lang w:eastAsia="es-CO"/>
          <w14:ligatures w14:val="none"/>
        </w:rPr>
        <w:t>entrada en vigencia</w:t>
      </w:r>
      <w:proofErr w:type="gramEnd"/>
      <w:r w:rsidRPr="00234A8B">
        <w:rPr>
          <w:rFonts w:ascii="Segoe UI" w:eastAsia="Times New Roman" w:hAnsi="Segoe UI" w:cs="Segoe UI"/>
          <w:color w:val="000000"/>
          <w:kern w:val="0"/>
          <w:sz w:val="21"/>
          <w:szCs w:val="21"/>
          <w:lang w:eastAsia="es-CO"/>
          <w14:ligatures w14:val="none"/>
        </w:rPr>
        <w:t xml:space="preserve"> establecida en la norma.</w:t>
      </w:r>
    </w:p>
    <w:p w14:paraId="762588AE" w14:textId="77777777" w:rsidR="00234A8B" w:rsidRPr="00234A8B" w:rsidRDefault="00234A8B" w:rsidP="00234A8B">
      <w:pPr>
        <w:spacing w:after="0" w:line="240" w:lineRule="auto"/>
        <w:ind w:left="284"/>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18F96EE7" w14:textId="77777777" w:rsidR="00234A8B" w:rsidRPr="00234A8B" w:rsidRDefault="00234A8B" w:rsidP="00234A8B">
      <w:pPr>
        <w:numPr>
          <w:ilvl w:val="0"/>
          <w:numId w:val="3"/>
        </w:numPr>
        <w:spacing w:before="100" w:beforeAutospacing="1" w:after="100" w:afterAutospacing="1" w:line="240" w:lineRule="auto"/>
        <w:ind w:left="644" w:firstLine="0"/>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Los casos en los que la misma autoridad (congreso, asamblea o concejo) establezca una fecha distinta.</w:t>
      </w:r>
    </w:p>
    <w:p w14:paraId="342058C7"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57FAA15C"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En el caso concreto, el concejo municipal señaló que las disposiciones allí señaladas “</w:t>
      </w:r>
      <w:r w:rsidRPr="00234A8B">
        <w:rPr>
          <w:rFonts w:ascii="Segoe UI" w:eastAsia="Times New Roman" w:hAnsi="Segoe UI" w:cs="Segoe UI"/>
          <w:i/>
          <w:iCs/>
          <w:color w:val="000000"/>
          <w:kern w:val="0"/>
          <w:sz w:val="21"/>
          <w:szCs w:val="21"/>
          <w:lang w:eastAsia="es-CO"/>
          <w14:ligatures w14:val="none"/>
        </w:rPr>
        <w:t>tendrá efectos fiscales a partir del primero (01) de enero de 2024’’</w:t>
      </w:r>
      <w:r w:rsidRPr="00234A8B">
        <w:rPr>
          <w:rFonts w:ascii="Segoe UI" w:eastAsia="Times New Roman" w:hAnsi="Segoe UI" w:cs="Segoe UI"/>
          <w:color w:val="000000"/>
          <w:kern w:val="0"/>
          <w:sz w:val="21"/>
          <w:szCs w:val="21"/>
          <w:lang w:eastAsia="es-CO"/>
          <w14:ligatures w14:val="none"/>
        </w:rPr>
        <w:t>, por lo que, en criterio de esta dirección, esa será la fecha a partir de la cual resultarán aplicables las disposiciones allí contenidas.</w:t>
      </w:r>
    </w:p>
    <w:p w14:paraId="450D22CF"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23FD379E" w14:textId="77777777" w:rsidR="00234A8B" w:rsidRPr="00234A8B" w:rsidRDefault="00234A8B" w:rsidP="00234A8B">
      <w:pPr>
        <w:spacing w:after="0" w:line="240" w:lineRule="auto"/>
        <w:ind w:left="284"/>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b/>
          <w:bCs/>
          <w:i/>
          <w:iCs/>
          <w:color w:val="000000"/>
          <w:kern w:val="0"/>
          <w:sz w:val="21"/>
          <w:szCs w:val="21"/>
          <w:lang w:eastAsia="es-CO"/>
          <w14:ligatures w14:val="none"/>
        </w:rPr>
        <w:t>2. Si los efectos fiscales de un acto administrativo que crea un Fondo Cuenta son a partir del año 2024, ¿en el año 2023 el Fondo respectivo puede recibir recursos por fuentes de financiación externas como los del aprovechamiento del espacio público -que es un precio público y no un impuesto (tasa)-?</w:t>
      </w:r>
    </w:p>
    <w:p w14:paraId="444B68C3" w14:textId="77777777" w:rsidR="00234A8B" w:rsidRPr="00234A8B" w:rsidRDefault="00234A8B" w:rsidP="00234A8B">
      <w:pPr>
        <w:spacing w:after="0" w:line="240" w:lineRule="auto"/>
        <w:ind w:left="284"/>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b/>
          <w:bCs/>
          <w:i/>
          <w:iCs/>
          <w:color w:val="000000"/>
          <w:kern w:val="0"/>
          <w:sz w:val="21"/>
          <w:szCs w:val="21"/>
          <w:lang w:eastAsia="es-CO"/>
          <w14:ligatures w14:val="none"/>
        </w:rPr>
        <w:t>3. ¿Cuál es el alcance de la expresión ‘‘efectos fiscales’’ en un acto administrativo que crea un Fondo Cuenta con diferentes fuentes de financiación -como recursos propios y precios públicos-?</w:t>
      </w:r>
    </w:p>
    <w:p w14:paraId="1BFEDBCE"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1B4334F2"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En criterio de esta dirección la expresión “</w:t>
      </w:r>
      <w:r w:rsidRPr="00234A8B">
        <w:rPr>
          <w:rFonts w:ascii="Segoe UI" w:eastAsia="Times New Roman" w:hAnsi="Segoe UI" w:cs="Segoe UI"/>
          <w:i/>
          <w:iCs/>
          <w:color w:val="000000"/>
          <w:kern w:val="0"/>
          <w:sz w:val="21"/>
          <w:szCs w:val="21"/>
          <w:lang w:eastAsia="es-CO"/>
          <w14:ligatures w14:val="none"/>
        </w:rPr>
        <w:t>efectos fiscales</w:t>
      </w:r>
      <w:r w:rsidRPr="00234A8B">
        <w:rPr>
          <w:rFonts w:ascii="Segoe UI" w:eastAsia="Times New Roman" w:hAnsi="Segoe UI" w:cs="Segoe UI"/>
          <w:color w:val="000000"/>
          <w:kern w:val="0"/>
          <w:sz w:val="21"/>
          <w:szCs w:val="21"/>
          <w:lang w:eastAsia="es-CO"/>
          <w14:ligatures w14:val="none"/>
        </w:rPr>
        <w:t>” hace referencia al momento en que las disposiciones allí contenidas resultan aplicables, independientemente de la naturaleza de los recursos que entrarán al fondo.</w:t>
      </w:r>
    </w:p>
    <w:p w14:paraId="7C52E9D9"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13E2240B"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Así las cosas, consideramos que el Fondo creado a través del Acuerdo Municipal solo tendrá vigencia a partir del 1 de enero del año 2024.</w:t>
      </w:r>
    </w:p>
    <w:p w14:paraId="658D775C"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7F28FB8E"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No obstante, será el propio Concejo quien pueda definir con autoridad la interpretación correcta del acuerdo y sus disposiciones.</w:t>
      </w:r>
    </w:p>
    <w:p w14:paraId="62476F72"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698B41CD"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Finalmente le recordamos una vez más que las respuestas emitidas por este Despacho se dan en los términos y con los estrictos alcances de los artículos 14-2 y 28 del Código de Procedimiento Administrativo y de lo Contencioso Administrativo, por lo que son generales, no tienen efectos obligatorios ni vinculantes, no comprometen la responsabilidad de este Ministerio y pueden ser consultados en </w:t>
      </w:r>
      <w:hyperlink r:id="rId6" w:tgtFrame="_blank" w:history="1">
        <w:r w:rsidRPr="00234A8B">
          <w:rPr>
            <w:rFonts w:ascii="Segoe UI" w:eastAsia="Times New Roman" w:hAnsi="Segoe UI" w:cs="Segoe UI"/>
            <w:color w:val="0645AD"/>
            <w:kern w:val="0"/>
            <w:sz w:val="21"/>
            <w:szCs w:val="21"/>
            <w:u w:val="single"/>
            <w:lang w:eastAsia="es-CO"/>
            <w14:ligatures w14:val="none"/>
          </w:rPr>
          <w:t>www.minhacienda.gov.co</w:t>
        </w:r>
      </w:hyperlink>
      <w:r w:rsidRPr="00234A8B">
        <w:rPr>
          <w:rFonts w:ascii="Segoe UI" w:eastAsia="Times New Roman" w:hAnsi="Segoe UI" w:cs="Segoe UI"/>
          <w:color w:val="000000"/>
          <w:kern w:val="0"/>
          <w:sz w:val="21"/>
          <w:szCs w:val="21"/>
          <w:lang w:eastAsia="es-CO"/>
          <w14:ligatures w14:val="none"/>
        </w:rPr>
        <w:t>, en la sección Entidades de Orden Territorial, en </w:t>
      </w:r>
      <w:r w:rsidRPr="00234A8B">
        <w:rPr>
          <w:rFonts w:ascii="Segoe UI" w:eastAsia="Times New Roman" w:hAnsi="Segoe UI" w:cs="Segoe UI"/>
          <w:color w:val="000000"/>
          <w:kern w:val="0"/>
          <w:sz w:val="21"/>
          <w:szCs w:val="21"/>
          <w:u w:val="single"/>
          <w:lang w:eastAsia="es-CO"/>
          <w14:ligatures w14:val="none"/>
        </w:rPr>
        <w:t>Asesorías y Conceptos en materia tributaria</w:t>
      </w:r>
      <w:r w:rsidRPr="00234A8B">
        <w:rPr>
          <w:rFonts w:ascii="Segoe UI" w:eastAsia="Times New Roman" w:hAnsi="Segoe UI" w:cs="Segoe UI"/>
          <w:color w:val="000000"/>
          <w:kern w:val="0"/>
          <w:sz w:val="21"/>
          <w:szCs w:val="21"/>
          <w:lang w:eastAsia="es-CO"/>
          <w14:ligatures w14:val="none"/>
        </w:rPr>
        <w:t>.</w:t>
      </w:r>
    </w:p>
    <w:p w14:paraId="1E684A10"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21EE1391"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Cordialmente,</w:t>
      </w:r>
    </w:p>
    <w:p w14:paraId="45716DA7"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2B88808D"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2EB875BE"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b/>
          <w:bCs/>
          <w:color w:val="000000"/>
          <w:kern w:val="0"/>
          <w:sz w:val="21"/>
          <w:szCs w:val="21"/>
          <w:lang w:eastAsia="es-CO"/>
          <w14:ligatures w14:val="none"/>
        </w:rPr>
        <w:t>CLAUDIA HELENA OTÁLORA CRISTANCHO</w:t>
      </w:r>
    </w:p>
    <w:p w14:paraId="7589CFAA"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Subdirectora de Fortalecimiento Institucional Territorial</w:t>
      </w:r>
    </w:p>
    <w:p w14:paraId="42F09E33"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Dirección General de Apoyo Fiscal</w:t>
      </w:r>
    </w:p>
    <w:p w14:paraId="23F1E4AB" w14:textId="77777777" w:rsidR="00234A8B" w:rsidRPr="00234A8B" w:rsidRDefault="00234A8B" w:rsidP="00234A8B">
      <w:pPr>
        <w:spacing w:after="0" w:line="240" w:lineRule="auto"/>
        <w:jc w:val="both"/>
        <w:rPr>
          <w:rFonts w:ascii="Segoe UI" w:eastAsia="Times New Roman" w:hAnsi="Segoe UI" w:cs="Segoe UI"/>
          <w:color w:val="000000"/>
          <w:kern w:val="0"/>
          <w:sz w:val="21"/>
          <w:szCs w:val="21"/>
          <w:lang w:eastAsia="es-CO"/>
          <w14:ligatures w14:val="none"/>
        </w:rPr>
      </w:pPr>
      <w:r w:rsidRPr="00234A8B">
        <w:rPr>
          <w:rFonts w:ascii="Segoe UI" w:eastAsia="Times New Roman" w:hAnsi="Segoe UI" w:cs="Segoe UI"/>
          <w:color w:val="000000"/>
          <w:kern w:val="0"/>
          <w:sz w:val="21"/>
          <w:szCs w:val="21"/>
          <w:lang w:eastAsia="es-CO"/>
          <w14:ligatures w14:val="none"/>
        </w:rPr>
        <w:t> </w:t>
      </w:r>
    </w:p>
    <w:p w14:paraId="11DE3B4E" w14:textId="77777777" w:rsidR="00234A8B" w:rsidRPr="00234A8B" w:rsidRDefault="00234A8B" w:rsidP="00234A8B">
      <w:pPr>
        <w:spacing w:after="285" w:line="240" w:lineRule="auto"/>
        <w:jc w:val="both"/>
        <w:outlineLvl w:val="2"/>
        <w:rPr>
          <w:rFonts w:ascii="Segoe UI" w:eastAsia="Times New Roman" w:hAnsi="Segoe UI" w:cs="Segoe UI"/>
          <w:b/>
          <w:bCs/>
          <w:color w:val="000000"/>
          <w:kern w:val="0"/>
          <w:sz w:val="21"/>
          <w:szCs w:val="21"/>
          <w:lang w:eastAsia="es-CO"/>
          <w14:ligatures w14:val="none"/>
        </w:rPr>
      </w:pPr>
      <w:r w:rsidRPr="00234A8B">
        <w:rPr>
          <w:rFonts w:ascii="Segoe UI" w:eastAsia="Times New Roman" w:hAnsi="Segoe UI" w:cs="Segoe UI"/>
          <w:b/>
          <w:bCs/>
          <w:color w:val="000000"/>
          <w:kern w:val="0"/>
          <w:sz w:val="21"/>
          <w:szCs w:val="21"/>
          <w:lang w:eastAsia="es-CO"/>
          <w14:ligatures w14:val="none"/>
        </w:rPr>
        <w:t>Notas al pie</w:t>
      </w:r>
    </w:p>
    <w:p w14:paraId="1595E83E" w14:textId="77777777" w:rsidR="00234A8B" w:rsidRPr="00234A8B" w:rsidRDefault="00234A8B" w:rsidP="00234A8B">
      <w:pPr>
        <w:spacing w:after="0" w:line="240" w:lineRule="auto"/>
        <w:rPr>
          <w:rFonts w:ascii="Segoe UI" w:eastAsia="Times New Roman" w:hAnsi="Segoe UI" w:cs="Segoe UI"/>
          <w:kern w:val="0"/>
          <w:sz w:val="21"/>
          <w:szCs w:val="21"/>
          <w:lang w:eastAsia="es-CO"/>
          <w14:ligatures w14:val="none"/>
        </w:rPr>
      </w:pPr>
      <w:r w:rsidRPr="00234A8B">
        <w:rPr>
          <w:rFonts w:eastAsia="Times New Roman" w:cs="Times New Roman"/>
          <w:kern w:val="0"/>
          <w:szCs w:val="24"/>
          <w:lang w:eastAsia="es-CO"/>
          <w14:ligatures w14:val="none"/>
        </w:rPr>
        <w:pict w14:anchorId="0A55F722">
          <v:rect id="_x0000_i1025" style="width:0;height:1.5pt" o:hralign="left" o:hrstd="t" o:hrnoshade="t" o:hr="t" fillcolor="black" stroked="f"/>
        </w:pict>
      </w:r>
    </w:p>
    <w:p w14:paraId="32FB6240" w14:textId="77777777" w:rsidR="00234A8B" w:rsidRPr="00234A8B" w:rsidRDefault="00234A8B" w:rsidP="00234A8B">
      <w:pPr>
        <w:numPr>
          <w:ilvl w:val="1"/>
          <w:numId w:val="4"/>
        </w:numPr>
        <w:spacing w:before="100" w:beforeAutospacing="1" w:after="100" w:afterAutospacing="1" w:line="240" w:lineRule="auto"/>
        <w:ind w:left="720"/>
        <w:jc w:val="both"/>
        <w:rPr>
          <w:rFonts w:ascii="Segoe UI" w:eastAsia="Times New Roman" w:hAnsi="Segoe UI" w:cs="Segoe UI"/>
          <w:color w:val="000000"/>
          <w:kern w:val="0"/>
          <w:sz w:val="21"/>
          <w:szCs w:val="21"/>
          <w:lang w:eastAsia="es-CO"/>
          <w14:ligatures w14:val="none"/>
        </w:rPr>
      </w:pPr>
      <w:hyperlink r:id="rId7" w:anchor="cite_ref-1" w:tooltip="Volver arriba" w:history="1">
        <w:r w:rsidRPr="00234A8B">
          <w:rPr>
            <w:rFonts w:ascii="Segoe UI" w:eastAsia="Times New Roman" w:hAnsi="Segoe UI" w:cs="Segoe UI"/>
            <w:color w:val="0645AD"/>
            <w:kern w:val="0"/>
            <w:sz w:val="21"/>
            <w:szCs w:val="21"/>
            <w:lang w:eastAsia="es-CO"/>
            <w14:ligatures w14:val="none"/>
          </w:rPr>
          <w:t>↑</w:t>
        </w:r>
      </w:hyperlink>
      <w:r w:rsidRPr="00234A8B">
        <w:rPr>
          <w:rFonts w:ascii="Segoe UI" w:eastAsia="Times New Roman" w:hAnsi="Segoe UI" w:cs="Segoe UI"/>
          <w:color w:val="000000"/>
          <w:kern w:val="0"/>
          <w:sz w:val="21"/>
          <w:szCs w:val="21"/>
          <w:lang w:eastAsia="es-CO"/>
          <w14:ligatures w14:val="none"/>
        </w:rPr>
        <w:t> Corte Constitucional de Colombia Sentencia C-877 de 2000, M.P. Antonio Barrera Carbonell.</w:t>
      </w:r>
    </w:p>
    <w:p w14:paraId="6A7635C7" w14:textId="77777777" w:rsidR="007F5CC8" w:rsidRDefault="007F5CC8"/>
    <w:sectPr w:rsidR="007F5CC8" w:rsidSect="009E376A">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68A513B"/>
    <w:multiLevelType w:val="multilevel"/>
    <w:tmpl w:val="FC807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563E55B2"/>
    <w:multiLevelType w:val="multilevel"/>
    <w:tmpl w:val="B456CB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7C8F3C2A"/>
    <w:multiLevelType w:val="multilevel"/>
    <w:tmpl w:val="CDA033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7DB4307E"/>
    <w:multiLevelType w:val="multilevel"/>
    <w:tmpl w:val="05BEBA4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2020345997">
    <w:abstractNumId w:val="0"/>
    <w:lvlOverride w:ilvl="0">
      <w:startOverride w:val="1"/>
    </w:lvlOverride>
  </w:num>
  <w:num w:numId="2" w16cid:durableId="103154978">
    <w:abstractNumId w:val="2"/>
    <w:lvlOverride w:ilvl="0">
      <w:startOverride w:val="2"/>
    </w:lvlOverride>
  </w:num>
  <w:num w:numId="3" w16cid:durableId="1621767775">
    <w:abstractNumId w:val="1"/>
    <w:lvlOverride w:ilvl="0">
      <w:startOverride w:val="3"/>
    </w:lvlOverride>
  </w:num>
  <w:num w:numId="4" w16cid:durableId="22939108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4A8B"/>
    <w:rsid w:val="000F3837"/>
    <w:rsid w:val="001E311E"/>
    <w:rsid w:val="00234A8B"/>
    <w:rsid w:val="00434AE6"/>
    <w:rsid w:val="005D25EE"/>
    <w:rsid w:val="007F5CC8"/>
    <w:rsid w:val="008779BE"/>
    <w:rsid w:val="008C2E57"/>
    <w:rsid w:val="009E376A"/>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20DC5F"/>
  <w15:chartTrackingRefBased/>
  <w15:docId w15:val="{CA973785-1A16-4D5F-9CF8-A8BDB738A9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234A8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234A8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234A8B"/>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234A8B"/>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tulo5">
    <w:name w:val="heading 5"/>
    <w:basedOn w:val="Normal"/>
    <w:next w:val="Normal"/>
    <w:link w:val="Ttulo5Car"/>
    <w:uiPriority w:val="9"/>
    <w:semiHidden/>
    <w:unhideWhenUsed/>
    <w:qFormat/>
    <w:rsid w:val="00234A8B"/>
    <w:pPr>
      <w:keepNext/>
      <w:keepLines/>
      <w:spacing w:before="80" w:after="40"/>
      <w:outlineLvl w:val="4"/>
    </w:pPr>
    <w:rPr>
      <w:rFonts w:asciiTheme="minorHAnsi" w:eastAsiaTheme="majorEastAsia" w:hAnsiTheme="minorHAnsi" w:cstheme="majorBidi"/>
      <w:color w:val="0F4761" w:themeColor="accent1" w:themeShade="BF"/>
    </w:rPr>
  </w:style>
  <w:style w:type="paragraph" w:styleId="Ttulo6">
    <w:name w:val="heading 6"/>
    <w:basedOn w:val="Normal"/>
    <w:next w:val="Normal"/>
    <w:link w:val="Ttulo6Car"/>
    <w:uiPriority w:val="9"/>
    <w:semiHidden/>
    <w:unhideWhenUsed/>
    <w:qFormat/>
    <w:rsid w:val="00234A8B"/>
    <w:pPr>
      <w:keepNext/>
      <w:keepLines/>
      <w:spacing w:before="40" w:after="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ar"/>
    <w:uiPriority w:val="9"/>
    <w:semiHidden/>
    <w:unhideWhenUsed/>
    <w:qFormat/>
    <w:rsid w:val="00234A8B"/>
    <w:pPr>
      <w:keepNext/>
      <w:keepLines/>
      <w:spacing w:before="40" w:after="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ar"/>
    <w:uiPriority w:val="9"/>
    <w:semiHidden/>
    <w:unhideWhenUsed/>
    <w:qFormat/>
    <w:rsid w:val="00234A8B"/>
    <w:pPr>
      <w:keepNext/>
      <w:keepLines/>
      <w:spacing w:after="0"/>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ar"/>
    <w:uiPriority w:val="9"/>
    <w:semiHidden/>
    <w:unhideWhenUsed/>
    <w:qFormat/>
    <w:rsid w:val="00234A8B"/>
    <w:pPr>
      <w:keepNext/>
      <w:keepLines/>
      <w:spacing w:after="0"/>
      <w:outlineLvl w:val="8"/>
    </w:pPr>
    <w:rPr>
      <w:rFonts w:asciiTheme="minorHAnsi" w:eastAsiaTheme="majorEastAsia" w:hAnsiTheme="minorHAnsi"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234A8B"/>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234A8B"/>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234A8B"/>
    <w:rPr>
      <w:rFonts w:asciiTheme="minorHAnsi" w:eastAsiaTheme="majorEastAsia" w:hAnsiTheme="minorHAnsi" w:cstheme="majorBidi"/>
      <w:color w:val="0F4761" w:themeColor="accent1" w:themeShade="BF"/>
      <w:sz w:val="28"/>
      <w:szCs w:val="28"/>
    </w:rPr>
  </w:style>
  <w:style w:type="character" w:customStyle="1" w:styleId="Ttulo4Car">
    <w:name w:val="Título 4 Car"/>
    <w:basedOn w:val="Fuentedeprrafopredeter"/>
    <w:link w:val="Ttulo4"/>
    <w:uiPriority w:val="9"/>
    <w:semiHidden/>
    <w:rsid w:val="00234A8B"/>
    <w:rPr>
      <w:rFonts w:asciiTheme="minorHAnsi" w:eastAsiaTheme="majorEastAsia" w:hAnsiTheme="minorHAnsi" w:cstheme="majorBidi"/>
      <w:i/>
      <w:iCs/>
      <w:color w:val="0F4761" w:themeColor="accent1" w:themeShade="BF"/>
    </w:rPr>
  </w:style>
  <w:style w:type="character" w:customStyle="1" w:styleId="Ttulo5Car">
    <w:name w:val="Título 5 Car"/>
    <w:basedOn w:val="Fuentedeprrafopredeter"/>
    <w:link w:val="Ttulo5"/>
    <w:uiPriority w:val="9"/>
    <w:semiHidden/>
    <w:rsid w:val="00234A8B"/>
    <w:rPr>
      <w:rFonts w:asciiTheme="minorHAnsi" w:eastAsiaTheme="majorEastAsia" w:hAnsiTheme="minorHAnsi" w:cstheme="majorBidi"/>
      <w:color w:val="0F4761" w:themeColor="accent1" w:themeShade="BF"/>
    </w:rPr>
  </w:style>
  <w:style w:type="character" w:customStyle="1" w:styleId="Ttulo6Car">
    <w:name w:val="Título 6 Car"/>
    <w:basedOn w:val="Fuentedeprrafopredeter"/>
    <w:link w:val="Ttulo6"/>
    <w:uiPriority w:val="9"/>
    <w:semiHidden/>
    <w:rsid w:val="00234A8B"/>
    <w:rPr>
      <w:rFonts w:asciiTheme="minorHAnsi" w:eastAsiaTheme="majorEastAsia" w:hAnsiTheme="minorHAnsi" w:cstheme="majorBidi"/>
      <w:i/>
      <w:iCs/>
      <w:color w:val="595959" w:themeColor="text1" w:themeTint="A6"/>
    </w:rPr>
  </w:style>
  <w:style w:type="character" w:customStyle="1" w:styleId="Ttulo7Car">
    <w:name w:val="Título 7 Car"/>
    <w:basedOn w:val="Fuentedeprrafopredeter"/>
    <w:link w:val="Ttulo7"/>
    <w:uiPriority w:val="9"/>
    <w:semiHidden/>
    <w:rsid w:val="00234A8B"/>
    <w:rPr>
      <w:rFonts w:asciiTheme="minorHAnsi" w:eastAsiaTheme="majorEastAsia" w:hAnsiTheme="minorHAnsi" w:cstheme="majorBidi"/>
      <w:color w:val="595959" w:themeColor="text1" w:themeTint="A6"/>
    </w:rPr>
  </w:style>
  <w:style w:type="character" w:customStyle="1" w:styleId="Ttulo8Car">
    <w:name w:val="Título 8 Car"/>
    <w:basedOn w:val="Fuentedeprrafopredeter"/>
    <w:link w:val="Ttulo8"/>
    <w:uiPriority w:val="9"/>
    <w:semiHidden/>
    <w:rsid w:val="00234A8B"/>
    <w:rPr>
      <w:rFonts w:asciiTheme="minorHAnsi" w:eastAsiaTheme="majorEastAsia" w:hAnsiTheme="minorHAnsi" w:cstheme="majorBidi"/>
      <w:i/>
      <w:iCs/>
      <w:color w:val="272727" w:themeColor="text1" w:themeTint="D8"/>
    </w:rPr>
  </w:style>
  <w:style w:type="character" w:customStyle="1" w:styleId="Ttulo9Car">
    <w:name w:val="Título 9 Car"/>
    <w:basedOn w:val="Fuentedeprrafopredeter"/>
    <w:link w:val="Ttulo9"/>
    <w:uiPriority w:val="9"/>
    <w:semiHidden/>
    <w:rsid w:val="00234A8B"/>
    <w:rPr>
      <w:rFonts w:asciiTheme="minorHAnsi" w:eastAsiaTheme="majorEastAsia" w:hAnsiTheme="minorHAnsi" w:cstheme="majorBidi"/>
      <w:color w:val="272727" w:themeColor="text1" w:themeTint="D8"/>
    </w:rPr>
  </w:style>
  <w:style w:type="paragraph" w:styleId="Ttulo">
    <w:name w:val="Title"/>
    <w:basedOn w:val="Normal"/>
    <w:next w:val="Normal"/>
    <w:link w:val="TtuloCar"/>
    <w:uiPriority w:val="10"/>
    <w:qFormat/>
    <w:rsid w:val="00234A8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234A8B"/>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234A8B"/>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234A8B"/>
    <w:rPr>
      <w:rFonts w:asciiTheme="minorHAnsi" w:eastAsiaTheme="majorEastAsia" w:hAnsiTheme="minorHAnsi" w:cstheme="majorBidi"/>
      <w:color w:val="595959" w:themeColor="text1" w:themeTint="A6"/>
      <w:spacing w:val="15"/>
      <w:sz w:val="28"/>
      <w:szCs w:val="28"/>
    </w:rPr>
  </w:style>
  <w:style w:type="paragraph" w:styleId="Cita">
    <w:name w:val="Quote"/>
    <w:basedOn w:val="Normal"/>
    <w:next w:val="Normal"/>
    <w:link w:val="CitaCar"/>
    <w:uiPriority w:val="29"/>
    <w:qFormat/>
    <w:rsid w:val="00234A8B"/>
    <w:pPr>
      <w:spacing w:before="160"/>
      <w:jc w:val="center"/>
    </w:pPr>
    <w:rPr>
      <w:i/>
      <w:iCs/>
      <w:color w:val="404040" w:themeColor="text1" w:themeTint="BF"/>
    </w:rPr>
  </w:style>
  <w:style w:type="character" w:customStyle="1" w:styleId="CitaCar">
    <w:name w:val="Cita Car"/>
    <w:basedOn w:val="Fuentedeprrafopredeter"/>
    <w:link w:val="Cita"/>
    <w:uiPriority w:val="29"/>
    <w:rsid w:val="00234A8B"/>
    <w:rPr>
      <w:i/>
      <w:iCs/>
      <w:color w:val="404040" w:themeColor="text1" w:themeTint="BF"/>
    </w:rPr>
  </w:style>
  <w:style w:type="paragraph" w:styleId="Prrafodelista">
    <w:name w:val="List Paragraph"/>
    <w:basedOn w:val="Normal"/>
    <w:uiPriority w:val="34"/>
    <w:qFormat/>
    <w:rsid w:val="00234A8B"/>
    <w:pPr>
      <w:ind w:left="720"/>
      <w:contextualSpacing/>
    </w:pPr>
  </w:style>
  <w:style w:type="character" w:styleId="nfasisintenso">
    <w:name w:val="Intense Emphasis"/>
    <w:basedOn w:val="Fuentedeprrafopredeter"/>
    <w:uiPriority w:val="21"/>
    <w:qFormat/>
    <w:rsid w:val="00234A8B"/>
    <w:rPr>
      <w:i/>
      <w:iCs/>
      <w:color w:val="0F4761" w:themeColor="accent1" w:themeShade="BF"/>
    </w:rPr>
  </w:style>
  <w:style w:type="paragraph" w:styleId="Citadestacada">
    <w:name w:val="Intense Quote"/>
    <w:basedOn w:val="Normal"/>
    <w:next w:val="Normal"/>
    <w:link w:val="CitadestacadaCar"/>
    <w:uiPriority w:val="30"/>
    <w:qFormat/>
    <w:rsid w:val="00234A8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234A8B"/>
    <w:rPr>
      <w:i/>
      <w:iCs/>
      <w:color w:val="0F4761" w:themeColor="accent1" w:themeShade="BF"/>
    </w:rPr>
  </w:style>
  <w:style w:type="character" w:styleId="Referenciaintensa">
    <w:name w:val="Intense Reference"/>
    <w:basedOn w:val="Fuentedeprrafopredeter"/>
    <w:uiPriority w:val="32"/>
    <w:qFormat/>
    <w:rsid w:val="00234A8B"/>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6090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ceta.org.co/html/vista_de_un_documento.asp?DocumentoID=5121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inhacienda.gov.co/" TargetMode="External"/><Relationship Id="rId5" Type="http://schemas.openxmlformats.org/officeDocument/2006/relationships/hyperlink" Target="https://www.ceta.org.co/html/vista_de_un_documento.asp?DocumentoID=51212"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948</Words>
  <Characters>5217</Characters>
  <Application>Microsoft Office Word</Application>
  <DocSecurity>0</DocSecurity>
  <Lines>43</Lines>
  <Paragraphs>12</Paragraphs>
  <ScaleCrop>false</ScaleCrop>
  <Company/>
  <LinksUpToDate>false</LinksUpToDate>
  <CharactersWithSpaces>6153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1</cp:revision>
  <dcterms:created xsi:type="dcterms:W3CDTF">2024-03-27T16:09:00Z</dcterms:created>
  <dcterms:modified xsi:type="dcterms:W3CDTF">2024-03-27T16:10:00Z</dcterms:modified>
</cp:coreProperties>
</file>