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9877D0" w14:textId="77777777" w:rsidR="007F5CC8" w:rsidRPr="00F978D5" w:rsidRDefault="007F5CC8" w:rsidP="00F978D5">
      <w:pPr>
        <w:spacing w:line="360" w:lineRule="auto"/>
        <w:rPr>
          <w:szCs w:val="24"/>
        </w:rPr>
      </w:pPr>
    </w:p>
    <w:p w14:paraId="72DB5B2E" w14:textId="77777777" w:rsidR="00F978D5" w:rsidRPr="00F978D5" w:rsidRDefault="00F978D5" w:rsidP="00F978D5">
      <w:pPr>
        <w:pStyle w:val="NormalWeb"/>
        <w:spacing w:before="0" w:beforeAutospacing="0" w:after="0" w:afterAutospacing="0" w:line="360" w:lineRule="auto"/>
        <w:jc w:val="center"/>
        <w:rPr>
          <w:rFonts w:ascii="Segoe UI" w:hAnsi="Segoe UI" w:cs="Segoe UI"/>
          <w:color w:val="000000"/>
        </w:rPr>
      </w:pPr>
      <w:r w:rsidRPr="00F978D5">
        <w:rPr>
          <w:rFonts w:ascii="Segoe UI" w:hAnsi="Segoe UI" w:cs="Segoe UI"/>
          <w:b/>
          <w:bCs/>
          <w:color w:val="000000"/>
        </w:rPr>
        <w:t>Resolución D-0002</w:t>
      </w:r>
    </w:p>
    <w:p w14:paraId="6445F52F" w14:textId="77777777" w:rsidR="00F978D5" w:rsidRPr="00F978D5" w:rsidRDefault="00F978D5" w:rsidP="00F978D5">
      <w:pPr>
        <w:pStyle w:val="NormalWeb"/>
        <w:spacing w:before="0" w:beforeAutospacing="0" w:after="0" w:afterAutospacing="0" w:line="360" w:lineRule="auto"/>
        <w:jc w:val="center"/>
        <w:rPr>
          <w:rFonts w:ascii="Segoe UI" w:hAnsi="Segoe UI" w:cs="Segoe UI"/>
          <w:color w:val="000000"/>
        </w:rPr>
      </w:pPr>
      <w:r w:rsidRPr="00F978D5">
        <w:rPr>
          <w:rFonts w:ascii="Segoe UI" w:hAnsi="Segoe UI" w:cs="Segoe UI"/>
          <w:b/>
          <w:bCs/>
          <w:color w:val="000000"/>
        </w:rPr>
        <w:t>02-01-2025</w:t>
      </w:r>
    </w:p>
    <w:p w14:paraId="6ADC077B" w14:textId="77777777" w:rsidR="00F978D5" w:rsidRPr="00F978D5" w:rsidRDefault="00F978D5" w:rsidP="00F978D5">
      <w:pPr>
        <w:pStyle w:val="NormalWeb"/>
        <w:spacing w:before="0" w:beforeAutospacing="0" w:after="0" w:afterAutospacing="0" w:line="360" w:lineRule="auto"/>
        <w:jc w:val="center"/>
        <w:rPr>
          <w:rFonts w:ascii="Segoe UI" w:hAnsi="Segoe UI" w:cs="Segoe UI"/>
          <w:color w:val="000000"/>
        </w:rPr>
      </w:pPr>
      <w:r w:rsidRPr="00F978D5">
        <w:rPr>
          <w:rFonts w:ascii="Segoe UI" w:hAnsi="Segoe UI" w:cs="Segoe UI"/>
          <w:b/>
          <w:bCs/>
          <w:color w:val="000000"/>
        </w:rPr>
        <w:t>Junta Central de Contadores</w:t>
      </w:r>
    </w:p>
    <w:p w14:paraId="1617D9BF" w14:textId="77777777" w:rsidR="00F978D5" w:rsidRPr="00F978D5" w:rsidRDefault="00F978D5" w:rsidP="00F978D5">
      <w:pPr>
        <w:pStyle w:val="NormalWeb"/>
        <w:spacing w:before="0" w:beforeAutospacing="0" w:after="0" w:afterAutospacing="0" w:line="360" w:lineRule="auto"/>
        <w:jc w:val="center"/>
        <w:rPr>
          <w:rFonts w:ascii="Segoe UI" w:hAnsi="Segoe UI" w:cs="Segoe UI"/>
          <w:color w:val="000000"/>
        </w:rPr>
      </w:pPr>
      <w:r w:rsidRPr="00F978D5">
        <w:rPr>
          <w:rFonts w:ascii="Segoe UI" w:hAnsi="Segoe UI" w:cs="Segoe UI"/>
          <w:color w:val="000000"/>
        </w:rPr>
        <w:t> </w:t>
      </w:r>
    </w:p>
    <w:p w14:paraId="2C0922C5" w14:textId="77777777" w:rsidR="00F978D5" w:rsidRPr="00F978D5" w:rsidRDefault="00F978D5" w:rsidP="00F978D5">
      <w:pPr>
        <w:pStyle w:val="NormalWeb"/>
        <w:spacing w:before="0" w:beforeAutospacing="0" w:after="0" w:afterAutospacing="0" w:line="360" w:lineRule="auto"/>
        <w:jc w:val="center"/>
        <w:rPr>
          <w:rFonts w:ascii="Segoe UI" w:hAnsi="Segoe UI" w:cs="Segoe UI"/>
          <w:color w:val="000000"/>
        </w:rPr>
      </w:pPr>
      <w:r w:rsidRPr="00F978D5">
        <w:rPr>
          <w:rFonts w:ascii="Segoe UI" w:hAnsi="Segoe UI" w:cs="Segoe UI"/>
          <w:color w:val="000000"/>
        </w:rPr>
        <w:t> </w:t>
      </w:r>
    </w:p>
    <w:p w14:paraId="7587A3C0" w14:textId="77777777" w:rsidR="00F978D5" w:rsidRPr="00F978D5" w:rsidRDefault="00F978D5" w:rsidP="00F978D5">
      <w:pPr>
        <w:pStyle w:val="NormalWeb"/>
        <w:spacing w:before="0" w:beforeAutospacing="0" w:after="0" w:afterAutospacing="0" w:line="360" w:lineRule="auto"/>
        <w:jc w:val="center"/>
        <w:rPr>
          <w:rFonts w:ascii="Segoe UI" w:hAnsi="Segoe UI" w:cs="Segoe UI"/>
          <w:b/>
          <w:bCs/>
          <w:color w:val="000000"/>
        </w:rPr>
      </w:pPr>
      <w:r w:rsidRPr="00F978D5">
        <w:rPr>
          <w:rFonts w:ascii="Segoe UI" w:hAnsi="Segoe UI" w:cs="Segoe UI"/>
          <w:b/>
          <w:bCs/>
          <w:i/>
          <w:iCs/>
          <w:color w:val="000000"/>
        </w:rPr>
        <w:t>Por la cual se establecen los valores de los trámites y servicios de la Unidad Administrativa Especial Junta Central de Contadores para la vigencia 2025.</w:t>
      </w:r>
    </w:p>
    <w:p w14:paraId="6FA1E1D3" w14:textId="77777777" w:rsidR="00F978D5" w:rsidRPr="00F978D5" w:rsidRDefault="00F978D5" w:rsidP="00F978D5">
      <w:pPr>
        <w:pStyle w:val="NormalWeb"/>
        <w:spacing w:before="0" w:beforeAutospacing="0" w:after="0" w:afterAutospacing="0" w:line="360" w:lineRule="auto"/>
        <w:jc w:val="both"/>
        <w:rPr>
          <w:rFonts w:ascii="Segoe UI" w:hAnsi="Segoe UI" w:cs="Segoe UI"/>
          <w:b/>
          <w:bCs/>
          <w:color w:val="000000"/>
        </w:rPr>
      </w:pPr>
      <w:r w:rsidRPr="00F978D5">
        <w:rPr>
          <w:rFonts w:ascii="Segoe UI" w:hAnsi="Segoe UI" w:cs="Segoe UI"/>
          <w:b/>
          <w:bCs/>
          <w:color w:val="000000"/>
        </w:rPr>
        <w:t> </w:t>
      </w:r>
    </w:p>
    <w:p w14:paraId="30615D34"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La Directora General de la Unidad Administrativa Especial Junta Central de Contadores, en uso de sus atribuciones legales en especial las conferidas en el artículo 20 de la Ley 43 de 1990, el artículo 71 de la Ley 1151 de 2007, el artículo 9 de la Ley 1314 del 2009, el Decreto número 1955 de 2010, el Decreto número 0662 de 2024 y,</w:t>
      </w:r>
    </w:p>
    <w:p w14:paraId="22416FFB"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4371ACBA" w14:textId="77777777" w:rsidR="00F978D5" w:rsidRPr="00F978D5" w:rsidRDefault="00F978D5" w:rsidP="00F978D5">
      <w:pPr>
        <w:pStyle w:val="NormalWeb"/>
        <w:spacing w:before="0" w:beforeAutospacing="0" w:after="0" w:afterAutospacing="0" w:line="360" w:lineRule="auto"/>
        <w:jc w:val="center"/>
        <w:rPr>
          <w:rFonts w:ascii="Segoe UI" w:hAnsi="Segoe UI" w:cs="Segoe UI"/>
          <w:color w:val="000000"/>
        </w:rPr>
      </w:pPr>
      <w:r w:rsidRPr="00F978D5">
        <w:rPr>
          <w:rFonts w:ascii="Segoe UI" w:hAnsi="Segoe UI" w:cs="Segoe UI"/>
          <w:b/>
          <w:bCs/>
          <w:color w:val="000000"/>
        </w:rPr>
        <w:t>Considerando:</w:t>
      </w:r>
    </w:p>
    <w:p w14:paraId="7AFC2C6A"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3740DE56"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Que, el numeral 3 del artículo 20 de la Ley 43 de 1990, facultó a </w:t>
      </w:r>
      <w:r w:rsidRPr="00F978D5">
        <w:rPr>
          <w:rFonts w:ascii="Segoe UI" w:hAnsi="Segoe UI" w:cs="Segoe UI"/>
          <w:b/>
          <w:bCs/>
          <w:color w:val="000000"/>
        </w:rPr>
        <w:t>la UAE Junta Central de Contadores </w:t>
      </w:r>
      <w:r w:rsidRPr="00F978D5">
        <w:rPr>
          <w:rFonts w:ascii="Segoe UI" w:hAnsi="Segoe UI" w:cs="Segoe UI"/>
          <w:color w:val="000000"/>
        </w:rPr>
        <w:t>a expedir, a costa del interesado, la Tarjeta Profesional de Contador Público, o Tarjeta de Registro Profesional de las entidades que prestan servicios de la ciencia contable; así como de las certificaciones de vigencia de la inscripción y antecedentes disciplinarios.</w:t>
      </w:r>
    </w:p>
    <w:p w14:paraId="4E9E5E96"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2C9F7610"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Que, el numeral 3 del artículo 20 de la Ley 43 de 1990, señala que el valor de los Certificados será fijado por la </w:t>
      </w:r>
      <w:r w:rsidRPr="00F978D5">
        <w:rPr>
          <w:rFonts w:ascii="Segoe UI" w:hAnsi="Segoe UI" w:cs="Segoe UI"/>
          <w:b/>
          <w:bCs/>
          <w:color w:val="000000"/>
        </w:rPr>
        <w:t>UAE Junta Central de Contadores</w:t>
      </w:r>
      <w:r w:rsidRPr="00F978D5">
        <w:rPr>
          <w:rFonts w:ascii="Segoe UI" w:hAnsi="Segoe UI" w:cs="Segoe UI"/>
          <w:color w:val="000000"/>
        </w:rPr>
        <w:t>, disposición normativa declarada exequible mediante sentencia C-530 de 2000 de la Corte Constitucional.</w:t>
      </w:r>
    </w:p>
    <w:p w14:paraId="7C8107EB"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7D19C6D7"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Que, el artículo 3° del Decreto número 1235 de 1991, estableció el valor de la Tarjeta Profesional de Contador Público por primera vez, la cual será </w:t>
      </w:r>
      <w:r w:rsidRPr="00F978D5">
        <w:rPr>
          <w:rFonts w:ascii="Segoe UI" w:hAnsi="Segoe UI" w:cs="Segoe UI"/>
          <w:i/>
          <w:iCs/>
          <w:color w:val="000000"/>
        </w:rPr>
        <w:t>“...de veinte mil pesos ($20.000.00) moneda legal y se reajustará anualmente en el porcentaje en que se incremente el salario mínimo. Las fracciones superiores o inferiores a $500.00 se aproximarán por exceso o por defecto al múltiplo de $1.000.00 más cercano…”.</w:t>
      </w:r>
    </w:p>
    <w:p w14:paraId="60EE2BB3"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2C0F6D23"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xml:space="preserve">Que, el Decreto número 1510 de 1998, reglamentó el registro, inspección y vigilancia de las sociedades de contadores y demás personas jurídicas; al igual que en el artículo 3 </w:t>
      </w:r>
      <w:r w:rsidRPr="00F978D5">
        <w:rPr>
          <w:rFonts w:ascii="Segoe UI" w:hAnsi="Segoe UI" w:cs="Segoe UI"/>
          <w:color w:val="000000"/>
        </w:rPr>
        <w:lastRenderedPageBreak/>
        <w:t>dispuso </w:t>
      </w:r>
      <w:r w:rsidRPr="00F978D5">
        <w:rPr>
          <w:rFonts w:ascii="Segoe UI" w:hAnsi="Segoe UI" w:cs="Segoe UI"/>
          <w:i/>
          <w:iCs/>
          <w:color w:val="000000"/>
        </w:rPr>
        <w:t>“…Autorizada la inscripción de los entes descritos en el artículo 2. del presente decreto, se, expedirá, a costa del interesado, una tarjeta de registro, según los requisitos y el procedimiento que para el efecto establecerá la Junta Central de Contadores…”.</w:t>
      </w:r>
    </w:p>
    <w:p w14:paraId="66DA9BE6"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6B9BABA1"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Que, el artículo 11 de la Ley 1314 del 2009, señaló </w:t>
      </w:r>
      <w:r w:rsidRPr="00F978D5">
        <w:rPr>
          <w:rFonts w:ascii="Segoe UI" w:hAnsi="Segoe UI" w:cs="Segoe UI"/>
          <w:i/>
          <w:iCs/>
          <w:color w:val="000000"/>
        </w:rPr>
        <w:t>“…La Junta Central de Contadores podrá destinar las sumas que se cobren por concepto de inscripción profesional de los contadores públicos y de las entidades que presten servicios al público en general propios de la ciencia contable como profesión liberal, por la expedición de tarjetas y registros profesionales, certificados de antecedentes, de las publicaciones y dictámenes periciales de estos organismos…”.</w:t>
      </w:r>
    </w:p>
    <w:p w14:paraId="4E1440F7"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7A0D18C5"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Que, a partir de la Resolución número D-0035-2024 del 19 de junio de 2024, </w:t>
      </w:r>
      <w:r w:rsidRPr="00F978D5">
        <w:rPr>
          <w:rFonts w:ascii="Segoe UI" w:hAnsi="Segoe UI" w:cs="Segoe UI"/>
          <w:i/>
          <w:iCs/>
          <w:color w:val="000000"/>
        </w:rPr>
        <w:t>por la cual se derogan las Resoluciones número 000-0973 del 23 de diciembre de 2015, número 000- 1002 del 18 de diciembre de 2017, y número 000-1794 de 2021</w:t>
      </w:r>
      <w:r w:rsidRPr="00F978D5">
        <w:rPr>
          <w:rFonts w:ascii="Segoe UI" w:hAnsi="Segoe UI" w:cs="Segoe UI"/>
          <w:color w:val="000000"/>
        </w:rPr>
        <w:t>”, la </w:t>
      </w:r>
      <w:r w:rsidRPr="00F978D5">
        <w:rPr>
          <w:rFonts w:ascii="Segoe UI" w:hAnsi="Segoe UI" w:cs="Segoe UI"/>
          <w:b/>
          <w:bCs/>
          <w:color w:val="000000"/>
        </w:rPr>
        <w:t>UAE Junta Central de Contadores </w:t>
      </w:r>
      <w:r w:rsidRPr="00F978D5">
        <w:rPr>
          <w:rFonts w:ascii="Segoe UI" w:hAnsi="Segoe UI" w:cs="Segoe UI"/>
          <w:color w:val="000000"/>
        </w:rPr>
        <w:t>estableció los requisitos y el procedimiento en línea para la inscripción en el registro profesional y expedición de la tarjeta profesional de Contador Público o tarjeta de las entidades que presten servicios propios de la ciencia contable, modificación o cancelación de registro profesional, al igual que los Certificados de Vigencia de Inscripción y de Antecedentes Disciplinarios.</w:t>
      </w:r>
    </w:p>
    <w:p w14:paraId="637C43FC"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314915A8"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Que, la </w:t>
      </w:r>
      <w:r w:rsidRPr="00F978D5">
        <w:rPr>
          <w:rFonts w:ascii="Segoe UI" w:hAnsi="Segoe UI" w:cs="Segoe UI"/>
          <w:b/>
          <w:bCs/>
          <w:color w:val="000000"/>
        </w:rPr>
        <w:t>UAE Junta Central de Contadores </w:t>
      </w:r>
      <w:r w:rsidRPr="00F978D5">
        <w:rPr>
          <w:rFonts w:ascii="Segoe UI" w:hAnsi="Segoe UI" w:cs="Segoe UI"/>
          <w:color w:val="000000"/>
        </w:rPr>
        <w:t>establece los valores de los trámites y servicios con base en los criterios que defina el Congreso de la República en el Plan Nacional de Desarrollo, en este caso, para el período de gobierno 2022-2026 denominado </w:t>
      </w:r>
      <w:r w:rsidRPr="00F978D5">
        <w:rPr>
          <w:rFonts w:ascii="Segoe UI" w:hAnsi="Segoe UI" w:cs="Segoe UI"/>
          <w:i/>
          <w:iCs/>
          <w:color w:val="000000"/>
        </w:rPr>
        <w:t>“Colombia Potencia Mundial de la Vida”</w:t>
      </w:r>
      <w:r w:rsidRPr="00F978D5">
        <w:rPr>
          <w:rFonts w:ascii="Segoe UI" w:hAnsi="Segoe UI" w:cs="Segoe UI"/>
          <w:color w:val="000000"/>
        </w:rPr>
        <w:t xml:space="preserve">. Si bien en dicho plan no fueron mencionadas las tasas, si </w:t>
      </w:r>
      <w:proofErr w:type="gramStart"/>
      <w:r w:rsidRPr="00F978D5">
        <w:rPr>
          <w:rFonts w:ascii="Segoe UI" w:hAnsi="Segoe UI" w:cs="Segoe UI"/>
          <w:color w:val="000000"/>
        </w:rPr>
        <w:t>hace mención de</w:t>
      </w:r>
      <w:proofErr w:type="gramEnd"/>
      <w:r w:rsidRPr="00F978D5">
        <w:rPr>
          <w:rFonts w:ascii="Segoe UI" w:hAnsi="Segoe UI" w:cs="Segoe UI"/>
          <w:color w:val="000000"/>
        </w:rPr>
        <w:t xml:space="preserve"> las tarifas; por lo tanto, se acogerá dicha referencia para dar aplicación a lo promulgado por el Gobierno nacional.</w:t>
      </w:r>
    </w:p>
    <w:p w14:paraId="5BD09237"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6B862D0E"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Que, con la promulgación de la Ley 2294 de 2023, por el cual se expide el Plan Nacional de Desarrollo 2022-2026 </w:t>
      </w:r>
      <w:r w:rsidRPr="00F978D5">
        <w:rPr>
          <w:rFonts w:ascii="Segoe UI" w:hAnsi="Segoe UI" w:cs="Segoe UI"/>
          <w:i/>
          <w:iCs/>
          <w:color w:val="000000"/>
        </w:rPr>
        <w:t>“Colombia Potencia Mundial de la Vida”, </w:t>
      </w:r>
      <w:r w:rsidRPr="00F978D5">
        <w:rPr>
          <w:rFonts w:ascii="Segoe UI" w:hAnsi="Segoe UI" w:cs="Segoe UI"/>
          <w:color w:val="000000"/>
        </w:rPr>
        <w:t>fue derogado el artículo 49 de la Ley 1955 de 2019 y, en consecuencia, se estableció en el artículo 313 el cálculo de valores en UVB para todos los cobros, sanciones, multas, tarifas, así:</w:t>
      </w:r>
    </w:p>
    <w:p w14:paraId="157B7391"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3C0D305B"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i/>
          <w:iCs/>
          <w:color w:val="000000"/>
        </w:rPr>
        <w:t>“…</w:t>
      </w:r>
      <w:r w:rsidRPr="00F978D5">
        <w:rPr>
          <w:rFonts w:ascii="Segoe UI" w:hAnsi="Segoe UI" w:cs="Segoe UI"/>
          <w:b/>
          <w:bCs/>
          <w:i/>
          <w:iCs/>
          <w:color w:val="000000"/>
        </w:rPr>
        <w:t>Artículo 313. Unidad de valor básico (UVB)</w:t>
      </w:r>
      <w:r w:rsidRPr="00F978D5">
        <w:rPr>
          <w:rFonts w:ascii="Segoe UI" w:hAnsi="Segoe UI" w:cs="Segoe UI"/>
          <w:i/>
          <w:iCs/>
          <w:color w:val="000000"/>
        </w:rPr>
        <w:t xml:space="preserve">. (Rige a partir del 1° de enero de 2024(Créase la Unidad de Valor Básico (UVB). El valor de la Unidad de Valor Básico (UVB) </w:t>
      </w:r>
      <w:r w:rsidRPr="00F978D5">
        <w:rPr>
          <w:rFonts w:ascii="Segoe UI" w:hAnsi="Segoe UI" w:cs="Segoe UI"/>
          <w:i/>
          <w:iCs/>
          <w:color w:val="000000"/>
        </w:rPr>
        <w:lastRenderedPageBreak/>
        <w:t>se reajustará anualmente en la variación del Índice de Precios al Consumidor (IPC) sin alimentos ni regulados, certificado por el Departamento Administrativo Nacional de Estadística (DANE), en el período comprendido entre el primero (1°) de octubre del año anterior al año considerado y la misma fecha del año inmediatamente anterior a este.</w:t>
      </w:r>
    </w:p>
    <w:p w14:paraId="6104F31D"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color w:val="000000"/>
        </w:rPr>
        <w:t> </w:t>
      </w:r>
    </w:p>
    <w:p w14:paraId="15EF9A7F"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i/>
          <w:iCs/>
          <w:color w:val="000000"/>
        </w:rPr>
        <w:t>El Ministerio de Hacienda y Crédito Público publicará mediante Resolución antes del primero (1°) de enero de cada año, el valor de la Unidad de Valor Básico (UVB) aplicable para el año siguiente.</w:t>
      </w:r>
    </w:p>
    <w:p w14:paraId="2406B063"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color w:val="000000"/>
        </w:rPr>
        <w:t> </w:t>
      </w:r>
    </w:p>
    <w:p w14:paraId="2FA98CEC"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b/>
          <w:bCs/>
          <w:i/>
          <w:iCs/>
          <w:color w:val="000000"/>
        </w:rPr>
        <w:t>El valor de la UVB para el año 2023 será de diez mil pesos ($10.000.00).</w:t>
      </w:r>
    </w:p>
    <w:p w14:paraId="1690141A"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color w:val="000000"/>
        </w:rPr>
        <w:t> </w:t>
      </w:r>
    </w:p>
    <w:p w14:paraId="305FDF2C"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i/>
          <w:iCs/>
          <w:color w:val="000000"/>
        </w:rPr>
        <w:t>Todos los cobros; sanciones; multas; </w:t>
      </w:r>
      <w:r w:rsidRPr="00F978D5">
        <w:rPr>
          <w:rFonts w:ascii="Segoe UI" w:hAnsi="Segoe UI" w:cs="Segoe UI"/>
          <w:b/>
          <w:bCs/>
          <w:i/>
          <w:iCs/>
          <w:color w:val="000000"/>
          <w:u w:val="single"/>
        </w:rPr>
        <w:t>tarifas</w:t>
      </w:r>
      <w:r w:rsidRPr="00F978D5">
        <w:rPr>
          <w:rFonts w:ascii="Segoe UI" w:hAnsi="Segoe UI" w:cs="Segoe UI"/>
          <w:i/>
          <w:iCs/>
          <w:color w:val="000000"/>
        </w:rPr>
        <w:t>; requisitos financieros para la constitución, la habilitación, la operación o el funcionamiento de empresas públicas y/o privadas; requisitos de capital, patrimonio o ingresos para acceder y/o ser beneficiario de programas del estado; montos máximos establecidos para realizar operaciones financieras; montos mínimos establecidos para el pago de comisiones y contraprestaciones definidas por el legislador; cuotas asociadas al desarrollo de actividades agropecuarias y de salud; clasificaciones de hogares, personas naturales y personas jurídicas en función de su patrimonio y/o ingresos; incentivos para la prestación de servicio público de aseo; y honorarios de los miembros de juntas o consejos directivos, actualmente denominados y establecidos con base en salarios mínimos o en Unidades de Valor Tributario (UVT), deberán ser calculados con base en su equivalencia en términos de la Unidad de Valor Básico (UVB) el año 2023, conforme lo dispuesto en este artículo.</w:t>
      </w:r>
    </w:p>
    <w:p w14:paraId="69015786"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color w:val="000000"/>
        </w:rPr>
        <w:t> </w:t>
      </w:r>
    </w:p>
    <w:p w14:paraId="7387A6E3"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b/>
          <w:bCs/>
          <w:i/>
          <w:iCs/>
          <w:color w:val="000000"/>
        </w:rPr>
        <w:t>Parágrafo 1</w:t>
      </w:r>
      <w:r w:rsidRPr="00F978D5">
        <w:rPr>
          <w:rFonts w:ascii="Segoe UI" w:hAnsi="Segoe UI" w:cs="Segoe UI"/>
          <w:i/>
          <w:iCs/>
          <w:color w:val="000000"/>
        </w:rPr>
        <w:t>. Si como consecuencia de la aplicación de lo dispuesto en el presente artículo el valor de los conceptos objeto de indexación no es un número entero, se deberá aproximar dicho valor a la cifra con dos (2) decimales más cercana; y si es inferior a una (1) Unidad de Valor Básico (UVB), se deberá aproximar a la cifra con tres (3) decimales más cercana.</w:t>
      </w:r>
    </w:p>
    <w:p w14:paraId="361A524B"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color w:val="000000"/>
        </w:rPr>
        <w:t> </w:t>
      </w:r>
    </w:p>
    <w:p w14:paraId="2AD3DC97"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b/>
          <w:bCs/>
          <w:i/>
          <w:iCs/>
          <w:color w:val="000000"/>
        </w:rPr>
        <w:t>Parágrafo 2</w:t>
      </w:r>
      <w:r w:rsidRPr="00F978D5">
        <w:rPr>
          <w:rFonts w:ascii="Segoe UI" w:hAnsi="Segoe UI" w:cs="Segoe UI"/>
          <w:i/>
          <w:iCs/>
          <w:color w:val="000000"/>
        </w:rPr>
        <w:t xml:space="preserve">. Lo dispuesto en este artículo no será aplicable a las cifras y valores aplicables a tributos, sanciones y, en general, a los asuntos previstos en las disposiciones </w:t>
      </w:r>
      <w:r w:rsidRPr="00F978D5">
        <w:rPr>
          <w:rFonts w:ascii="Segoe UI" w:hAnsi="Segoe UI" w:cs="Segoe UI"/>
          <w:i/>
          <w:iCs/>
          <w:color w:val="000000"/>
        </w:rPr>
        <w:lastRenderedPageBreak/>
        <w:t>tributarias, ni en relación con los asuntos de índole aduanera ni de fiscalización cambiaria, que se encuentren medidos o tasados en Unidades de Valor Tributario (UVT).</w:t>
      </w:r>
    </w:p>
    <w:p w14:paraId="1CC2626D"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color w:val="000000"/>
        </w:rPr>
        <w:t> </w:t>
      </w:r>
    </w:p>
    <w:p w14:paraId="6846B3B5"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b/>
          <w:bCs/>
          <w:i/>
          <w:iCs/>
          <w:color w:val="000000"/>
        </w:rPr>
        <w:t>Parágrafo 3</w:t>
      </w:r>
      <w:r w:rsidRPr="00F978D5">
        <w:rPr>
          <w:rFonts w:ascii="Segoe UI" w:hAnsi="Segoe UI" w:cs="Segoe UI"/>
          <w:i/>
          <w:iCs/>
          <w:color w:val="000000"/>
        </w:rPr>
        <w:t>. Los cobros; sanciones; multas; tarifas; requisitos financieros para la constitución, la habilitación, la operación o el funcionamiento de empresas públicas y/o privadas; requisitos de capital, patrimonio o ingresos para acceder y/o ser beneficiario de programas del Estado; montos máximos establecidos para realizar operaciones financieras; montos mínimos establecidos para el pago de comisiones y contraprestaciones definidas por el legislador; cuotas asociadas al desarrollo de actividades agropecuarias y de salud; clasificaciones de hogares, personas naturales y personas jurídicas en función de su patrimonio y/o sus ingresos; incentivos para la prestación de servicio público de aseó; y honorarios de los miembros de juntas o consejos directivos, que se encuentren en firme o ejecutoriados con anterioridad al 1° de enero de 2024, se mantendrán determinados en salarios mínimos o en Unidades de Valor Tributario (UVT), según el caso.</w:t>
      </w:r>
    </w:p>
    <w:p w14:paraId="7B6904DC"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color w:val="000000"/>
        </w:rPr>
        <w:t> </w:t>
      </w:r>
    </w:p>
    <w:p w14:paraId="06EC7186"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b/>
          <w:bCs/>
          <w:i/>
          <w:iCs/>
          <w:color w:val="000000"/>
        </w:rPr>
        <w:t>Parágrafo 4. Los valores que se encuentren definidos en salarios mínimos o en UVT en la presente ley, deberán ser calculados con base en su equivalencia en términos de la Unidad de Valor Básico (UVB) conforme lo dispuesto en el presente artículo, </w:t>
      </w:r>
      <w:r w:rsidRPr="00F978D5">
        <w:rPr>
          <w:rFonts w:ascii="Segoe UI" w:hAnsi="Segoe UI" w:cs="Segoe UI"/>
          <w:i/>
          <w:iCs/>
          <w:color w:val="000000"/>
        </w:rPr>
        <w:t>con excepción de lo previsto en el artículo 291 de esta ley en relación con el concepto de vivienda de interés social”. </w:t>
      </w:r>
      <w:r w:rsidRPr="00F978D5">
        <w:rPr>
          <w:rFonts w:ascii="Segoe UI" w:hAnsi="Segoe UI" w:cs="Segoe UI"/>
          <w:b/>
          <w:bCs/>
          <w:color w:val="000000"/>
        </w:rPr>
        <w:t>(Negrilla y subrayado fuera del texto)</w:t>
      </w:r>
    </w:p>
    <w:p w14:paraId="37CBD010" w14:textId="77777777" w:rsidR="00F978D5" w:rsidRPr="00F978D5" w:rsidRDefault="00F978D5" w:rsidP="00F978D5">
      <w:pPr>
        <w:pStyle w:val="NormalWeb"/>
        <w:spacing w:before="0" w:beforeAutospacing="0" w:after="0" w:afterAutospacing="0" w:line="360" w:lineRule="auto"/>
        <w:ind w:left="284"/>
        <w:jc w:val="both"/>
        <w:rPr>
          <w:rFonts w:ascii="Segoe UI" w:hAnsi="Segoe UI" w:cs="Segoe UI"/>
          <w:color w:val="000000"/>
        </w:rPr>
      </w:pPr>
      <w:r w:rsidRPr="00F978D5">
        <w:rPr>
          <w:rFonts w:ascii="Segoe UI" w:hAnsi="Segoe UI" w:cs="Segoe UI"/>
          <w:color w:val="000000"/>
        </w:rPr>
        <w:t> </w:t>
      </w:r>
    </w:p>
    <w:p w14:paraId="20F9BA00"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Que, en consecuencia, a partir del primero de enero de 2024, se crea la </w:t>
      </w:r>
      <w:r w:rsidRPr="00F978D5">
        <w:rPr>
          <w:rFonts w:ascii="Segoe UI" w:hAnsi="Segoe UI" w:cs="Segoe UI"/>
          <w:b/>
          <w:bCs/>
          <w:color w:val="000000"/>
        </w:rPr>
        <w:t>Unidad de Valor Básico (UVB) </w:t>
      </w:r>
      <w:r w:rsidRPr="00F978D5">
        <w:rPr>
          <w:rFonts w:ascii="Segoe UI" w:hAnsi="Segoe UI" w:cs="Segoe UI"/>
          <w:color w:val="000000"/>
        </w:rPr>
        <w:t>y se reajustará anualmente en la variación del Índice de Precios al Consumidor (IPC) sin alimentos ni regulados, certificado por el Departamento Administrativo Nacional de Estadística (DANE); siendo el valor de la UVB para el año 2023 de diez mil pesos ($10.000,00), para el 2024 de diez mil novecientos cincuenta y un pesos ($10.951,00) moneda corriente.</w:t>
      </w:r>
    </w:p>
    <w:p w14:paraId="276150B8"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5B625798"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Que, mediante Resolución número 3914 de 17 de diciembre de 2024 expedida por el Ministerio de Hacienda y Crédito Público, el reajuste anual de las tarifas para los trámites ante la entidad corresponderá al valor de la UVB vigente, que para el 2025 corresponde </w:t>
      </w:r>
      <w:r w:rsidRPr="00F978D5">
        <w:rPr>
          <w:rFonts w:ascii="Segoe UI" w:hAnsi="Segoe UI" w:cs="Segoe UI"/>
          <w:b/>
          <w:bCs/>
          <w:color w:val="000000"/>
        </w:rPr>
        <w:t>a once mil quinientos cincuenta y dos pesos ($11.552,00) </w:t>
      </w:r>
      <w:r w:rsidRPr="00F978D5">
        <w:rPr>
          <w:rFonts w:ascii="Segoe UI" w:hAnsi="Segoe UI" w:cs="Segoe UI"/>
          <w:color w:val="000000"/>
        </w:rPr>
        <w:t>moneda corriente.</w:t>
      </w:r>
    </w:p>
    <w:p w14:paraId="66C73743"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039FE567"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lastRenderedPageBreak/>
        <w:t>Que, conforme a las facultades legales conferidas a la </w:t>
      </w:r>
      <w:r w:rsidRPr="00F978D5">
        <w:rPr>
          <w:rFonts w:ascii="Segoe UI" w:hAnsi="Segoe UI" w:cs="Segoe UI"/>
          <w:b/>
          <w:bCs/>
          <w:color w:val="000000"/>
        </w:rPr>
        <w:t>UAE Junta Central de Contadores</w:t>
      </w:r>
      <w:r w:rsidRPr="00F978D5">
        <w:rPr>
          <w:rFonts w:ascii="Segoe UI" w:hAnsi="Segoe UI" w:cs="Segoe UI"/>
          <w:color w:val="000000"/>
        </w:rPr>
        <w:t>, procederá al cálculo para actualizar los valores de sus trámites y certificados, dando aplicación a lo establecido en el artículo 313 de la Ley 2294 de 2023.</w:t>
      </w:r>
    </w:p>
    <w:p w14:paraId="28304EA7" w14:textId="77777777"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 </w:t>
      </w:r>
    </w:p>
    <w:p w14:paraId="14104CFE" w14:textId="78AF0BF9" w:rsidR="00F978D5" w:rsidRPr="00F978D5" w:rsidRDefault="00F978D5" w:rsidP="00F978D5">
      <w:pPr>
        <w:pStyle w:val="NormalWeb"/>
        <w:spacing w:before="0" w:beforeAutospacing="0" w:after="0" w:afterAutospacing="0" w:line="360" w:lineRule="auto"/>
        <w:jc w:val="both"/>
        <w:rPr>
          <w:rFonts w:ascii="Segoe UI" w:hAnsi="Segoe UI" w:cs="Segoe UI"/>
          <w:color w:val="000000"/>
        </w:rPr>
      </w:pPr>
      <w:r w:rsidRPr="00F978D5">
        <w:rPr>
          <w:rFonts w:ascii="Segoe UI" w:hAnsi="Segoe UI" w:cs="Segoe UI"/>
          <w:color w:val="000000"/>
        </w:rPr>
        <w:t>Que, en virtud de lo expuesto,</w:t>
      </w:r>
    </w:p>
    <w:tbl>
      <w:tblPr>
        <w:tblW w:w="0" w:type="auto"/>
        <w:tblCellSpacing w:w="0" w:type="dxa"/>
        <w:tblCellMar>
          <w:left w:w="0" w:type="dxa"/>
          <w:right w:w="0" w:type="dxa"/>
        </w:tblCellMar>
        <w:tblLook w:val="04A0" w:firstRow="1" w:lastRow="0" w:firstColumn="1" w:lastColumn="0" w:noHBand="0" w:noVBand="1"/>
      </w:tblPr>
      <w:tblGrid>
        <w:gridCol w:w="9356"/>
      </w:tblGrid>
      <w:tr w:rsidR="00F978D5" w:rsidRPr="00F978D5" w14:paraId="48EC5FBF" w14:textId="77777777" w:rsidTr="00F978D5">
        <w:trPr>
          <w:tblCellSpacing w:w="0" w:type="dxa"/>
        </w:trPr>
        <w:tc>
          <w:tcPr>
            <w:tcW w:w="14355" w:type="dxa"/>
            <w:hideMark/>
          </w:tcPr>
          <w:p w14:paraId="249F4DC2" w14:textId="77777777" w:rsidR="00F978D5" w:rsidRPr="00F978D5" w:rsidRDefault="00F978D5" w:rsidP="00F978D5">
            <w:pPr>
              <w:spacing w:after="0" w:line="360" w:lineRule="auto"/>
              <w:jc w:val="center"/>
              <w:rPr>
                <w:rFonts w:ascii="Segoe UI" w:eastAsia="Times New Roman" w:hAnsi="Segoe UI" w:cs="Segoe UI"/>
                <w:color w:val="000000"/>
                <w:kern w:val="0"/>
                <w:szCs w:val="24"/>
                <w:lang w:eastAsia="es-CO"/>
                <w14:ligatures w14:val="none"/>
              </w:rPr>
            </w:pPr>
            <w:r w:rsidRPr="00F978D5">
              <w:rPr>
                <w:rFonts w:ascii="Segoe UI" w:eastAsia="Times New Roman" w:hAnsi="Segoe UI" w:cs="Segoe UI"/>
                <w:b/>
                <w:bCs/>
                <w:color w:val="000000"/>
                <w:kern w:val="0"/>
                <w:szCs w:val="24"/>
                <w:lang w:eastAsia="es-CO"/>
                <w14:ligatures w14:val="none"/>
              </w:rPr>
              <w:br/>
              <w:t>Resuelve:</w:t>
            </w:r>
          </w:p>
          <w:p w14:paraId="0E76C5C6" w14:textId="77777777" w:rsidR="00F978D5" w:rsidRPr="00F978D5" w:rsidRDefault="00F978D5" w:rsidP="00F978D5">
            <w:pPr>
              <w:spacing w:after="0" w:line="360" w:lineRule="auto"/>
              <w:jc w:val="both"/>
              <w:rPr>
                <w:rFonts w:ascii="Segoe UI" w:eastAsia="Times New Roman" w:hAnsi="Segoe UI" w:cs="Segoe UI"/>
                <w:color w:val="000000"/>
                <w:kern w:val="0"/>
                <w:szCs w:val="24"/>
                <w:lang w:eastAsia="es-CO"/>
                <w14:ligatures w14:val="none"/>
              </w:rPr>
            </w:pPr>
            <w:r w:rsidRPr="00F978D5">
              <w:rPr>
                <w:rFonts w:ascii="Segoe UI" w:eastAsia="Times New Roman" w:hAnsi="Segoe UI" w:cs="Segoe UI"/>
                <w:color w:val="000000"/>
                <w:kern w:val="0"/>
                <w:szCs w:val="24"/>
                <w:lang w:eastAsia="es-CO"/>
                <w14:ligatures w14:val="none"/>
              </w:rPr>
              <w:t> </w:t>
            </w:r>
          </w:p>
          <w:p w14:paraId="7D8DFC8A" w14:textId="77777777" w:rsidR="00F978D5" w:rsidRPr="00F978D5" w:rsidRDefault="00F978D5" w:rsidP="00F978D5">
            <w:pPr>
              <w:spacing w:after="0" w:line="360" w:lineRule="auto"/>
              <w:jc w:val="both"/>
              <w:rPr>
                <w:rFonts w:ascii="Segoe UI" w:eastAsia="Times New Roman" w:hAnsi="Segoe UI" w:cs="Segoe UI"/>
                <w:color w:val="000000"/>
                <w:kern w:val="0"/>
                <w:szCs w:val="24"/>
                <w:lang w:eastAsia="es-CO"/>
                <w14:ligatures w14:val="none"/>
              </w:rPr>
            </w:pPr>
            <w:r w:rsidRPr="00F978D5">
              <w:rPr>
                <w:rFonts w:ascii="Segoe UI" w:eastAsia="Times New Roman" w:hAnsi="Segoe UI" w:cs="Segoe UI"/>
                <w:b/>
                <w:bCs/>
                <w:color w:val="000000"/>
                <w:kern w:val="0"/>
                <w:szCs w:val="24"/>
                <w:lang w:eastAsia="es-CO"/>
                <w14:ligatures w14:val="none"/>
              </w:rPr>
              <w:t>Artículo 1.</w:t>
            </w:r>
            <w:r w:rsidRPr="00F978D5">
              <w:rPr>
                <w:rFonts w:ascii="Segoe UI" w:eastAsia="Times New Roman" w:hAnsi="Segoe UI" w:cs="Segoe UI"/>
                <w:color w:val="000000"/>
                <w:kern w:val="0"/>
                <w:szCs w:val="24"/>
                <w:lang w:eastAsia="es-CO"/>
                <w14:ligatures w14:val="none"/>
              </w:rPr>
              <w:t> </w:t>
            </w:r>
            <w:r w:rsidRPr="00F978D5">
              <w:rPr>
                <w:rFonts w:ascii="Segoe UI" w:eastAsia="Times New Roman" w:hAnsi="Segoe UI" w:cs="Segoe UI"/>
                <w:i/>
                <w:iCs/>
                <w:color w:val="000000"/>
                <w:kern w:val="0"/>
                <w:szCs w:val="24"/>
                <w:lang w:eastAsia="es-CO"/>
                <w14:ligatures w14:val="none"/>
              </w:rPr>
              <w:t>Establecer </w:t>
            </w:r>
            <w:r w:rsidRPr="00F978D5">
              <w:rPr>
                <w:rFonts w:ascii="Segoe UI" w:eastAsia="Times New Roman" w:hAnsi="Segoe UI" w:cs="Segoe UI"/>
                <w:color w:val="000000"/>
                <w:kern w:val="0"/>
                <w:szCs w:val="24"/>
                <w:lang w:eastAsia="es-CO"/>
                <w14:ligatures w14:val="none"/>
              </w:rPr>
              <w:t>los valores en los trámites de inscripción por primera vez, sustitución, modificación, duplicado, expedición de tarjeta profesional de Contador Público y tarjeta de registro profesional de las entidades que presten servicios propios de la ciencia contable, para la vigencia 2025, discriminados así:</w:t>
            </w:r>
          </w:p>
          <w:p w14:paraId="4B1E4280" w14:textId="77777777" w:rsidR="00F978D5" w:rsidRPr="00F978D5" w:rsidRDefault="00F978D5" w:rsidP="00F978D5">
            <w:pPr>
              <w:spacing w:after="0" w:line="360" w:lineRule="auto"/>
              <w:jc w:val="both"/>
              <w:rPr>
                <w:rFonts w:ascii="Segoe UI" w:eastAsia="Times New Roman" w:hAnsi="Segoe UI" w:cs="Segoe UI"/>
                <w:color w:val="000000"/>
                <w:kern w:val="0"/>
                <w:szCs w:val="24"/>
                <w:lang w:eastAsia="es-CO"/>
                <w14:ligatures w14:val="none"/>
              </w:rPr>
            </w:pPr>
            <w:r w:rsidRPr="00F978D5">
              <w:rPr>
                <w:rFonts w:ascii="Segoe UI" w:eastAsia="Times New Roman" w:hAnsi="Segoe UI" w:cs="Segoe UI"/>
                <w:color w:val="000000"/>
                <w:kern w:val="0"/>
                <w:szCs w:val="24"/>
                <w:lang w:eastAsia="es-CO"/>
                <w14:ligatures w14:val="none"/>
              </w:rPr>
              <w:t> </w:t>
            </w:r>
          </w:p>
          <w:tbl>
            <w:tblPr>
              <w:tblW w:w="0" w:type="auto"/>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6135"/>
              <w:gridCol w:w="1334"/>
              <w:gridCol w:w="1877"/>
            </w:tblGrid>
            <w:tr w:rsidR="00F978D5" w:rsidRPr="00F978D5" w14:paraId="75B63C20" w14:textId="77777777" w:rsidTr="00F978D5">
              <w:tc>
                <w:tcPr>
                  <w:tcW w:w="668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2EA18D1"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b/>
                      <w:bCs/>
                      <w:kern w:val="0"/>
                      <w:szCs w:val="24"/>
                      <w:lang w:eastAsia="es-CO"/>
                      <w14:ligatures w14:val="none"/>
                    </w:rPr>
                    <w:t>TRÁMITE</w:t>
                  </w:r>
                </w:p>
              </w:tc>
              <w:tc>
                <w:tcPr>
                  <w:tcW w:w="137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9C6EE7B"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b/>
                      <w:bCs/>
                      <w:kern w:val="0"/>
                      <w:szCs w:val="24"/>
                      <w:lang w:eastAsia="es-CO"/>
                      <w14:ligatures w14:val="none"/>
                    </w:rPr>
                    <w:t>VALOR EN UVB</w:t>
                  </w:r>
                </w:p>
              </w:tc>
              <w:tc>
                <w:tcPr>
                  <w:tcW w:w="190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FB7B561"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b/>
                      <w:bCs/>
                      <w:kern w:val="0"/>
                      <w:szCs w:val="24"/>
                      <w:lang w:eastAsia="es-CO"/>
                      <w14:ligatures w14:val="none"/>
                    </w:rPr>
                    <w:t>VALOR EN PESOS ($)</w:t>
                  </w:r>
                </w:p>
              </w:tc>
            </w:tr>
            <w:tr w:rsidR="00F978D5" w:rsidRPr="00F978D5" w14:paraId="2D03263D" w14:textId="77777777" w:rsidTr="00F978D5">
              <w:tc>
                <w:tcPr>
                  <w:tcW w:w="668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B2D9B6C"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Tarjeta Profesional de Contador Público por primera vez</w:t>
                  </w:r>
                </w:p>
              </w:tc>
              <w:tc>
                <w:tcPr>
                  <w:tcW w:w="137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FB06B8E"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39,78</w:t>
                  </w:r>
                </w:p>
              </w:tc>
              <w:tc>
                <w:tcPr>
                  <w:tcW w:w="190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E1B0106"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$ 460.000,00</w:t>
                  </w:r>
                </w:p>
              </w:tc>
            </w:tr>
            <w:tr w:rsidR="00F978D5" w:rsidRPr="00F978D5" w14:paraId="6AF37D2A" w14:textId="77777777" w:rsidTr="00F978D5">
              <w:tc>
                <w:tcPr>
                  <w:tcW w:w="668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CDEAA94"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Tarjeta de Registro Profesional por primera vez</w:t>
                  </w:r>
                </w:p>
              </w:tc>
              <w:tc>
                <w:tcPr>
                  <w:tcW w:w="137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542E75A"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512,34</w:t>
                  </w:r>
                </w:p>
              </w:tc>
              <w:tc>
                <w:tcPr>
                  <w:tcW w:w="190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2B23DA3"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$5.919.000,00</w:t>
                  </w:r>
                </w:p>
              </w:tc>
            </w:tr>
            <w:tr w:rsidR="00F978D5" w:rsidRPr="00F978D5" w14:paraId="32220F98" w14:textId="77777777" w:rsidTr="00F978D5">
              <w:tc>
                <w:tcPr>
                  <w:tcW w:w="668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1A15A421"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Sustitución de la matrícula profesional</w:t>
                  </w:r>
                </w:p>
              </w:tc>
              <w:tc>
                <w:tcPr>
                  <w:tcW w:w="137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B4640CE"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39,78</w:t>
                  </w:r>
                </w:p>
              </w:tc>
              <w:tc>
                <w:tcPr>
                  <w:tcW w:w="190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1310F3A"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$ 460.000,00</w:t>
                  </w:r>
                </w:p>
              </w:tc>
            </w:tr>
            <w:tr w:rsidR="00F978D5" w:rsidRPr="00F978D5" w14:paraId="6123E400" w14:textId="77777777" w:rsidTr="00F978D5">
              <w:tc>
                <w:tcPr>
                  <w:tcW w:w="668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5FBD06CB"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Modificación de la Tarjeta de Registro Profesional</w:t>
                  </w:r>
                </w:p>
              </w:tc>
              <w:tc>
                <w:tcPr>
                  <w:tcW w:w="137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71BA8C02"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51,23</w:t>
                  </w:r>
                </w:p>
              </w:tc>
              <w:tc>
                <w:tcPr>
                  <w:tcW w:w="190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1C9A2902"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$ 592.000,00</w:t>
                  </w:r>
                </w:p>
              </w:tc>
            </w:tr>
            <w:tr w:rsidR="00F978D5" w:rsidRPr="00F978D5" w14:paraId="164CE440" w14:textId="77777777" w:rsidTr="00F978D5">
              <w:tc>
                <w:tcPr>
                  <w:tcW w:w="668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8EECFA2"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Duplicado de la Tarjeta Profesional de Contador Público</w:t>
                  </w:r>
                </w:p>
              </w:tc>
              <w:tc>
                <w:tcPr>
                  <w:tcW w:w="137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CA04874"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3,94</w:t>
                  </w:r>
                </w:p>
              </w:tc>
              <w:tc>
                <w:tcPr>
                  <w:tcW w:w="190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C08525E"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$ 46.000,00</w:t>
                  </w:r>
                </w:p>
              </w:tc>
            </w:tr>
            <w:tr w:rsidR="00F978D5" w:rsidRPr="00F978D5" w14:paraId="4793BD91" w14:textId="77777777" w:rsidTr="00F978D5">
              <w:tc>
                <w:tcPr>
                  <w:tcW w:w="668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1EDD27B8"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Duplicado de la Tarjeta de Registro Profesional de las entidades que presten servicios de la ciencia contable</w:t>
                  </w:r>
                </w:p>
              </w:tc>
              <w:tc>
                <w:tcPr>
                  <w:tcW w:w="137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54987BA"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51,23</w:t>
                  </w:r>
                </w:p>
              </w:tc>
              <w:tc>
                <w:tcPr>
                  <w:tcW w:w="190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10E8A1CC"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$ 592.000,00</w:t>
                  </w:r>
                </w:p>
              </w:tc>
            </w:tr>
          </w:tbl>
          <w:p w14:paraId="09DC2ED5" w14:textId="77777777" w:rsidR="00F978D5" w:rsidRPr="00F978D5" w:rsidRDefault="00F978D5" w:rsidP="00F978D5">
            <w:pPr>
              <w:spacing w:after="0" w:line="360" w:lineRule="auto"/>
              <w:jc w:val="both"/>
              <w:rPr>
                <w:rFonts w:ascii="Segoe UI" w:eastAsia="Times New Roman" w:hAnsi="Segoe UI" w:cs="Segoe UI"/>
                <w:color w:val="000000"/>
                <w:kern w:val="0"/>
                <w:szCs w:val="24"/>
                <w:lang w:eastAsia="es-CO"/>
                <w14:ligatures w14:val="none"/>
              </w:rPr>
            </w:pPr>
            <w:r w:rsidRPr="00F978D5">
              <w:rPr>
                <w:rFonts w:ascii="Segoe UI" w:eastAsia="Times New Roman" w:hAnsi="Segoe UI" w:cs="Segoe UI"/>
                <w:color w:val="000000"/>
                <w:kern w:val="0"/>
                <w:szCs w:val="24"/>
                <w:lang w:eastAsia="es-CO"/>
                <w14:ligatures w14:val="none"/>
              </w:rPr>
              <w:t> </w:t>
            </w:r>
          </w:p>
          <w:p w14:paraId="5EFD5BF9" w14:textId="77777777" w:rsidR="00F978D5" w:rsidRPr="00F978D5" w:rsidRDefault="00F978D5" w:rsidP="00F978D5">
            <w:pPr>
              <w:spacing w:after="0" w:line="360" w:lineRule="auto"/>
              <w:jc w:val="both"/>
              <w:rPr>
                <w:rFonts w:ascii="Segoe UI" w:eastAsia="Times New Roman" w:hAnsi="Segoe UI" w:cs="Segoe UI"/>
                <w:color w:val="000000"/>
                <w:kern w:val="0"/>
                <w:szCs w:val="24"/>
                <w:lang w:eastAsia="es-CO"/>
                <w14:ligatures w14:val="none"/>
              </w:rPr>
            </w:pPr>
            <w:r w:rsidRPr="00F978D5">
              <w:rPr>
                <w:rFonts w:ascii="Segoe UI" w:eastAsia="Times New Roman" w:hAnsi="Segoe UI" w:cs="Segoe UI"/>
                <w:color w:val="000000"/>
                <w:kern w:val="0"/>
                <w:szCs w:val="24"/>
                <w:lang w:eastAsia="es-CO"/>
                <w14:ligatures w14:val="none"/>
              </w:rPr>
              <w:t> </w:t>
            </w:r>
          </w:p>
          <w:p w14:paraId="38BE3AF2" w14:textId="77777777" w:rsidR="00F978D5" w:rsidRPr="00F978D5" w:rsidRDefault="00F978D5" w:rsidP="00F978D5">
            <w:pPr>
              <w:spacing w:after="0" w:line="360" w:lineRule="auto"/>
              <w:jc w:val="both"/>
              <w:rPr>
                <w:rFonts w:ascii="Segoe UI" w:eastAsia="Times New Roman" w:hAnsi="Segoe UI" w:cs="Segoe UI"/>
                <w:color w:val="000000"/>
                <w:kern w:val="0"/>
                <w:szCs w:val="24"/>
                <w:lang w:eastAsia="es-CO"/>
                <w14:ligatures w14:val="none"/>
              </w:rPr>
            </w:pPr>
            <w:r w:rsidRPr="00F978D5">
              <w:rPr>
                <w:rFonts w:ascii="Segoe UI" w:eastAsia="Times New Roman" w:hAnsi="Segoe UI" w:cs="Segoe UI"/>
                <w:b/>
                <w:bCs/>
                <w:color w:val="000000"/>
                <w:kern w:val="0"/>
                <w:szCs w:val="24"/>
                <w:lang w:eastAsia="es-CO"/>
                <w14:ligatures w14:val="none"/>
              </w:rPr>
              <w:t>Artículo 2.</w:t>
            </w:r>
            <w:r w:rsidRPr="00F978D5">
              <w:rPr>
                <w:rFonts w:ascii="Segoe UI" w:eastAsia="Times New Roman" w:hAnsi="Segoe UI" w:cs="Segoe UI"/>
                <w:color w:val="000000"/>
                <w:kern w:val="0"/>
                <w:szCs w:val="24"/>
                <w:lang w:eastAsia="es-CO"/>
                <w14:ligatures w14:val="none"/>
              </w:rPr>
              <w:t> </w:t>
            </w:r>
            <w:r w:rsidRPr="00F978D5">
              <w:rPr>
                <w:rFonts w:ascii="Segoe UI" w:eastAsia="Times New Roman" w:hAnsi="Segoe UI" w:cs="Segoe UI"/>
                <w:i/>
                <w:iCs/>
                <w:color w:val="000000"/>
                <w:kern w:val="0"/>
                <w:szCs w:val="24"/>
                <w:lang w:eastAsia="es-CO"/>
                <w14:ligatures w14:val="none"/>
              </w:rPr>
              <w:t>Fijar </w:t>
            </w:r>
            <w:r w:rsidRPr="00F978D5">
              <w:rPr>
                <w:rFonts w:ascii="Segoe UI" w:eastAsia="Times New Roman" w:hAnsi="Segoe UI" w:cs="Segoe UI"/>
                <w:color w:val="000000"/>
                <w:kern w:val="0"/>
                <w:szCs w:val="24"/>
                <w:lang w:eastAsia="es-CO"/>
                <w14:ligatures w14:val="none"/>
              </w:rPr>
              <w:t>los valores para la expedición de certificados para la vigencia 2025, así:</w:t>
            </w:r>
          </w:p>
          <w:p w14:paraId="74E8276F" w14:textId="77777777" w:rsidR="00F978D5" w:rsidRPr="00F978D5" w:rsidRDefault="00F978D5" w:rsidP="00F978D5">
            <w:pPr>
              <w:spacing w:after="0" w:line="360" w:lineRule="auto"/>
              <w:jc w:val="center"/>
              <w:rPr>
                <w:rFonts w:ascii="Segoe UI" w:eastAsia="Times New Roman" w:hAnsi="Segoe UI" w:cs="Segoe UI"/>
                <w:color w:val="000000"/>
                <w:kern w:val="0"/>
                <w:szCs w:val="24"/>
                <w:lang w:eastAsia="es-CO"/>
                <w14:ligatures w14:val="none"/>
              </w:rPr>
            </w:pPr>
            <w:r w:rsidRPr="00F978D5">
              <w:rPr>
                <w:rFonts w:ascii="Segoe UI" w:eastAsia="Times New Roman" w:hAnsi="Segoe UI" w:cs="Segoe UI"/>
                <w:color w:val="000000"/>
                <w:kern w:val="0"/>
                <w:szCs w:val="24"/>
                <w:lang w:eastAsia="es-CO"/>
                <w14:ligatures w14:val="none"/>
              </w:rPr>
              <w:t> </w:t>
            </w:r>
          </w:p>
          <w:tbl>
            <w:tblPr>
              <w:tblW w:w="0" w:type="auto"/>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6325"/>
              <w:gridCol w:w="1302"/>
              <w:gridCol w:w="1719"/>
            </w:tblGrid>
            <w:tr w:rsidR="00F978D5" w:rsidRPr="00F978D5" w14:paraId="7C42FA31" w14:textId="77777777" w:rsidTr="00F978D5">
              <w:tc>
                <w:tcPr>
                  <w:tcW w:w="686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093DBF25"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b/>
                      <w:bCs/>
                      <w:kern w:val="0"/>
                      <w:szCs w:val="24"/>
                      <w:lang w:eastAsia="es-CO"/>
                      <w14:ligatures w14:val="none"/>
                    </w:rPr>
                    <w:t>CERTIFICADOS</w:t>
                  </w:r>
                </w:p>
              </w:tc>
              <w:tc>
                <w:tcPr>
                  <w:tcW w:w="133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0DA9E9F"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b/>
                      <w:bCs/>
                      <w:kern w:val="0"/>
                      <w:szCs w:val="24"/>
                      <w:lang w:eastAsia="es-CO"/>
                      <w14:ligatures w14:val="none"/>
                    </w:rPr>
                    <w:t>VALOR EN UVB</w:t>
                  </w:r>
                </w:p>
              </w:tc>
              <w:tc>
                <w:tcPr>
                  <w:tcW w:w="176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7E040BBB"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b/>
                      <w:bCs/>
                      <w:kern w:val="0"/>
                      <w:szCs w:val="24"/>
                      <w:lang w:eastAsia="es-CO"/>
                      <w14:ligatures w14:val="none"/>
                    </w:rPr>
                    <w:t>VALOR EN PESOS ($)</w:t>
                  </w:r>
                </w:p>
              </w:tc>
            </w:tr>
            <w:tr w:rsidR="00F978D5" w:rsidRPr="00F978D5" w14:paraId="31D47B7F" w14:textId="77777777" w:rsidTr="00F978D5">
              <w:tc>
                <w:tcPr>
                  <w:tcW w:w="686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0853458"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Certificado de vigencia y de antecedentes disciplinarios de los Contadores Públicos.</w:t>
                  </w:r>
                </w:p>
              </w:tc>
              <w:tc>
                <w:tcPr>
                  <w:tcW w:w="133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0135E844"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3,69</w:t>
                  </w:r>
                </w:p>
              </w:tc>
              <w:tc>
                <w:tcPr>
                  <w:tcW w:w="176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0C1C3972"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$43.000,00</w:t>
                  </w:r>
                </w:p>
              </w:tc>
            </w:tr>
            <w:tr w:rsidR="00F978D5" w:rsidRPr="00F978D5" w14:paraId="421E6D3E" w14:textId="77777777" w:rsidTr="00F978D5">
              <w:tc>
                <w:tcPr>
                  <w:tcW w:w="686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F927524"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Certificado de vigencia y de antecedentes disciplinarios de las entidades que presten servicios de la ciencia contable.</w:t>
                  </w:r>
                </w:p>
              </w:tc>
              <w:tc>
                <w:tcPr>
                  <w:tcW w:w="133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70A4B889"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6,79</w:t>
                  </w:r>
                </w:p>
              </w:tc>
              <w:tc>
                <w:tcPr>
                  <w:tcW w:w="1763"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7A4848D1" w14:textId="77777777" w:rsidR="00F978D5" w:rsidRPr="00F978D5" w:rsidRDefault="00F978D5" w:rsidP="00F978D5">
                  <w:pPr>
                    <w:spacing w:after="0" w:line="360" w:lineRule="auto"/>
                    <w:jc w:val="center"/>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$79.000,00</w:t>
                  </w:r>
                </w:p>
              </w:tc>
            </w:tr>
          </w:tbl>
          <w:p w14:paraId="2451ABFB" w14:textId="77777777" w:rsidR="00F978D5" w:rsidRPr="00F978D5" w:rsidRDefault="00F978D5" w:rsidP="00F978D5">
            <w:pPr>
              <w:spacing w:after="0" w:line="360" w:lineRule="auto"/>
              <w:jc w:val="both"/>
              <w:rPr>
                <w:rFonts w:ascii="Segoe UI" w:eastAsia="Times New Roman" w:hAnsi="Segoe UI" w:cs="Segoe UI"/>
                <w:color w:val="000000"/>
                <w:kern w:val="0"/>
                <w:szCs w:val="24"/>
                <w:lang w:eastAsia="es-CO"/>
                <w14:ligatures w14:val="none"/>
              </w:rPr>
            </w:pPr>
            <w:r w:rsidRPr="00F978D5">
              <w:rPr>
                <w:rFonts w:ascii="Segoe UI" w:eastAsia="Times New Roman" w:hAnsi="Segoe UI" w:cs="Segoe UI"/>
                <w:color w:val="000000"/>
                <w:kern w:val="0"/>
                <w:szCs w:val="24"/>
                <w:lang w:eastAsia="es-CO"/>
                <w14:ligatures w14:val="none"/>
              </w:rPr>
              <w:lastRenderedPageBreak/>
              <w:t> </w:t>
            </w:r>
          </w:p>
          <w:p w14:paraId="6C3F8875" w14:textId="77777777" w:rsidR="00F978D5" w:rsidRPr="00F978D5" w:rsidRDefault="00F978D5" w:rsidP="00F978D5">
            <w:pPr>
              <w:spacing w:after="0" w:line="360" w:lineRule="auto"/>
              <w:jc w:val="both"/>
              <w:rPr>
                <w:rFonts w:ascii="Segoe UI" w:eastAsia="Times New Roman" w:hAnsi="Segoe UI" w:cs="Segoe UI"/>
                <w:color w:val="000000"/>
                <w:kern w:val="0"/>
                <w:szCs w:val="24"/>
                <w:lang w:eastAsia="es-CO"/>
                <w14:ligatures w14:val="none"/>
              </w:rPr>
            </w:pPr>
            <w:r w:rsidRPr="00F978D5">
              <w:rPr>
                <w:rFonts w:ascii="Segoe UI" w:eastAsia="Times New Roman" w:hAnsi="Segoe UI" w:cs="Segoe UI"/>
                <w:color w:val="000000"/>
                <w:kern w:val="0"/>
                <w:szCs w:val="24"/>
                <w:lang w:eastAsia="es-CO"/>
                <w14:ligatures w14:val="none"/>
              </w:rPr>
              <w:t> </w:t>
            </w:r>
          </w:p>
          <w:p w14:paraId="5C62ED42" w14:textId="77777777" w:rsidR="00F978D5" w:rsidRPr="00F978D5" w:rsidRDefault="00F978D5" w:rsidP="00F978D5">
            <w:pPr>
              <w:spacing w:after="0" w:line="360" w:lineRule="auto"/>
              <w:jc w:val="both"/>
              <w:rPr>
                <w:rFonts w:ascii="Segoe UI" w:eastAsia="Times New Roman" w:hAnsi="Segoe UI" w:cs="Segoe UI"/>
                <w:color w:val="000000"/>
                <w:kern w:val="0"/>
                <w:szCs w:val="24"/>
                <w:lang w:eastAsia="es-CO"/>
                <w14:ligatures w14:val="none"/>
              </w:rPr>
            </w:pPr>
            <w:r w:rsidRPr="00F978D5">
              <w:rPr>
                <w:rFonts w:ascii="Segoe UI" w:eastAsia="Times New Roman" w:hAnsi="Segoe UI" w:cs="Segoe UI"/>
                <w:b/>
                <w:bCs/>
                <w:color w:val="000000"/>
                <w:kern w:val="0"/>
                <w:szCs w:val="24"/>
                <w:lang w:eastAsia="es-CO"/>
                <w14:ligatures w14:val="none"/>
              </w:rPr>
              <w:t>Artículo 3. </w:t>
            </w:r>
            <w:r w:rsidRPr="00F978D5">
              <w:rPr>
                <w:rFonts w:ascii="Segoe UI" w:eastAsia="Times New Roman" w:hAnsi="Segoe UI" w:cs="Segoe UI"/>
                <w:b/>
                <w:bCs/>
                <w:i/>
                <w:iCs/>
                <w:color w:val="000000"/>
                <w:kern w:val="0"/>
                <w:szCs w:val="24"/>
                <w:lang w:eastAsia="es-CO"/>
                <w14:ligatures w14:val="none"/>
              </w:rPr>
              <w:t>Trámites y servicios sin costo</w:t>
            </w:r>
            <w:r w:rsidRPr="00F978D5">
              <w:rPr>
                <w:rFonts w:ascii="Segoe UI" w:eastAsia="Times New Roman" w:hAnsi="Segoe UI" w:cs="Segoe UI"/>
                <w:b/>
                <w:bCs/>
                <w:color w:val="000000"/>
                <w:kern w:val="0"/>
                <w:szCs w:val="24"/>
                <w:lang w:eastAsia="es-CO"/>
                <w14:ligatures w14:val="none"/>
              </w:rPr>
              <w:t>.</w:t>
            </w:r>
            <w:r w:rsidRPr="00F978D5">
              <w:rPr>
                <w:rFonts w:ascii="Segoe UI" w:eastAsia="Times New Roman" w:hAnsi="Segoe UI" w:cs="Segoe UI"/>
                <w:color w:val="000000"/>
                <w:kern w:val="0"/>
                <w:szCs w:val="24"/>
                <w:lang w:eastAsia="es-CO"/>
                <w14:ligatures w14:val="none"/>
              </w:rPr>
              <w:t> La </w:t>
            </w:r>
            <w:r w:rsidRPr="00F978D5">
              <w:rPr>
                <w:rFonts w:ascii="Segoe UI" w:eastAsia="Times New Roman" w:hAnsi="Segoe UI" w:cs="Segoe UI"/>
                <w:b/>
                <w:bCs/>
                <w:color w:val="000000"/>
                <w:kern w:val="0"/>
                <w:szCs w:val="24"/>
                <w:lang w:eastAsia="es-CO"/>
                <w14:ligatures w14:val="none"/>
              </w:rPr>
              <w:t>UAE Junta Central de Contadores </w:t>
            </w:r>
            <w:r w:rsidRPr="00F978D5">
              <w:rPr>
                <w:rFonts w:ascii="Segoe UI" w:eastAsia="Times New Roman" w:hAnsi="Segoe UI" w:cs="Segoe UI"/>
                <w:color w:val="000000"/>
                <w:kern w:val="0"/>
                <w:szCs w:val="24"/>
                <w:lang w:eastAsia="es-CO"/>
                <w14:ligatures w14:val="none"/>
              </w:rPr>
              <w:t>exceptúa de cobro alguno el servicio de consulta de veracidad del certificado de vigencia de inscripción y de antecedentes disciplinarios y la cancelación de la inscripción de Contadores Públicos o entidades que prestan servicios propios de la ciencia contable.</w:t>
            </w:r>
          </w:p>
          <w:p w14:paraId="177942B3" w14:textId="77777777" w:rsidR="00F978D5" w:rsidRPr="00F978D5" w:rsidRDefault="00F978D5" w:rsidP="00F978D5">
            <w:pPr>
              <w:spacing w:line="360" w:lineRule="auto"/>
              <w:rPr>
                <w:rFonts w:ascii="Segoe UI" w:hAnsi="Segoe UI" w:cs="Segoe UI"/>
                <w:b/>
                <w:bCs/>
                <w:color w:val="000000"/>
                <w:szCs w:val="24"/>
                <w:shd w:val="clear" w:color="auto" w:fill="FFFFFF"/>
              </w:rPr>
            </w:pPr>
          </w:p>
          <w:p w14:paraId="6CBC56ED" w14:textId="27E857B3" w:rsidR="00F978D5" w:rsidRPr="00F978D5" w:rsidRDefault="00F978D5" w:rsidP="00F978D5">
            <w:pPr>
              <w:spacing w:line="360" w:lineRule="auto"/>
              <w:rPr>
                <w:szCs w:val="24"/>
              </w:rPr>
            </w:pPr>
            <w:r w:rsidRPr="00F978D5">
              <w:rPr>
                <w:rFonts w:ascii="Segoe UI" w:hAnsi="Segoe UI" w:cs="Segoe UI"/>
                <w:b/>
                <w:bCs/>
                <w:color w:val="000000"/>
                <w:szCs w:val="24"/>
                <w:shd w:val="clear" w:color="auto" w:fill="FFFFFF"/>
              </w:rPr>
              <w:t>Artículo 4. </w:t>
            </w:r>
            <w:r w:rsidRPr="00F978D5">
              <w:rPr>
                <w:rFonts w:ascii="Segoe UI" w:hAnsi="Segoe UI" w:cs="Segoe UI"/>
                <w:b/>
                <w:bCs/>
                <w:i/>
                <w:iCs/>
                <w:color w:val="000000"/>
                <w:szCs w:val="24"/>
                <w:shd w:val="clear" w:color="auto" w:fill="FFFFFF"/>
              </w:rPr>
              <w:t>Vigencia y derogatoria</w:t>
            </w:r>
            <w:r w:rsidRPr="00F978D5">
              <w:rPr>
                <w:rFonts w:ascii="Segoe UI" w:hAnsi="Segoe UI" w:cs="Segoe UI"/>
                <w:b/>
                <w:bCs/>
                <w:color w:val="000000"/>
                <w:szCs w:val="24"/>
                <w:shd w:val="clear" w:color="auto" w:fill="FFFFFF"/>
              </w:rPr>
              <w:t>.</w:t>
            </w:r>
            <w:r w:rsidRPr="00F978D5">
              <w:rPr>
                <w:rFonts w:ascii="Segoe UI" w:hAnsi="Segoe UI" w:cs="Segoe UI"/>
                <w:color w:val="000000"/>
                <w:szCs w:val="24"/>
                <w:shd w:val="clear" w:color="auto" w:fill="FFFFFF"/>
              </w:rPr>
              <w:t> La presente resolución rige a partir de su publicación en el </w:t>
            </w:r>
            <w:r w:rsidRPr="00F978D5">
              <w:rPr>
                <w:rFonts w:ascii="Segoe UI" w:hAnsi="Segoe UI" w:cs="Segoe UI"/>
                <w:b/>
                <w:bCs/>
                <w:i/>
                <w:iCs/>
                <w:color w:val="000000"/>
                <w:szCs w:val="24"/>
                <w:shd w:val="clear" w:color="auto" w:fill="FFFFFF"/>
              </w:rPr>
              <w:t>Diario Oficial </w:t>
            </w:r>
            <w:r w:rsidRPr="00F978D5">
              <w:rPr>
                <w:rFonts w:ascii="Segoe UI" w:hAnsi="Segoe UI" w:cs="Segoe UI"/>
                <w:color w:val="000000"/>
                <w:szCs w:val="24"/>
                <w:shd w:val="clear" w:color="auto" w:fill="FFFFFF"/>
              </w:rPr>
              <w:t>y deroga la Resolución número D-0002-2024 del 3 de enero de 2024.</w:t>
            </w:r>
          </w:p>
          <w:p w14:paraId="41CDF6D4" w14:textId="77777777" w:rsidR="00F978D5" w:rsidRPr="00F978D5" w:rsidRDefault="00F978D5" w:rsidP="00F978D5">
            <w:pPr>
              <w:spacing w:line="360" w:lineRule="auto"/>
              <w:rPr>
                <w:szCs w:val="24"/>
              </w:rPr>
            </w:pPr>
          </w:p>
          <w:tbl>
            <w:tblPr>
              <w:tblW w:w="14355" w:type="dxa"/>
              <w:tblCellSpacing w:w="0" w:type="dxa"/>
              <w:tblCellMar>
                <w:left w:w="0" w:type="dxa"/>
                <w:right w:w="0" w:type="dxa"/>
              </w:tblCellMar>
              <w:tblLook w:val="04A0" w:firstRow="1" w:lastRow="0" w:firstColumn="1" w:lastColumn="0" w:noHBand="0" w:noVBand="1"/>
            </w:tblPr>
            <w:tblGrid>
              <w:gridCol w:w="14355"/>
            </w:tblGrid>
            <w:tr w:rsidR="00F978D5" w:rsidRPr="00F978D5" w14:paraId="32F8C592" w14:textId="77777777">
              <w:trPr>
                <w:tblCellSpacing w:w="0" w:type="dxa"/>
              </w:trPr>
              <w:tc>
                <w:tcPr>
                  <w:tcW w:w="0" w:type="auto"/>
                  <w:shd w:val="clear" w:color="auto" w:fill="FFFFFF"/>
                  <w:tcMar>
                    <w:top w:w="30" w:type="dxa"/>
                    <w:left w:w="30" w:type="dxa"/>
                    <w:bottom w:w="30" w:type="dxa"/>
                    <w:right w:w="30" w:type="dxa"/>
                  </w:tcMar>
                  <w:vAlign w:val="center"/>
                  <w:hideMark/>
                </w:tcPr>
                <w:p w14:paraId="18294AF6" w14:textId="77777777" w:rsidR="00F978D5" w:rsidRPr="00F978D5" w:rsidRDefault="00F978D5" w:rsidP="00F978D5">
                  <w:pPr>
                    <w:spacing w:after="0" w:line="360" w:lineRule="auto"/>
                    <w:jc w:val="both"/>
                    <w:rPr>
                      <w:rFonts w:ascii="Segoe UI" w:eastAsia="Times New Roman" w:hAnsi="Segoe UI" w:cs="Segoe UI"/>
                      <w:kern w:val="0"/>
                      <w:szCs w:val="24"/>
                      <w:lang w:eastAsia="es-CO"/>
                      <w14:ligatures w14:val="none"/>
                    </w:rPr>
                  </w:pPr>
                  <w:r w:rsidRPr="00F978D5">
                    <w:rPr>
                      <w:rFonts w:ascii="Segoe UI" w:eastAsia="Times New Roman" w:hAnsi="Segoe UI" w:cs="Segoe UI"/>
                      <w:b/>
                      <w:bCs/>
                      <w:kern w:val="0"/>
                      <w:szCs w:val="24"/>
                      <w:lang w:eastAsia="es-CO"/>
                      <w14:ligatures w14:val="none"/>
                    </w:rPr>
                    <w:t>Publíquese y cúmplase.</w:t>
                  </w:r>
                </w:p>
                <w:p w14:paraId="0541D01D" w14:textId="0543723A" w:rsidR="00F978D5" w:rsidRPr="00F978D5" w:rsidRDefault="00F978D5" w:rsidP="00F978D5">
                  <w:pPr>
                    <w:spacing w:after="0" w:line="360" w:lineRule="auto"/>
                    <w:jc w:val="both"/>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Dada en Bogotá D. C., a 2 de enero de 2025.</w:t>
                  </w:r>
                </w:p>
                <w:p w14:paraId="07A99D2C" w14:textId="77777777" w:rsidR="00F978D5" w:rsidRPr="00F978D5" w:rsidRDefault="00F978D5" w:rsidP="00F978D5">
                  <w:pPr>
                    <w:spacing w:after="0" w:line="360" w:lineRule="auto"/>
                    <w:jc w:val="both"/>
                    <w:rPr>
                      <w:rFonts w:ascii="Segoe UI" w:eastAsia="Times New Roman" w:hAnsi="Segoe UI" w:cs="Segoe UI"/>
                      <w:b/>
                      <w:bCs/>
                      <w:kern w:val="0"/>
                      <w:szCs w:val="24"/>
                      <w:lang w:eastAsia="es-CO"/>
                      <w14:ligatures w14:val="none"/>
                    </w:rPr>
                  </w:pPr>
                  <w:r w:rsidRPr="00F978D5">
                    <w:rPr>
                      <w:rFonts w:ascii="Segoe UI" w:eastAsia="Times New Roman" w:hAnsi="Segoe UI" w:cs="Segoe UI"/>
                      <w:b/>
                      <w:bCs/>
                      <w:kern w:val="0"/>
                      <w:szCs w:val="24"/>
                      <w:lang w:eastAsia="es-CO"/>
                      <w14:ligatures w14:val="none"/>
                    </w:rPr>
                    <w:t>La Directora General,</w:t>
                  </w:r>
                  <w:r w:rsidRPr="00F978D5">
                    <w:rPr>
                      <w:rFonts w:ascii="Segoe UI" w:eastAsia="Times New Roman" w:hAnsi="Segoe UI" w:cs="Segoe UI"/>
                      <w:b/>
                      <w:bCs/>
                      <w:kern w:val="0"/>
                      <w:szCs w:val="24"/>
                      <w:lang w:eastAsia="es-CO"/>
                      <w14:ligatures w14:val="none"/>
                    </w:rPr>
                    <w:t xml:space="preserve"> </w:t>
                  </w:r>
                </w:p>
                <w:p w14:paraId="7B7515D1" w14:textId="211A43D9" w:rsidR="00F978D5" w:rsidRPr="00F978D5" w:rsidRDefault="00F978D5" w:rsidP="00F978D5">
                  <w:pPr>
                    <w:spacing w:after="0" w:line="360" w:lineRule="auto"/>
                    <w:jc w:val="both"/>
                    <w:rPr>
                      <w:rFonts w:ascii="Segoe UI" w:eastAsia="Times New Roman" w:hAnsi="Segoe UI" w:cs="Segoe UI"/>
                      <w:kern w:val="0"/>
                      <w:szCs w:val="24"/>
                      <w:lang w:eastAsia="es-CO"/>
                      <w14:ligatures w14:val="none"/>
                    </w:rPr>
                  </w:pPr>
                  <w:r w:rsidRPr="00F978D5">
                    <w:rPr>
                      <w:rFonts w:ascii="Segoe UI" w:eastAsia="Times New Roman" w:hAnsi="Segoe UI" w:cs="Segoe UI"/>
                      <w:b/>
                      <w:bCs/>
                      <w:kern w:val="0"/>
                      <w:szCs w:val="24"/>
                      <w:lang w:eastAsia="es-CO"/>
                      <w14:ligatures w14:val="none"/>
                    </w:rPr>
                    <w:t>Unidad Administrativa Especial Junta Central de Contadores.</w:t>
                  </w:r>
                </w:p>
                <w:p w14:paraId="7647803F" w14:textId="3096EAAD" w:rsidR="00F978D5" w:rsidRPr="00F978D5" w:rsidRDefault="00F978D5" w:rsidP="00F978D5">
                  <w:pPr>
                    <w:spacing w:after="0" w:line="360" w:lineRule="auto"/>
                    <w:jc w:val="both"/>
                    <w:rPr>
                      <w:rFonts w:ascii="Segoe UI" w:eastAsia="Times New Roman" w:hAnsi="Segoe UI" w:cs="Segoe UI"/>
                      <w:kern w:val="0"/>
                      <w:szCs w:val="24"/>
                      <w:lang w:eastAsia="es-CO"/>
                      <w14:ligatures w14:val="none"/>
                    </w:rPr>
                  </w:pPr>
                  <w:r w:rsidRPr="00F978D5">
                    <w:rPr>
                      <w:rFonts w:ascii="Segoe UI" w:eastAsia="Times New Roman" w:hAnsi="Segoe UI" w:cs="Segoe UI"/>
                      <w:b/>
                      <w:bCs/>
                      <w:kern w:val="0"/>
                      <w:szCs w:val="24"/>
                      <w:lang w:eastAsia="es-CO"/>
                      <w14:ligatures w14:val="none"/>
                    </w:rPr>
                    <w:t>Publicada en D.O. 52.993 del 08 de Enero de 2025.</w:t>
                  </w:r>
                </w:p>
                <w:p w14:paraId="300FF2D0" w14:textId="77777777" w:rsidR="00F978D5" w:rsidRPr="00F978D5" w:rsidRDefault="00F978D5" w:rsidP="00F978D5">
                  <w:pPr>
                    <w:spacing w:after="0" w:line="360" w:lineRule="auto"/>
                    <w:jc w:val="both"/>
                    <w:rPr>
                      <w:rFonts w:ascii="Segoe UI" w:eastAsia="Times New Roman" w:hAnsi="Segoe UI" w:cs="Segoe UI"/>
                      <w:kern w:val="0"/>
                      <w:szCs w:val="24"/>
                      <w:lang w:eastAsia="es-CO"/>
                      <w14:ligatures w14:val="none"/>
                    </w:rPr>
                  </w:pPr>
                  <w:r w:rsidRPr="00F978D5">
                    <w:rPr>
                      <w:rFonts w:ascii="Segoe UI" w:eastAsia="Times New Roman" w:hAnsi="Segoe UI" w:cs="Segoe UI"/>
                      <w:kern w:val="0"/>
                      <w:szCs w:val="24"/>
                      <w:lang w:eastAsia="es-CO"/>
                      <w14:ligatures w14:val="none"/>
                    </w:rPr>
                    <w:t> </w:t>
                  </w:r>
                </w:p>
                <w:p w14:paraId="6EE2EE33" w14:textId="77777777" w:rsidR="00F978D5" w:rsidRPr="00F978D5" w:rsidRDefault="00F978D5" w:rsidP="00F978D5">
                  <w:pPr>
                    <w:spacing w:after="0" w:line="360" w:lineRule="auto"/>
                    <w:jc w:val="right"/>
                    <w:rPr>
                      <w:rFonts w:ascii="Segoe UI" w:eastAsia="Times New Roman" w:hAnsi="Segoe UI" w:cs="Segoe UI"/>
                      <w:kern w:val="0"/>
                      <w:szCs w:val="24"/>
                      <w:lang w:eastAsia="es-CO"/>
                      <w14:ligatures w14:val="none"/>
                    </w:rPr>
                  </w:pPr>
                  <w:r w:rsidRPr="00F978D5">
                    <w:rPr>
                      <w:rFonts w:ascii="Segoe UI" w:eastAsia="Times New Roman" w:hAnsi="Segoe UI" w:cs="Segoe UI"/>
                      <w:i/>
                      <w:iCs/>
                      <w:kern w:val="0"/>
                      <w:szCs w:val="24"/>
                      <w:lang w:eastAsia="es-CO"/>
                      <w14:ligatures w14:val="none"/>
                    </w:rPr>
                    <w:t>Sandra Milena Barrios Pulido.</w:t>
                  </w:r>
                </w:p>
                <w:p w14:paraId="0C79AD44" w14:textId="6D0532A7" w:rsidR="00F978D5" w:rsidRPr="00F978D5" w:rsidRDefault="00F978D5" w:rsidP="00F978D5">
                  <w:pPr>
                    <w:spacing w:after="0" w:line="360" w:lineRule="auto"/>
                    <w:jc w:val="both"/>
                    <w:rPr>
                      <w:rFonts w:ascii="Segoe UI" w:eastAsia="Times New Roman" w:hAnsi="Segoe UI" w:cs="Segoe UI"/>
                      <w:kern w:val="0"/>
                      <w:szCs w:val="24"/>
                      <w:lang w:eastAsia="es-CO"/>
                      <w14:ligatures w14:val="none"/>
                    </w:rPr>
                  </w:pPr>
                </w:p>
              </w:tc>
            </w:tr>
          </w:tbl>
          <w:p w14:paraId="0CC050E7" w14:textId="77777777" w:rsidR="00F978D5" w:rsidRPr="00F978D5" w:rsidRDefault="00F978D5" w:rsidP="00F978D5">
            <w:pPr>
              <w:spacing w:after="0" w:line="360" w:lineRule="auto"/>
              <w:rPr>
                <w:rFonts w:eastAsia="Times New Roman" w:cs="Times New Roman"/>
                <w:kern w:val="0"/>
                <w:szCs w:val="24"/>
                <w:lang w:eastAsia="es-CO"/>
                <w14:ligatures w14:val="none"/>
              </w:rPr>
            </w:pPr>
          </w:p>
        </w:tc>
      </w:tr>
    </w:tbl>
    <w:p w14:paraId="2F21F436" w14:textId="77777777" w:rsidR="00F978D5" w:rsidRPr="00F978D5" w:rsidRDefault="00F978D5" w:rsidP="00F978D5">
      <w:pPr>
        <w:spacing w:after="0" w:line="360" w:lineRule="auto"/>
        <w:rPr>
          <w:rFonts w:eastAsia="Times New Roman" w:cs="Times New Roman"/>
          <w:vanish/>
          <w:kern w:val="0"/>
          <w:szCs w:val="24"/>
          <w:lang w:eastAsia="es-CO"/>
          <w14:ligatures w14:val="none"/>
        </w:rPr>
      </w:pPr>
    </w:p>
    <w:tbl>
      <w:tblPr>
        <w:tblW w:w="0" w:type="auto"/>
        <w:tblCellSpacing w:w="0" w:type="dxa"/>
        <w:tblInd w:w="120" w:type="dxa"/>
        <w:tblCellMar>
          <w:left w:w="0" w:type="dxa"/>
          <w:right w:w="0" w:type="dxa"/>
        </w:tblCellMar>
        <w:tblLook w:val="04A0" w:firstRow="1" w:lastRow="0" w:firstColumn="1" w:lastColumn="0" w:noHBand="0" w:noVBand="1"/>
      </w:tblPr>
      <w:tblGrid>
        <w:gridCol w:w="120"/>
      </w:tblGrid>
      <w:tr w:rsidR="00F978D5" w:rsidRPr="00F978D5" w14:paraId="09CCF30A" w14:textId="77777777" w:rsidTr="00F978D5">
        <w:trPr>
          <w:trHeight w:val="555"/>
          <w:tblCellSpacing w:w="0" w:type="dxa"/>
        </w:trPr>
        <w:tc>
          <w:tcPr>
            <w:tcW w:w="20" w:type="dxa"/>
            <w:shd w:val="clear" w:color="auto" w:fill="FFFFFF"/>
            <w:hideMark/>
          </w:tcPr>
          <w:p w14:paraId="44A27C94" w14:textId="77777777" w:rsidR="00F978D5" w:rsidRPr="00F978D5" w:rsidRDefault="00F978D5" w:rsidP="00F978D5">
            <w:pPr>
              <w:spacing w:after="0" w:line="360" w:lineRule="auto"/>
              <w:rPr>
                <w:rFonts w:ascii="Segoe UI" w:eastAsia="Times New Roman" w:hAnsi="Segoe UI" w:cs="Segoe UI"/>
                <w:color w:val="000000"/>
                <w:kern w:val="0"/>
                <w:szCs w:val="24"/>
                <w:lang w:eastAsia="es-CO"/>
                <w14:ligatures w14:val="none"/>
              </w:rPr>
            </w:pPr>
            <w:r w:rsidRPr="00F978D5">
              <w:rPr>
                <w:rFonts w:ascii="Segoe UI" w:eastAsia="Times New Roman" w:hAnsi="Segoe UI" w:cs="Segoe UI"/>
                <w:noProof/>
                <w:color w:val="000000"/>
                <w:kern w:val="0"/>
                <w:szCs w:val="24"/>
                <w:lang w:eastAsia="es-CO"/>
                <w14:ligatures w14:val="none"/>
              </w:rPr>
              <w:drawing>
                <wp:inline distT="0" distB="0" distL="0" distR="0" wp14:anchorId="16948B92" wp14:editId="5BBB17B6">
                  <wp:extent cx="76200" cy="9525"/>
                  <wp:effectExtent l="0" t="0" r="0" b="0"/>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6200" cy="9525"/>
                          </a:xfrm>
                          <a:prstGeom prst="rect">
                            <a:avLst/>
                          </a:prstGeom>
                          <a:noFill/>
                          <a:ln>
                            <a:noFill/>
                          </a:ln>
                        </pic:spPr>
                      </pic:pic>
                    </a:graphicData>
                  </a:graphic>
                </wp:inline>
              </w:drawing>
            </w:r>
          </w:p>
          <w:p w14:paraId="2892261D" w14:textId="77777777" w:rsidR="00F978D5" w:rsidRPr="00F978D5" w:rsidRDefault="00F978D5" w:rsidP="00F978D5">
            <w:pPr>
              <w:spacing w:after="0" w:line="360" w:lineRule="auto"/>
              <w:rPr>
                <w:rFonts w:eastAsia="Times New Roman" w:cs="Times New Roman"/>
                <w:kern w:val="0"/>
                <w:szCs w:val="24"/>
                <w:lang w:eastAsia="es-CO"/>
                <w14:ligatures w14:val="none"/>
              </w:rPr>
            </w:pPr>
            <w:r w:rsidRPr="00F978D5">
              <w:rPr>
                <w:rFonts w:eastAsia="Times New Roman" w:cs="Times New Roman"/>
                <w:kern w:val="0"/>
                <w:szCs w:val="24"/>
                <w:lang w:eastAsia="es-CO"/>
                <w14:ligatures w14:val="none"/>
              </w:rPr>
              <w:br/>
            </w:r>
          </w:p>
        </w:tc>
      </w:tr>
    </w:tbl>
    <w:p w14:paraId="3D7BFA34" w14:textId="77777777" w:rsidR="00F978D5" w:rsidRPr="00F978D5" w:rsidRDefault="00F978D5" w:rsidP="00F978D5">
      <w:pPr>
        <w:spacing w:line="360" w:lineRule="auto"/>
        <w:rPr>
          <w:szCs w:val="24"/>
        </w:rPr>
      </w:pPr>
    </w:p>
    <w:sectPr w:rsidR="00F978D5" w:rsidRPr="00F978D5"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78D5"/>
    <w:rsid w:val="000E1A48"/>
    <w:rsid w:val="000F3837"/>
    <w:rsid w:val="001E311E"/>
    <w:rsid w:val="00434AE6"/>
    <w:rsid w:val="005D25EE"/>
    <w:rsid w:val="007F5CC8"/>
    <w:rsid w:val="008779BE"/>
    <w:rsid w:val="008C2E57"/>
    <w:rsid w:val="00EB5ADB"/>
    <w:rsid w:val="00F978D5"/>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29575B"/>
  <w15:chartTrackingRefBased/>
  <w15:docId w15:val="{7ED9CAF6-37F1-4E78-828D-FF3281B788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kern w:val="2"/>
        <w:sz w:val="24"/>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F978D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978D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978D5"/>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978D5"/>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tulo5">
    <w:name w:val="heading 5"/>
    <w:basedOn w:val="Normal"/>
    <w:next w:val="Normal"/>
    <w:link w:val="Ttulo5Car"/>
    <w:uiPriority w:val="9"/>
    <w:semiHidden/>
    <w:unhideWhenUsed/>
    <w:qFormat/>
    <w:rsid w:val="00F978D5"/>
    <w:pPr>
      <w:keepNext/>
      <w:keepLines/>
      <w:spacing w:before="80" w:after="40"/>
      <w:outlineLvl w:val="4"/>
    </w:pPr>
    <w:rPr>
      <w:rFonts w:asciiTheme="minorHAnsi" w:eastAsiaTheme="majorEastAsia" w:hAnsiTheme="minorHAnsi" w:cstheme="majorBidi"/>
      <w:color w:val="0F4761" w:themeColor="accent1" w:themeShade="BF"/>
    </w:rPr>
  </w:style>
  <w:style w:type="paragraph" w:styleId="Ttulo6">
    <w:name w:val="heading 6"/>
    <w:basedOn w:val="Normal"/>
    <w:next w:val="Normal"/>
    <w:link w:val="Ttulo6Car"/>
    <w:uiPriority w:val="9"/>
    <w:semiHidden/>
    <w:unhideWhenUsed/>
    <w:qFormat/>
    <w:rsid w:val="00F978D5"/>
    <w:pPr>
      <w:keepNext/>
      <w:keepLines/>
      <w:spacing w:before="40" w:after="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ar"/>
    <w:uiPriority w:val="9"/>
    <w:semiHidden/>
    <w:unhideWhenUsed/>
    <w:qFormat/>
    <w:rsid w:val="00F978D5"/>
    <w:pPr>
      <w:keepNext/>
      <w:keepLines/>
      <w:spacing w:before="40" w:after="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ar"/>
    <w:uiPriority w:val="9"/>
    <w:semiHidden/>
    <w:unhideWhenUsed/>
    <w:qFormat/>
    <w:rsid w:val="00F978D5"/>
    <w:pPr>
      <w:keepNext/>
      <w:keepLines/>
      <w:spacing w:after="0"/>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ar"/>
    <w:uiPriority w:val="9"/>
    <w:semiHidden/>
    <w:unhideWhenUsed/>
    <w:qFormat/>
    <w:rsid w:val="00F978D5"/>
    <w:pPr>
      <w:keepNext/>
      <w:keepLines/>
      <w:spacing w:after="0"/>
      <w:outlineLvl w:val="8"/>
    </w:pPr>
    <w:rPr>
      <w:rFonts w:asciiTheme="minorHAnsi" w:eastAsiaTheme="majorEastAsia" w:hAnsiTheme="minorHAnsi"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978D5"/>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978D5"/>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978D5"/>
    <w:rPr>
      <w:rFonts w:asciiTheme="minorHAnsi" w:eastAsiaTheme="majorEastAsia" w:hAnsiTheme="minorHAnsi"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978D5"/>
    <w:rPr>
      <w:rFonts w:asciiTheme="minorHAnsi" w:eastAsiaTheme="majorEastAsia" w:hAnsiTheme="minorHAnsi" w:cstheme="majorBidi"/>
      <w:i/>
      <w:iCs/>
      <w:color w:val="0F4761" w:themeColor="accent1" w:themeShade="BF"/>
    </w:rPr>
  </w:style>
  <w:style w:type="character" w:customStyle="1" w:styleId="Ttulo5Car">
    <w:name w:val="Título 5 Car"/>
    <w:basedOn w:val="Fuentedeprrafopredeter"/>
    <w:link w:val="Ttulo5"/>
    <w:uiPriority w:val="9"/>
    <w:semiHidden/>
    <w:rsid w:val="00F978D5"/>
    <w:rPr>
      <w:rFonts w:asciiTheme="minorHAnsi" w:eastAsiaTheme="majorEastAsia" w:hAnsiTheme="minorHAnsi" w:cstheme="majorBidi"/>
      <w:color w:val="0F4761" w:themeColor="accent1" w:themeShade="BF"/>
    </w:rPr>
  </w:style>
  <w:style w:type="character" w:customStyle="1" w:styleId="Ttulo6Car">
    <w:name w:val="Título 6 Car"/>
    <w:basedOn w:val="Fuentedeprrafopredeter"/>
    <w:link w:val="Ttulo6"/>
    <w:uiPriority w:val="9"/>
    <w:semiHidden/>
    <w:rsid w:val="00F978D5"/>
    <w:rPr>
      <w:rFonts w:asciiTheme="minorHAnsi" w:eastAsiaTheme="majorEastAsia" w:hAnsiTheme="minorHAnsi" w:cstheme="majorBidi"/>
      <w:i/>
      <w:iCs/>
      <w:color w:val="595959" w:themeColor="text1" w:themeTint="A6"/>
    </w:rPr>
  </w:style>
  <w:style w:type="character" w:customStyle="1" w:styleId="Ttulo7Car">
    <w:name w:val="Título 7 Car"/>
    <w:basedOn w:val="Fuentedeprrafopredeter"/>
    <w:link w:val="Ttulo7"/>
    <w:uiPriority w:val="9"/>
    <w:semiHidden/>
    <w:rsid w:val="00F978D5"/>
    <w:rPr>
      <w:rFonts w:asciiTheme="minorHAnsi" w:eastAsiaTheme="majorEastAsia" w:hAnsiTheme="minorHAnsi" w:cstheme="majorBidi"/>
      <w:color w:val="595959" w:themeColor="text1" w:themeTint="A6"/>
    </w:rPr>
  </w:style>
  <w:style w:type="character" w:customStyle="1" w:styleId="Ttulo8Car">
    <w:name w:val="Título 8 Car"/>
    <w:basedOn w:val="Fuentedeprrafopredeter"/>
    <w:link w:val="Ttulo8"/>
    <w:uiPriority w:val="9"/>
    <w:semiHidden/>
    <w:rsid w:val="00F978D5"/>
    <w:rPr>
      <w:rFonts w:asciiTheme="minorHAnsi" w:eastAsiaTheme="majorEastAsia" w:hAnsiTheme="minorHAnsi" w:cstheme="majorBidi"/>
      <w:i/>
      <w:iCs/>
      <w:color w:val="272727" w:themeColor="text1" w:themeTint="D8"/>
    </w:rPr>
  </w:style>
  <w:style w:type="character" w:customStyle="1" w:styleId="Ttulo9Car">
    <w:name w:val="Título 9 Car"/>
    <w:basedOn w:val="Fuentedeprrafopredeter"/>
    <w:link w:val="Ttulo9"/>
    <w:uiPriority w:val="9"/>
    <w:semiHidden/>
    <w:rsid w:val="00F978D5"/>
    <w:rPr>
      <w:rFonts w:asciiTheme="minorHAnsi" w:eastAsiaTheme="majorEastAsia" w:hAnsiTheme="minorHAnsi" w:cstheme="majorBidi"/>
      <w:color w:val="272727" w:themeColor="text1" w:themeTint="D8"/>
    </w:rPr>
  </w:style>
  <w:style w:type="paragraph" w:styleId="Ttulo">
    <w:name w:val="Title"/>
    <w:basedOn w:val="Normal"/>
    <w:next w:val="Normal"/>
    <w:link w:val="TtuloCar"/>
    <w:uiPriority w:val="10"/>
    <w:qFormat/>
    <w:rsid w:val="00F978D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978D5"/>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978D5"/>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978D5"/>
    <w:rPr>
      <w:rFonts w:asciiTheme="minorHAnsi" w:eastAsiaTheme="majorEastAsia" w:hAnsiTheme="minorHAnsi" w:cstheme="majorBidi"/>
      <w:color w:val="595959" w:themeColor="text1" w:themeTint="A6"/>
      <w:spacing w:val="15"/>
      <w:sz w:val="28"/>
      <w:szCs w:val="28"/>
    </w:rPr>
  </w:style>
  <w:style w:type="paragraph" w:styleId="Cita">
    <w:name w:val="Quote"/>
    <w:basedOn w:val="Normal"/>
    <w:next w:val="Normal"/>
    <w:link w:val="CitaCar"/>
    <w:uiPriority w:val="29"/>
    <w:qFormat/>
    <w:rsid w:val="00F978D5"/>
    <w:pPr>
      <w:spacing w:before="160"/>
      <w:jc w:val="center"/>
    </w:pPr>
    <w:rPr>
      <w:i/>
      <w:iCs/>
      <w:color w:val="404040" w:themeColor="text1" w:themeTint="BF"/>
    </w:rPr>
  </w:style>
  <w:style w:type="character" w:customStyle="1" w:styleId="CitaCar">
    <w:name w:val="Cita Car"/>
    <w:basedOn w:val="Fuentedeprrafopredeter"/>
    <w:link w:val="Cita"/>
    <w:uiPriority w:val="29"/>
    <w:rsid w:val="00F978D5"/>
    <w:rPr>
      <w:i/>
      <w:iCs/>
      <w:color w:val="404040" w:themeColor="text1" w:themeTint="BF"/>
    </w:rPr>
  </w:style>
  <w:style w:type="paragraph" w:styleId="Prrafodelista">
    <w:name w:val="List Paragraph"/>
    <w:basedOn w:val="Normal"/>
    <w:uiPriority w:val="34"/>
    <w:qFormat/>
    <w:rsid w:val="00F978D5"/>
    <w:pPr>
      <w:ind w:left="720"/>
      <w:contextualSpacing/>
    </w:pPr>
  </w:style>
  <w:style w:type="character" w:styleId="nfasisintenso">
    <w:name w:val="Intense Emphasis"/>
    <w:basedOn w:val="Fuentedeprrafopredeter"/>
    <w:uiPriority w:val="21"/>
    <w:qFormat/>
    <w:rsid w:val="00F978D5"/>
    <w:rPr>
      <w:i/>
      <w:iCs/>
      <w:color w:val="0F4761" w:themeColor="accent1" w:themeShade="BF"/>
    </w:rPr>
  </w:style>
  <w:style w:type="paragraph" w:styleId="Citadestacada">
    <w:name w:val="Intense Quote"/>
    <w:basedOn w:val="Normal"/>
    <w:next w:val="Normal"/>
    <w:link w:val="CitadestacadaCar"/>
    <w:uiPriority w:val="30"/>
    <w:qFormat/>
    <w:rsid w:val="00F978D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978D5"/>
    <w:rPr>
      <w:i/>
      <w:iCs/>
      <w:color w:val="0F4761" w:themeColor="accent1" w:themeShade="BF"/>
    </w:rPr>
  </w:style>
  <w:style w:type="character" w:styleId="Referenciaintensa">
    <w:name w:val="Intense Reference"/>
    <w:basedOn w:val="Fuentedeprrafopredeter"/>
    <w:uiPriority w:val="32"/>
    <w:qFormat/>
    <w:rsid w:val="00F978D5"/>
    <w:rPr>
      <w:b/>
      <w:bCs/>
      <w:smallCaps/>
      <w:color w:val="0F4761" w:themeColor="accent1" w:themeShade="BF"/>
      <w:spacing w:val="5"/>
    </w:rPr>
  </w:style>
  <w:style w:type="paragraph" w:styleId="NormalWeb">
    <w:name w:val="Normal (Web)"/>
    <w:basedOn w:val="Normal"/>
    <w:uiPriority w:val="99"/>
    <w:unhideWhenUsed/>
    <w:rsid w:val="00F978D5"/>
    <w:pPr>
      <w:spacing w:before="100" w:beforeAutospacing="1" w:after="100" w:afterAutospacing="1" w:line="240" w:lineRule="auto"/>
    </w:pPr>
    <w:rPr>
      <w:rFonts w:eastAsia="Times New Roman" w:cs="Times New Roman"/>
      <w:kern w:val="0"/>
      <w:szCs w:val="24"/>
      <w:lang w:eastAsia="es-C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8558502">
      <w:bodyDiv w:val="1"/>
      <w:marLeft w:val="0"/>
      <w:marRight w:val="0"/>
      <w:marTop w:val="0"/>
      <w:marBottom w:val="0"/>
      <w:divBdr>
        <w:top w:val="none" w:sz="0" w:space="0" w:color="auto"/>
        <w:left w:val="none" w:sz="0" w:space="0" w:color="auto"/>
        <w:bottom w:val="none" w:sz="0" w:space="0" w:color="auto"/>
        <w:right w:val="none" w:sz="0" w:space="0" w:color="auto"/>
      </w:divBdr>
    </w:div>
    <w:div w:id="1292132321">
      <w:bodyDiv w:val="1"/>
      <w:marLeft w:val="0"/>
      <w:marRight w:val="0"/>
      <w:marTop w:val="0"/>
      <w:marBottom w:val="0"/>
      <w:divBdr>
        <w:top w:val="none" w:sz="0" w:space="0" w:color="auto"/>
        <w:left w:val="none" w:sz="0" w:space="0" w:color="auto"/>
        <w:bottom w:val="none" w:sz="0" w:space="0" w:color="auto"/>
        <w:right w:val="none" w:sz="0" w:space="0" w:color="auto"/>
      </w:divBdr>
    </w:div>
    <w:div w:id="1418208982">
      <w:bodyDiv w:val="1"/>
      <w:marLeft w:val="0"/>
      <w:marRight w:val="0"/>
      <w:marTop w:val="0"/>
      <w:marBottom w:val="0"/>
      <w:divBdr>
        <w:top w:val="none" w:sz="0" w:space="0" w:color="auto"/>
        <w:left w:val="none" w:sz="0" w:space="0" w:color="auto"/>
        <w:bottom w:val="none" w:sz="0" w:space="0" w:color="auto"/>
        <w:right w:val="none" w:sz="0" w:space="0" w:color="auto"/>
      </w:divBdr>
    </w:div>
    <w:div w:id="1839423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1687</Words>
  <Characters>9281</Characters>
  <Application>Microsoft Office Word</Application>
  <DocSecurity>0</DocSecurity>
  <Lines>77</Lines>
  <Paragraphs>21</Paragraphs>
  <ScaleCrop>false</ScaleCrop>
  <Company/>
  <LinksUpToDate>false</LinksUpToDate>
  <CharactersWithSpaces>10947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1</cp:revision>
  <dcterms:created xsi:type="dcterms:W3CDTF">2025-01-19T15:17:00Z</dcterms:created>
  <dcterms:modified xsi:type="dcterms:W3CDTF">2025-01-19T15:23:00Z</dcterms:modified>
</cp:coreProperties>
</file>