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9287E2" w14:textId="77777777" w:rsidR="00F41A5F" w:rsidRPr="0057227C" w:rsidRDefault="00F41A5F" w:rsidP="00F41A5F">
      <w:pPr>
        <w:spacing w:after="0" w:line="480" w:lineRule="atLeast"/>
        <w:jc w:val="center"/>
        <w:rPr>
          <w:rFonts w:ascii="Century Gothic" w:eastAsia="Times New Roman" w:hAnsi="Century Gothic" w:cs="Times New Roman"/>
          <w:spacing w:val="2"/>
          <w:kern w:val="0"/>
          <w:sz w:val="27"/>
          <w:szCs w:val="27"/>
          <w:lang w:eastAsia="es-CO"/>
          <w14:ligatures w14:val="none"/>
        </w:rPr>
      </w:pPr>
      <w:r w:rsidRPr="0057227C">
        <w:rPr>
          <w:rFonts w:ascii="Century Gothic" w:eastAsia="Times New Roman" w:hAnsi="Century Gothic" w:cs="Times New Roman"/>
          <w:b/>
          <w:bCs/>
          <w:spacing w:val="2"/>
          <w:kern w:val="0"/>
          <w:sz w:val="36"/>
          <w:szCs w:val="36"/>
          <w:lang w:eastAsia="es-CO"/>
          <w14:ligatures w14:val="none"/>
        </w:rPr>
        <w:t>OFICIO 908323 DE 2021</w:t>
      </w:r>
    </w:p>
    <w:p w14:paraId="7D73D5D2" w14:textId="77777777" w:rsidR="00F41A5F" w:rsidRPr="0057227C" w:rsidRDefault="00F41A5F" w:rsidP="00F41A5F">
      <w:pPr>
        <w:spacing w:after="240" w:line="480" w:lineRule="atLeast"/>
        <w:jc w:val="center"/>
        <w:rPr>
          <w:rFonts w:ascii="Century Gothic" w:eastAsia="Times New Roman" w:hAnsi="Century Gothic" w:cs="Times New Roman"/>
          <w:spacing w:val="2"/>
          <w:kern w:val="0"/>
          <w:sz w:val="27"/>
          <w:szCs w:val="27"/>
          <w:lang w:eastAsia="es-CO"/>
          <w14:ligatures w14:val="none"/>
        </w:rPr>
      </w:pPr>
      <w:r w:rsidRPr="0057227C">
        <w:rPr>
          <w:rFonts w:ascii="Century Gothic" w:eastAsia="Times New Roman" w:hAnsi="Century Gothic" w:cs="Times New Roman"/>
          <w:spacing w:val="2"/>
          <w:kern w:val="0"/>
          <w:sz w:val="27"/>
          <w:szCs w:val="27"/>
          <w:lang w:eastAsia="es-CO"/>
          <w14:ligatures w14:val="none"/>
        </w:rPr>
        <w:t>(agosto 18)</w:t>
      </w:r>
    </w:p>
    <w:p w14:paraId="5FDEC8A2" w14:textId="77777777" w:rsidR="00F41A5F" w:rsidRPr="0057227C" w:rsidRDefault="00F41A5F" w:rsidP="00F41A5F">
      <w:pPr>
        <w:spacing w:after="240" w:line="480" w:lineRule="atLeast"/>
        <w:jc w:val="center"/>
        <w:rPr>
          <w:rFonts w:ascii="Century Gothic" w:eastAsia="Times New Roman" w:hAnsi="Century Gothic" w:cs="Times New Roman"/>
          <w:spacing w:val="2"/>
          <w:kern w:val="0"/>
          <w:sz w:val="27"/>
          <w:szCs w:val="27"/>
          <w:lang w:eastAsia="es-CO"/>
          <w14:ligatures w14:val="none"/>
        </w:rPr>
      </w:pPr>
      <w:r w:rsidRPr="0057227C">
        <w:rPr>
          <w:rFonts w:ascii="Century Gothic" w:eastAsia="Times New Roman" w:hAnsi="Century Gothic" w:cs="Times New Roman"/>
          <w:spacing w:val="2"/>
          <w:kern w:val="0"/>
          <w:sz w:val="27"/>
          <w:szCs w:val="27"/>
          <w:lang w:eastAsia="es-CO"/>
          <w14:ligatures w14:val="none"/>
        </w:rPr>
        <w:t>&lt;Fuente: Archivo interno entidad emisora&gt;</w:t>
      </w:r>
    </w:p>
    <w:p w14:paraId="00C3C5B3" w14:textId="77777777" w:rsidR="00F41A5F" w:rsidRPr="0057227C" w:rsidRDefault="00F41A5F" w:rsidP="00F41A5F">
      <w:pPr>
        <w:spacing w:after="0" w:line="480" w:lineRule="atLeast"/>
        <w:jc w:val="center"/>
        <w:rPr>
          <w:rFonts w:ascii="Century Gothic" w:eastAsia="Times New Roman" w:hAnsi="Century Gothic" w:cs="Times New Roman"/>
          <w:spacing w:val="2"/>
          <w:kern w:val="0"/>
          <w:sz w:val="27"/>
          <w:szCs w:val="27"/>
          <w:lang w:eastAsia="es-CO"/>
          <w14:ligatures w14:val="none"/>
        </w:rPr>
      </w:pPr>
      <w:r w:rsidRPr="0057227C">
        <w:rPr>
          <w:rFonts w:ascii="Century Gothic" w:eastAsia="Times New Roman" w:hAnsi="Century Gothic" w:cs="Times New Roman"/>
          <w:b/>
          <w:bCs/>
          <w:spacing w:val="2"/>
          <w:kern w:val="0"/>
          <w:sz w:val="27"/>
          <w:szCs w:val="27"/>
          <w:lang w:eastAsia="es-CO"/>
          <w14:ligatures w14:val="none"/>
        </w:rPr>
        <w:t>DIRECCIÓN DE IMPUESTOS Y ADUANAS NACIONALES</w:t>
      </w:r>
    </w:p>
    <w:p w14:paraId="71840525" w14:textId="77777777" w:rsidR="00F41A5F" w:rsidRPr="0057227C" w:rsidRDefault="00F41A5F" w:rsidP="00F41A5F">
      <w:pPr>
        <w:spacing w:after="240" w:line="480" w:lineRule="atLeast"/>
        <w:jc w:val="both"/>
        <w:rPr>
          <w:rFonts w:ascii="Century Gothic" w:eastAsia="Times New Roman" w:hAnsi="Century Gothic" w:cs="Times New Roman"/>
          <w:spacing w:val="2"/>
          <w:kern w:val="0"/>
          <w:sz w:val="27"/>
          <w:szCs w:val="27"/>
          <w:lang w:eastAsia="es-CO"/>
          <w14:ligatures w14:val="none"/>
        </w:rPr>
      </w:pPr>
      <w:r w:rsidRPr="0057227C">
        <w:rPr>
          <w:rFonts w:ascii="Century Gothic" w:eastAsia="Times New Roman" w:hAnsi="Century Gothic" w:cs="Times New Roman"/>
          <w:spacing w:val="2"/>
          <w:kern w:val="0"/>
          <w:sz w:val="27"/>
          <w:szCs w:val="27"/>
          <w:lang w:eastAsia="es-CO"/>
          <w14:ligatures w14:val="none"/>
        </w:rPr>
        <w:t>RAD: 908323</w:t>
      </w:r>
    </w:p>
    <w:p w14:paraId="70C64138" w14:textId="77777777" w:rsidR="00F41A5F" w:rsidRPr="0057227C" w:rsidRDefault="00F41A5F" w:rsidP="00F41A5F">
      <w:pPr>
        <w:spacing w:after="240" w:line="480" w:lineRule="atLeast"/>
        <w:jc w:val="both"/>
        <w:rPr>
          <w:rFonts w:ascii="Century Gothic" w:eastAsia="Times New Roman" w:hAnsi="Century Gothic" w:cs="Times New Roman"/>
          <w:spacing w:val="2"/>
          <w:kern w:val="0"/>
          <w:sz w:val="27"/>
          <w:szCs w:val="27"/>
          <w:lang w:eastAsia="es-CO"/>
          <w14:ligatures w14:val="none"/>
        </w:rPr>
      </w:pPr>
      <w:r w:rsidRPr="0057227C">
        <w:rPr>
          <w:rFonts w:ascii="Century Gothic" w:eastAsia="Times New Roman" w:hAnsi="Century Gothic" w:cs="Times New Roman"/>
          <w:spacing w:val="2"/>
          <w:kern w:val="0"/>
          <w:sz w:val="27"/>
          <w:szCs w:val="27"/>
          <w:lang w:eastAsia="es-CO"/>
          <w14:ligatures w14:val="none"/>
        </w:rPr>
        <w:t>100208221-1316</w:t>
      </w:r>
    </w:p>
    <w:p w14:paraId="00C0F291" w14:textId="77777777" w:rsidR="00F41A5F" w:rsidRPr="0057227C" w:rsidRDefault="00F41A5F" w:rsidP="00F41A5F">
      <w:pPr>
        <w:spacing w:after="0" w:line="480" w:lineRule="atLeast"/>
        <w:jc w:val="both"/>
        <w:rPr>
          <w:rFonts w:ascii="Century Gothic" w:eastAsia="Times New Roman" w:hAnsi="Century Gothic" w:cs="Times New Roman"/>
          <w:spacing w:val="2"/>
          <w:kern w:val="0"/>
          <w:sz w:val="27"/>
          <w:szCs w:val="27"/>
          <w:lang w:eastAsia="es-CO"/>
          <w14:ligatures w14:val="none"/>
        </w:rPr>
      </w:pPr>
      <w:r w:rsidRPr="0057227C">
        <w:rPr>
          <w:rFonts w:ascii="Century Gothic" w:eastAsia="Times New Roman" w:hAnsi="Century Gothic" w:cs="Times New Roman"/>
          <w:spacing w:val="2"/>
          <w:kern w:val="0"/>
          <w:sz w:val="27"/>
          <w:szCs w:val="27"/>
          <w:lang w:eastAsia="es-CO"/>
          <w14:ligatures w14:val="none"/>
        </w:rPr>
        <w:t>Bogotá, D.C. </w:t>
      </w:r>
      <w:r w:rsidRPr="0057227C">
        <w:rPr>
          <w:rFonts w:ascii="Century Gothic" w:eastAsia="Times New Roman" w:hAnsi="Century Gothic" w:cs="Times New Roman"/>
          <w:b/>
          <w:bCs/>
          <w:spacing w:val="2"/>
          <w:kern w:val="0"/>
          <w:sz w:val="27"/>
          <w:szCs w:val="27"/>
          <w:lang w:eastAsia="es-CO"/>
          <w14:ligatures w14:val="none"/>
        </w:rPr>
        <w:t>18/08/2021</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084"/>
        <w:gridCol w:w="7272"/>
      </w:tblGrid>
      <w:tr w:rsidR="00F41A5F" w:rsidRPr="0057227C" w14:paraId="5433702B" w14:textId="77777777" w:rsidTr="00F41A5F">
        <w:trPr>
          <w:tblCellSpacing w:w="15" w:type="dxa"/>
        </w:trPr>
        <w:tc>
          <w:tcPr>
            <w:tcW w:w="1100" w:type="pct"/>
            <w:tcBorders>
              <w:top w:val="nil"/>
              <w:left w:val="nil"/>
              <w:bottom w:val="nil"/>
              <w:right w:val="nil"/>
            </w:tcBorders>
            <w:tcMar>
              <w:top w:w="0" w:type="dxa"/>
              <w:left w:w="0" w:type="dxa"/>
              <w:bottom w:w="0" w:type="dxa"/>
              <w:right w:w="0" w:type="dxa"/>
            </w:tcMar>
            <w:hideMark/>
          </w:tcPr>
          <w:p w14:paraId="0526437A" w14:textId="77777777" w:rsidR="00F41A5F" w:rsidRPr="0057227C" w:rsidRDefault="00F41A5F" w:rsidP="00F41A5F">
            <w:pPr>
              <w:spacing w:after="0" w:line="245" w:lineRule="atLeast"/>
              <w:jc w:val="both"/>
              <w:rPr>
                <w:rFonts w:ascii="Century Gothic" w:eastAsia="Times New Roman" w:hAnsi="Century Gothic" w:cs="Times New Roman"/>
                <w:spacing w:val="2"/>
                <w:kern w:val="0"/>
                <w:szCs w:val="24"/>
                <w:lang w:eastAsia="es-CO"/>
                <w14:ligatures w14:val="none"/>
              </w:rPr>
            </w:pPr>
            <w:r w:rsidRPr="0057227C">
              <w:rPr>
                <w:rFonts w:ascii="Century Gothic" w:eastAsia="Times New Roman" w:hAnsi="Century Gothic" w:cs="Times New Roman"/>
                <w:spacing w:val="2"/>
                <w:kern w:val="0"/>
                <w:szCs w:val="24"/>
                <w:lang w:eastAsia="es-CO"/>
                <w14:ligatures w14:val="none"/>
              </w:rPr>
              <w:t>Tema</w:t>
            </w:r>
          </w:p>
        </w:tc>
        <w:tc>
          <w:tcPr>
            <w:tcW w:w="3900" w:type="pct"/>
            <w:tcBorders>
              <w:top w:val="nil"/>
              <w:left w:val="nil"/>
              <w:bottom w:val="nil"/>
              <w:right w:val="nil"/>
            </w:tcBorders>
            <w:tcMar>
              <w:top w:w="0" w:type="dxa"/>
              <w:left w:w="0" w:type="dxa"/>
              <w:bottom w:w="0" w:type="dxa"/>
              <w:right w:w="0" w:type="dxa"/>
            </w:tcMar>
            <w:hideMark/>
          </w:tcPr>
          <w:p w14:paraId="27F74589" w14:textId="77777777" w:rsidR="00F41A5F" w:rsidRPr="0057227C" w:rsidRDefault="00F41A5F" w:rsidP="00F41A5F">
            <w:pPr>
              <w:spacing w:after="0" w:line="245" w:lineRule="atLeast"/>
              <w:jc w:val="both"/>
              <w:rPr>
                <w:rFonts w:ascii="Century Gothic" w:eastAsia="Times New Roman" w:hAnsi="Century Gothic" w:cs="Times New Roman"/>
                <w:spacing w:val="2"/>
                <w:kern w:val="0"/>
                <w:szCs w:val="24"/>
                <w:lang w:eastAsia="es-CO"/>
                <w14:ligatures w14:val="none"/>
              </w:rPr>
            </w:pPr>
            <w:r w:rsidRPr="0057227C">
              <w:rPr>
                <w:rFonts w:ascii="Century Gothic" w:eastAsia="Times New Roman" w:hAnsi="Century Gothic" w:cs="Times New Roman"/>
                <w:spacing w:val="2"/>
                <w:kern w:val="0"/>
                <w:szCs w:val="24"/>
                <w:lang w:eastAsia="es-CO"/>
                <w14:ligatures w14:val="none"/>
              </w:rPr>
              <w:t>Procedimiento tributario</w:t>
            </w:r>
          </w:p>
        </w:tc>
      </w:tr>
      <w:tr w:rsidR="00F41A5F" w:rsidRPr="0057227C" w14:paraId="4B38C141" w14:textId="77777777" w:rsidTr="00F41A5F">
        <w:trPr>
          <w:tblCellSpacing w:w="15" w:type="dxa"/>
        </w:trPr>
        <w:tc>
          <w:tcPr>
            <w:tcW w:w="1100" w:type="pct"/>
            <w:tcBorders>
              <w:top w:val="nil"/>
              <w:left w:val="nil"/>
              <w:bottom w:val="nil"/>
              <w:right w:val="nil"/>
            </w:tcBorders>
            <w:tcMar>
              <w:top w:w="0" w:type="dxa"/>
              <w:left w:w="0" w:type="dxa"/>
              <w:bottom w:w="0" w:type="dxa"/>
              <w:right w:w="0" w:type="dxa"/>
            </w:tcMar>
            <w:hideMark/>
          </w:tcPr>
          <w:p w14:paraId="5463028A" w14:textId="77777777" w:rsidR="00F41A5F" w:rsidRPr="0057227C" w:rsidRDefault="00F41A5F" w:rsidP="00F41A5F">
            <w:pPr>
              <w:spacing w:after="0" w:line="245" w:lineRule="atLeast"/>
              <w:jc w:val="both"/>
              <w:rPr>
                <w:rFonts w:ascii="Century Gothic" w:eastAsia="Times New Roman" w:hAnsi="Century Gothic" w:cs="Times New Roman"/>
                <w:spacing w:val="2"/>
                <w:kern w:val="0"/>
                <w:szCs w:val="24"/>
                <w:lang w:eastAsia="es-CO"/>
                <w14:ligatures w14:val="none"/>
              </w:rPr>
            </w:pPr>
            <w:r w:rsidRPr="0057227C">
              <w:rPr>
                <w:rFonts w:ascii="Century Gothic" w:eastAsia="Times New Roman" w:hAnsi="Century Gothic" w:cs="Times New Roman"/>
                <w:spacing w:val="2"/>
                <w:kern w:val="0"/>
                <w:szCs w:val="24"/>
                <w:lang w:eastAsia="es-CO"/>
                <w14:ligatures w14:val="none"/>
              </w:rPr>
              <w:t>Descriptores</w:t>
            </w:r>
          </w:p>
        </w:tc>
        <w:tc>
          <w:tcPr>
            <w:tcW w:w="3900" w:type="pct"/>
            <w:tcBorders>
              <w:top w:val="nil"/>
              <w:left w:val="nil"/>
              <w:bottom w:val="nil"/>
              <w:right w:val="nil"/>
            </w:tcBorders>
            <w:tcMar>
              <w:top w:w="0" w:type="dxa"/>
              <w:left w:w="0" w:type="dxa"/>
              <w:bottom w:w="0" w:type="dxa"/>
              <w:right w:w="0" w:type="dxa"/>
            </w:tcMar>
            <w:hideMark/>
          </w:tcPr>
          <w:p w14:paraId="75655347" w14:textId="77777777" w:rsidR="00F41A5F" w:rsidRPr="0057227C" w:rsidRDefault="00F41A5F" w:rsidP="00F41A5F">
            <w:pPr>
              <w:spacing w:after="0" w:line="245" w:lineRule="atLeast"/>
              <w:jc w:val="both"/>
              <w:rPr>
                <w:rFonts w:ascii="Century Gothic" w:eastAsia="Times New Roman" w:hAnsi="Century Gothic" w:cs="Times New Roman"/>
                <w:spacing w:val="2"/>
                <w:kern w:val="0"/>
                <w:szCs w:val="24"/>
                <w:lang w:eastAsia="es-CO"/>
                <w14:ligatures w14:val="none"/>
              </w:rPr>
            </w:pPr>
            <w:r w:rsidRPr="0057227C">
              <w:rPr>
                <w:rFonts w:ascii="Century Gothic" w:eastAsia="Times New Roman" w:hAnsi="Century Gothic" w:cs="Times New Roman"/>
                <w:spacing w:val="2"/>
                <w:kern w:val="0"/>
                <w:szCs w:val="24"/>
                <w:lang w:eastAsia="es-CO"/>
                <w14:ligatures w14:val="none"/>
              </w:rPr>
              <w:t>Declaración anual de activos en el exterior</w:t>
            </w:r>
          </w:p>
        </w:tc>
      </w:tr>
      <w:tr w:rsidR="00F41A5F" w:rsidRPr="0057227C" w14:paraId="32931A1D" w14:textId="77777777" w:rsidTr="00F41A5F">
        <w:trPr>
          <w:tblCellSpacing w:w="15" w:type="dxa"/>
        </w:trPr>
        <w:tc>
          <w:tcPr>
            <w:tcW w:w="1100" w:type="pct"/>
            <w:tcBorders>
              <w:top w:val="nil"/>
              <w:left w:val="nil"/>
              <w:bottom w:val="nil"/>
              <w:right w:val="nil"/>
            </w:tcBorders>
            <w:tcMar>
              <w:top w:w="0" w:type="dxa"/>
              <w:left w:w="0" w:type="dxa"/>
              <w:bottom w:w="0" w:type="dxa"/>
              <w:right w:w="0" w:type="dxa"/>
            </w:tcMar>
            <w:hideMark/>
          </w:tcPr>
          <w:p w14:paraId="5B5ABB32" w14:textId="77777777" w:rsidR="00F41A5F" w:rsidRPr="0057227C" w:rsidRDefault="00F41A5F" w:rsidP="00F41A5F">
            <w:pPr>
              <w:spacing w:after="0" w:line="245" w:lineRule="atLeast"/>
              <w:jc w:val="both"/>
              <w:rPr>
                <w:rFonts w:ascii="Century Gothic" w:eastAsia="Times New Roman" w:hAnsi="Century Gothic" w:cs="Times New Roman"/>
                <w:spacing w:val="2"/>
                <w:kern w:val="0"/>
                <w:szCs w:val="24"/>
                <w:lang w:eastAsia="es-CO"/>
                <w14:ligatures w14:val="none"/>
              </w:rPr>
            </w:pPr>
            <w:r w:rsidRPr="0057227C">
              <w:rPr>
                <w:rFonts w:ascii="Century Gothic" w:eastAsia="Times New Roman" w:hAnsi="Century Gothic" w:cs="Times New Roman"/>
                <w:spacing w:val="2"/>
                <w:kern w:val="0"/>
                <w:szCs w:val="24"/>
                <w:lang w:eastAsia="es-CO"/>
                <w14:ligatures w14:val="none"/>
              </w:rPr>
              <w:t>Fuentes formales</w:t>
            </w:r>
          </w:p>
        </w:tc>
        <w:tc>
          <w:tcPr>
            <w:tcW w:w="3900" w:type="pct"/>
            <w:tcBorders>
              <w:top w:val="nil"/>
              <w:left w:val="nil"/>
              <w:bottom w:val="nil"/>
              <w:right w:val="nil"/>
            </w:tcBorders>
            <w:tcMar>
              <w:top w:w="0" w:type="dxa"/>
              <w:left w:w="0" w:type="dxa"/>
              <w:bottom w:w="0" w:type="dxa"/>
              <w:right w:w="0" w:type="dxa"/>
            </w:tcMar>
            <w:hideMark/>
          </w:tcPr>
          <w:p w14:paraId="42CC4C2C" w14:textId="77777777" w:rsidR="00F41A5F" w:rsidRPr="0057227C" w:rsidRDefault="00F41A5F" w:rsidP="00F41A5F">
            <w:pPr>
              <w:spacing w:after="0" w:line="245" w:lineRule="atLeast"/>
              <w:jc w:val="both"/>
              <w:rPr>
                <w:rFonts w:ascii="Century Gothic" w:eastAsia="Times New Roman" w:hAnsi="Century Gothic" w:cs="Times New Roman"/>
                <w:spacing w:val="2"/>
                <w:kern w:val="0"/>
                <w:szCs w:val="24"/>
                <w:lang w:eastAsia="es-CO"/>
                <w14:ligatures w14:val="none"/>
              </w:rPr>
            </w:pPr>
            <w:r w:rsidRPr="0057227C">
              <w:rPr>
                <w:rFonts w:ascii="Century Gothic" w:eastAsia="Times New Roman" w:hAnsi="Century Gothic" w:cs="Times New Roman"/>
                <w:spacing w:val="2"/>
                <w:kern w:val="0"/>
                <w:szCs w:val="24"/>
                <w:lang w:eastAsia="es-CO"/>
                <w14:ligatures w14:val="none"/>
              </w:rPr>
              <w:t>Concepto No. 995 del 7 de octubre del 2015</w:t>
            </w:r>
            <w:r w:rsidRPr="0057227C">
              <w:rPr>
                <w:rFonts w:ascii="Century Gothic" w:eastAsia="Times New Roman" w:hAnsi="Century Gothic" w:cs="Times New Roman"/>
                <w:spacing w:val="2"/>
                <w:kern w:val="0"/>
                <w:szCs w:val="24"/>
                <w:lang w:eastAsia="es-CO"/>
                <w14:ligatures w14:val="none"/>
              </w:rPr>
              <w:br/>
              <w:t>Oficio No. 277 del 6 de marzo de 2018</w:t>
            </w:r>
          </w:p>
        </w:tc>
      </w:tr>
    </w:tbl>
    <w:p w14:paraId="505D941D" w14:textId="77777777" w:rsidR="00F41A5F" w:rsidRPr="0057227C" w:rsidRDefault="00F41A5F" w:rsidP="00F41A5F">
      <w:pPr>
        <w:spacing w:after="240" w:line="480" w:lineRule="atLeast"/>
        <w:jc w:val="both"/>
        <w:rPr>
          <w:rFonts w:ascii="Century Gothic" w:eastAsia="Times New Roman" w:hAnsi="Century Gothic" w:cs="Times New Roman"/>
          <w:spacing w:val="2"/>
          <w:kern w:val="0"/>
          <w:sz w:val="27"/>
          <w:szCs w:val="27"/>
          <w:lang w:eastAsia="es-CO"/>
          <w14:ligatures w14:val="none"/>
        </w:rPr>
      </w:pPr>
      <w:r w:rsidRPr="0057227C">
        <w:rPr>
          <w:rFonts w:ascii="Century Gothic" w:eastAsia="Times New Roman" w:hAnsi="Century Gothic" w:cs="Times New Roman"/>
          <w:spacing w:val="2"/>
          <w:kern w:val="0"/>
          <w:sz w:val="27"/>
          <w:szCs w:val="27"/>
          <w:lang w:eastAsia="es-CO"/>
          <w14:ligatures w14:val="none"/>
        </w:rPr>
        <w:t>Cordial saludo,</w:t>
      </w:r>
    </w:p>
    <w:p w14:paraId="3108049D" w14:textId="77777777" w:rsidR="00F41A5F" w:rsidRPr="0057227C" w:rsidRDefault="00F41A5F" w:rsidP="00F41A5F">
      <w:pPr>
        <w:spacing w:after="0" w:line="480" w:lineRule="atLeast"/>
        <w:jc w:val="both"/>
        <w:rPr>
          <w:rFonts w:ascii="Century Gothic" w:eastAsia="Times New Roman" w:hAnsi="Century Gothic" w:cs="Times New Roman"/>
          <w:spacing w:val="2"/>
          <w:kern w:val="0"/>
          <w:sz w:val="27"/>
          <w:szCs w:val="27"/>
          <w:lang w:eastAsia="es-CO"/>
          <w14:ligatures w14:val="none"/>
        </w:rPr>
      </w:pPr>
      <w:r w:rsidRPr="0057227C">
        <w:rPr>
          <w:rFonts w:ascii="Century Gothic" w:eastAsia="Times New Roman" w:hAnsi="Century Gothic" w:cs="Times New Roman"/>
          <w:spacing w:val="2"/>
          <w:kern w:val="0"/>
          <w:sz w:val="27"/>
          <w:szCs w:val="27"/>
          <w:lang w:eastAsia="es-CO"/>
          <w14:ligatures w14:val="none"/>
        </w:rPr>
        <w:t>De conformidad con el artículo </w:t>
      </w:r>
      <w:hyperlink r:id="rId4" w:anchor="20" w:tooltip="Decreto 4048 de 2008 - (DEROGADO) - Por el cual se modifica la estructura de la Unidad Administrativa Especial Dirección de Impuestos y Aduanas ..., 20" w:history="1">
        <w:r w:rsidRPr="0057227C">
          <w:rPr>
            <w:rFonts w:ascii="Century Gothic" w:eastAsia="Times New Roman" w:hAnsi="Century Gothic" w:cs="Times New Roman"/>
            <w:color w:val="0000FF"/>
            <w:spacing w:val="2"/>
            <w:kern w:val="0"/>
            <w:sz w:val="27"/>
            <w:szCs w:val="27"/>
            <w:u w:val="single"/>
            <w:lang w:eastAsia="es-CO"/>
            <w14:ligatures w14:val="none"/>
          </w:rPr>
          <w:t>20</w:t>
        </w:r>
      </w:hyperlink>
      <w:r w:rsidRPr="0057227C">
        <w:rPr>
          <w:rFonts w:ascii="Century Gothic" w:eastAsia="Times New Roman" w:hAnsi="Century Gothic" w:cs="Times New Roman"/>
          <w:spacing w:val="2"/>
          <w:kern w:val="0"/>
          <w:sz w:val="27"/>
          <w:szCs w:val="27"/>
          <w:lang w:eastAsia="es-CO"/>
          <w14:ligatures w14:val="none"/>
        </w:rPr>
        <w:t> del Decreto 4048 de 2008, este Despacho está facultado para absolver las consultas escritas que se formulen sobre la interpretación y aplicación de las normas tributarias, aduaneras y cambiarias, en el marco de las competencias de la Dirección de Impuestos y Aduanas Nacionales. Por consiguiente, no corresponde a este Despacho, en ejercicio de las funciones descritas anteriormente, prestar asesoría específica para atender casos particulares, ni juzgar o calificar las decisiones tomadas por otras dependencias o entidades.</w:t>
      </w:r>
    </w:p>
    <w:p w14:paraId="1BA5B9FA" w14:textId="77777777" w:rsidR="00F41A5F" w:rsidRPr="0057227C" w:rsidRDefault="00F41A5F" w:rsidP="00F41A5F">
      <w:pPr>
        <w:spacing w:after="240" w:line="480" w:lineRule="atLeast"/>
        <w:jc w:val="both"/>
        <w:rPr>
          <w:rFonts w:ascii="Century Gothic" w:eastAsia="Times New Roman" w:hAnsi="Century Gothic" w:cs="Times New Roman"/>
          <w:spacing w:val="2"/>
          <w:kern w:val="0"/>
          <w:sz w:val="27"/>
          <w:szCs w:val="27"/>
          <w:lang w:eastAsia="es-CO"/>
          <w14:ligatures w14:val="none"/>
        </w:rPr>
      </w:pPr>
      <w:r w:rsidRPr="0057227C">
        <w:rPr>
          <w:rFonts w:ascii="Century Gothic" w:eastAsia="Times New Roman" w:hAnsi="Century Gothic" w:cs="Times New Roman"/>
          <w:spacing w:val="2"/>
          <w:kern w:val="0"/>
          <w:sz w:val="27"/>
          <w:szCs w:val="27"/>
          <w:lang w:eastAsia="es-CO"/>
          <w14:ligatures w14:val="none"/>
        </w:rPr>
        <w:t>Mediante el radicado de la referencia, la peticionaria solicita se resuelvan las inquietudes que a continuación se enuncian y se responden:</w:t>
      </w:r>
    </w:p>
    <w:p w14:paraId="3FDC757A" w14:textId="77777777" w:rsidR="00F41A5F" w:rsidRPr="0057227C" w:rsidRDefault="00F41A5F" w:rsidP="00F41A5F">
      <w:pPr>
        <w:spacing w:after="0" w:line="480" w:lineRule="atLeast"/>
        <w:jc w:val="both"/>
        <w:rPr>
          <w:rFonts w:ascii="Century Gothic" w:eastAsia="Times New Roman" w:hAnsi="Century Gothic" w:cs="Times New Roman"/>
          <w:spacing w:val="2"/>
          <w:kern w:val="0"/>
          <w:sz w:val="27"/>
          <w:szCs w:val="27"/>
          <w:lang w:eastAsia="es-CO"/>
          <w14:ligatures w14:val="none"/>
        </w:rPr>
      </w:pPr>
      <w:r w:rsidRPr="0057227C">
        <w:rPr>
          <w:rFonts w:ascii="Century Gothic" w:eastAsia="Times New Roman" w:hAnsi="Century Gothic" w:cs="Times New Roman"/>
          <w:b/>
          <w:bCs/>
          <w:spacing w:val="2"/>
          <w:kern w:val="0"/>
          <w:sz w:val="27"/>
          <w:szCs w:val="27"/>
          <w:highlight w:val="yellow"/>
          <w:lang w:eastAsia="es-CO"/>
          <w14:ligatures w14:val="none"/>
        </w:rPr>
        <w:t>1) Cuando una entidad mantiene efectivo en moneda extranjera en un banco del exterior, y dicha cuenta corresponde con una cuenta en compensación la cual es utilizada para recibir facturas por exportaciones o para pagar proveedores derivados de importaciones. ¿En este caso el monto a diciembre 31, mantenido en dicha cuenta del exterior, deberá declararse en la declaración de activos del exterior?</w:t>
      </w:r>
    </w:p>
    <w:p w14:paraId="1636F61C" w14:textId="77777777" w:rsidR="0057227C" w:rsidRPr="0057227C" w:rsidRDefault="0057227C" w:rsidP="00F41A5F">
      <w:pPr>
        <w:spacing w:after="240" w:line="480" w:lineRule="atLeast"/>
        <w:jc w:val="both"/>
        <w:rPr>
          <w:rFonts w:ascii="Century Gothic" w:eastAsia="Times New Roman" w:hAnsi="Century Gothic" w:cs="Times New Roman"/>
          <w:spacing w:val="2"/>
          <w:kern w:val="0"/>
          <w:sz w:val="27"/>
          <w:szCs w:val="27"/>
          <w:lang w:eastAsia="es-CO"/>
          <w14:ligatures w14:val="none"/>
        </w:rPr>
      </w:pPr>
    </w:p>
    <w:p w14:paraId="07939201" w14:textId="391FDB90" w:rsidR="00F41A5F" w:rsidRDefault="00F41A5F" w:rsidP="00F41A5F">
      <w:pPr>
        <w:spacing w:after="240" w:line="480" w:lineRule="atLeast"/>
        <w:jc w:val="both"/>
        <w:rPr>
          <w:rFonts w:ascii="Century Gothic" w:eastAsia="Times New Roman" w:hAnsi="Century Gothic" w:cs="Times New Roman"/>
          <w:b/>
          <w:bCs/>
          <w:spacing w:val="2"/>
          <w:kern w:val="0"/>
          <w:sz w:val="32"/>
          <w:szCs w:val="32"/>
          <w:lang w:eastAsia="es-CO"/>
          <w14:ligatures w14:val="none"/>
        </w:rPr>
      </w:pPr>
      <w:r w:rsidRPr="0057227C">
        <w:rPr>
          <w:rFonts w:ascii="Century Gothic" w:eastAsia="Times New Roman" w:hAnsi="Century Gothic" w:cs="Times New Roman"/>
          <w:b/>
          <w:bCs/>
          <w:spacing w:val="2"/>
          <w:kern w:val="0"/>
          <w:sz w:val="32"/>
          <w:szCs w:val="32"/>
          <w:highlight w:val="cyan"/>
          <w:lang w:eastAsia="es-CO"/>
          <w14:ligatures w14:val="none"/>
        </w:rPr>
        <w:lastRenderedPageBreak/>
        <w:t>Al respecto, este Despacho mediante Oficio No. 277 del 6 de marzo de 2018, reiterando lo señalado en Concepto No. 995 de 2015, indicó:</w:t>
      </w:r>
    </w:p>
    <w:p w14:paraId="6E6D4FCF" w14:textId="77777777" w:rsidR="0057227C" w:rsidRPr="0057227C" w:rsidRDefault="0057227C" w:rsidP="00F41A5F">
      <w:pPr>
        <w:spacing w:after="240" w:line="480" w:lineRule="atLeast"/>
        <w:jc w:val="both"/>
        <w:rPr>
          <w:rFonts w:ascii="Century Gothic" w:eastAsia="Times New Roman" w:hAnsi="Century Gothic" w:cs="Times New Roman"/>
          <w:b/>
          <w:bCs/>
          <w:spacing w:val="2"/>
          <w:kern w:val="0"/>
          <w:sz w:val="32"/>
          <w:szCs w:val="32"/>
          <w:lang w:eastAsia="es-CO"/>
          <w14:ligatures w14:val="none"/>
        </w:rPr>
      </w:pPr>
    </w:p>
    <w:p w14:paraId="4354EB2F" w14:textId="77777777" w:rsidR="00F41A5F" w:rsidRPr="0057227C" w:rsidRDefault="00F41A5F" w:rsidP="0057227C">
      <w:pPr>
        <w:spacing w:after="0" w:line="360" w:lineRule="auto"/>
        <w:ind w:left="567" w:right="567"/>
        <w:jc w:val="both"/>
        <w:rPr>
          <w:rFonts w:ascii="Century Gothic" w:eastAsia="Times New Roman" w:hAnsi="Century Gothic" w:cs="Times New Roman"/>
          <w:b/>
          <w:bCs/>
          <w:spacing w:val="2"/>
          <w:kern w:val="0"/>
          <w:sz w:val="32"/>
          <w:szCs w:val="32"/>
          <w:highlight w:val="yellow"/>
          <w:u w:val="single"/>
          <w:lang w:eastAsia="es-CO"/>
          <w14:ligatures w14:val="none"/>
        </w:rPr>
      </w:pPr>
      <w:r w:rsidRPr="0057227C">
        <w:rPr>
          <w:rFonts w:ascii="Century Gothic" w:eastAsia="Times New Roman" w:hAnsi="Century Gothic" w:cs="Times New Roman"/>
          <w:spacing w:val="2"/>
          <w:kern w:val="0"/>
          <w:sz w:val="27"/>
          <w:szCs w:val="27"/>
          <w:lang w:eastAsia="es-CO"/>
          <w14:ligatures w14:val="none"/>
        </w:rPr>
        <w:t>“El Concepto </w:t>
      </w:r>
      <w:hyperlink r:id="rId5" w:anchor="INICIO" w:tooltip="Cto. 27751 de 2015 DIAN - (Tributario) ¿Están obligados a presentar la Declaración Anual de Activos en el Exterior los residentes en Colombia para ..." w:history="1">
        <w:r w:rsidRPr="0057227C">
          <w:rPr>
            <w:rFonts w:ascii="Century Gothic" w:eastAsia="Times New Roman" w:hAnsi="Century Gothic" w:cs="Times New Roman"/>
            <w:color w:val="0000FF"/>
            <w:spacing w:val="2"/>
            <w:kern w:val="0"/>
            <w:sz w:val="27"/>
            <w:szCs w:val="27"/>
            <w:u w:val="single"/>
            <w:lang w:eastAsia="es-CO"/>
            <w14:ligatures w14:val="none"/>
          </w:rPr>
          <w:t>027751</w:t>
        </w:r>
      </w:hyperlink>
      <w:r w:rsidRPr="0057227C">
        <w:rPr>
          <w:rFonts w:ascii="Century Gothic" w:eastAsia="Times New Roman" w:hAnsi="Century Gothic" w:cs="Times New Roman"/>
          <w:spacing w:val="2"/>
          <w:kern w:val="0"/>
          <w:sz w:val="27"/>
          <w:szCs w:val="27"/>
          <w:lang w:eastAsia="es-CO"/>
          <w14:ligatures w14:val="none"/>
        </w:rPr>
        <w:t> de 2015 es claro en advertir que de acuerdo con la exposición de motivos de la ley </w:t>
      </w:r>
      <w:hyperlink r:id="rId6" w:anchor="INICIO" w:tooltip="Ley 1739 de 2014 - Por medio de la cual se modifica el Estatuto Tributario, la Ley 1607 de 2012, se crean mecanismos de lucha contra la evasión y se ..." w:history="1">
        <w:r w:rsidRPr="0057227C">
          <w:rPr>
            <w:rFonts w:ascii="Century Gothic" w:eastAsia="Times New Roman" w:hAnsi="Century Gothic" w:cs="Times New Roman"/>
            <w:color w:val="0000FF"/>
            <w:spacing w:val="2"/>
            <w:kern w:val="0"/>
            <w:sz w:val="27"/>
            <w:szCs w:val="27"/>
            <w:u w:val="single"/>
            <w:lang w:eastAsia="es-CO"/>
            <w14:ligatures w14:val="none"/>
          </w:rPr>
          <w:t>1739</w:t>
        </w:r>
      </w:hyperlink>
      <w:r w:rsidRPr="0057227C">
        <w:rPr>
          <w:rFonts w:ascii="Century Gothic" w:eastAsia="Times New Roman" w:hAnsi="Century Gothic" w:cs="Times New Roman"/>
          <w:spacing w:val="2"/>
          <w:kern w:val="0"/>
          <w:sz w:val="27"/>
          <w:szCs w:val="27"/>
          <w:lang w:eastAsia="es-CO"/>
          <w14:ligatures w14:val="none"/>
        </w:rPr>
        <w:t xml:space="preserve"> de 2014, la declaración de activos en el exterior fue creada con el propósito de recaudar la información de todos los activos poseídos en el exterior por los residentes contribuyentes del impuesto sobre la renta y complementarios. </w:t>
      </w:r>
      <w:r w:rsidRPr="0057227C">
        <w:rPr>
          <w:rFonts w:ascii="Century Gothic" w:eastAsia="Times New Roman" w:hAnsi="Century Gothic" w:cs="Times New Roman"/>
          <w:b/>
          <w:bCs/>
          <w:spacing w:val="2"/>
          <w:kern w:val="0"/>
          <w:sz w:val="32"/>
          <w:szCs w:val="32"/>
          <w:highlight w:val="yellow"/>
          <w:lang w:eastAsia="es-CO"/>
          <w14:ligatures w14:val="none"/>
        </w:rPr>
        <w:t xml:space="preserve">No obstante tal afirmación, recordó que los fondos que el contribuyente tenga en el exterior, vinculados al giro ordinario de sus negocios en Colombia, </w:t>
      </w:r>
      <w:r w:rsidRPr="0057227C">
        <w:rPr>
          <w:rFonts w:ascii="Century Gothic" w:eastAsia="Times New Roman" w:hAnsi="Century Gothic" w:cs="Times New Roman"/>
          <w:b/>
          <w:bCs/>
          <w:spacing w:val="2"/>
          <w:kern w:val="0"/>
          <w:sz w:val="32"/>
          <w:szCs w:val="32"/>
          <w:highlight w:val="yellow"/>
          <w:u w:val="single"/>
          <w:lang w:eastAsia="es-CO"/>
          <w14:ligatures w14:val="none"/>
        </w:rPr>
        <w:t>se entienden poseídos en el país acorde con el numeral 5o del artículo </w:t>
      </w:r>
      <w:hyperlink r:id="rId7" w:anchor="265" w:tooltip="Decreto 624 de 1989 - ESTATUTO TRIBUTARIO - Decreto 624 de 1989 - Por el cual se expide el Estatuto Tributario de los Impuestos Administrados por la ..., 265" w:history="1">
        <w:r w:rsidRPr="0057227C">
          <w:rPr>
            <w:rFonts w:ascii="Century Gothic" w:eastAsia="Times New Roman" w:hAnsi="Century Gothic" w:cs="Times New Roman"/>
            <w:b/>
            <w:bCs/>
            <w:color w:val="0000FF"/>
            <w:spacing w:val="2"/>
            <w:kern w:val="0"/>
            <w:sz w:val="32"/>
            <w:szCs w:val="32"/>
            <w:highlight w:val="yellow"/>
            <w:u w:val="single"/>
            <w:lang w:eastAsia="es-CO"/>
            <w14:ligatures w14:val="none"/>
          </w:rPr>
          <w:t>265</w:t>
        </w:r>
      </w:hyperlink>
      <w:r w:rsidRPr="0057227C">
        <w:rPr>
          <w:rFonts w:ascii="Century Gothic" w:eastAsia="Times New Roman" w:hAnsi="Century Gothic" w:cs="Times New Roman"/>
          <w:b/>
          <w:bCs/>
          <w:spacing w:val="2"/>
          <w:kern w:val="0"/>
          <w:sz w:val="32"/>
          <w:szCs w:val="32"/>
          <w:highlight w:val="yellow"/>
          <w:u w:val="single"/>
          <w:lang w:eastAsia="es-CO"/>
          <w14:ligatures w14:val="none"/>
        </w:rPr>
        <w:t> del Estatuto Tributario.</w:t>
      </w:r>
    </w:p>
    <w:p w14:paraId="2BCF341B" w14:textId="77777777" w:rsidR="00F41A5F" w:rsidRPr="0057227C" w:rsidRDefault="00F41A5F" w:rsidP="0057227C">
      <w:pPr>
        <w:spacing w:after="0" w:line="360" w:lineRule="auto"/>
        <w:ind w:left="567" w:right="567"/>
        <w:jc w:val="both"/>
        <w:rPr>
          <w:rFonts w:ascii="Century Gothic" w:eastAsia="Times New Roman" w:hAnsi="Century Gothic" w:cs="Times New Roman"/>
          <w:b/>
          <w:bCs/>
          <w:spacing w:val="2"/>
          <w:kern w:val="0"/>
          <w:sz w:val="32"/>
          <w:szCs w:val="32"/>
          <w:u w:val="single"/>
          <w:lang w:eastAsia="es-CO"/>
          <w14:ligatures w14:val="none"/>
        </w:rPr>
      </w:pPr>
      <w:r w:rsidRPr="0057227C">
        <w:rPr>
          <w:rFonts w:ascii="Century Gothic" w:eastAsia="Times New Roman" w:hAnsi="Century Gothic" w:cs="Times New Roman"/>
          <w:b/>
          <w:bCs/>
          <w:spacing w:val="2"/>
          <w:kern w:val="0"/>
          <w:sz w:val="32"/>
          <w:szCs w:val="32"/>
          <w:highlight w:val="yellow"/>
          <w:u w:val="single"/>
          <w:lang w:eastAsia="es-CO"/>
          <w14:ligatures w14:val="none"/>
        </w:rPr>
        <w:t>(...)</w:t>
      </w:r>
    </w:p>
    <w:p w14:paraId="470EB4F8" w14:textId="77777777" w:rsidR="00F41A5F" w:rsidRPr="0057227C" w:rsidRDefault="00F41A5F" w:rsidP="0057227C">
      <w:pPr>
        <w:spacing w:after="0" w:line="360" w:lineRule="auto"/>
        <w:ind w:left="567" w:right="567"/>
        <w:jc w:val="both"/>
        <w:rPr>
          <w:rFonts w:ascii="Century Gothic" w:eastAsia="Times New Roman" w:hAnsi="Century Gothic" w:cs="Times New Roman"/>
          <w:spacing w:val="2"/>
          <w:kern w:val="0"/>
          <w:sz w:val="27"/>
          <w:szCs w:val="27"/>
          <w:lang w:eastAsia="es-CO"/>
          <w14:ligatures w14:val="none"/>
        </w:rPr>
      </w:pPr>
      <w:r w:rsidRPr="0057227C">
        <w:rPr>
          <w:rFonts w:ascii="Century Gothic" w:eastAsia="Times New Roman" w:hAnsi="Century Gothic" w:cs="Times New Roman"/>
          <w:spacing w:val="2"/>
          <w:kern w:val="0"/>
          <w:sz w:val="27"/>
          <w:szCs w:val="27"/>
          <w:lang w:eastAsia="es-CO"/>
          <w14:ligatures w14:val="none"/>
        </w:rPr>
        <w:t>Dada las características de esta clase de cuentas bancarias, su naturaleza encaja dentro de los fondos tenidos por el contribuyente en el exterior y vinculados al giro ordinario de los negocios en Colombia, pues comprenden los recursos dinerarios del ente económico y estos, a su turno, representados en efectivo, depósitos en entidades financieras y cheques.</w:t>
      </w:r>
    </w:p>
    <w:p w14:paraId="1A415AAC" w14:textId="09E2F5B4" w:rsidR="00F41A5F" w:rsidRPr="0057227C" w:rsidRDefault="00F41A5F" w:rsidP="0057227C">
      <w:pPr>
        <w:spacing w:after="0" w:line="360" w:lineRule="auto"/>
        <w:ind w:left="567" w:right="567"/>
        <w:jc w:val="both"/>
        <w:rPr>
          <w:rFonts w:ascii="Century Gothic" w:eastAsia="Times New Roman" w:hAnsi="Century Gothic" w:cs="Times New Roman"/>
          <w:b/>
          <w:bCs/>
          <w:spacing w:val="2"/>
          <w:kern w:val="0"/>
          <w:sz w:val="32"/>
          <w:szCs w:val="32"/>
          <w:lang w:eastAsia="es-CO"/>
          <w14:ligatures w14:val="none"/>
        </w:rPr>
      </w:pPr>
      <w:r w:rsidRPr="0057227C">
        <w:rPr>
          <w:rFonts w:ascii="Century Gothic" w:eastAsia="Times New Roman" w:hAnsi="Century Gothic" w:cs="Times New Roman"/>
          <w:spacing w:val="2"/>
          <w:kern w:val="0"/>
          <w:sz w:val="27"/>
          <w:szCs w:val="27"/>
          <w:lang w:eastAsia="es-CO"/>
          <w14:ligatures w14:val="none"/>
        </w:rPr>
        <w:t>Entonces, si la nota característica para que un bien sea entendido como poseído en el país conforme el numeral 5o del artículo </w:t>
      </w:r>
      <w:hyperlink r:id="rId8" w:anchor="265" w:tooltip="Decreto 624 de 1989 - ESTATUTO TRIBUTARIO - Decreto 624 de 1989 - Por el cual se expide el Estatuto Tributario de los Impuestos Administrados por la ..., 265" w:history="1">
        <w:r w:rsidRPr="0057227C">
          <w:rPr>
            <w:rFonts w:ascii="Century Gothic" w:eastAsia="Times New Roman" w:hAnsi="Century Gothic" w:cs="Times New Roman"/>
            <w:color w:val="0000FF"/>
            <w:spacing w:val="2"/>
            <w:kern w:val="0"/>
            <w:sz w:val="27"/>
            <w:szCs w:val="27"/>
            <w:u w:val="single"/>
            <w:lang w:eastAsia="es-CO"/>
            <w14:ligatures w14:val="none"/>
          </w:rPr>
          <w:t>265</w:t>
        </w:r>
      </w:hyperlink>
      <w:r w:rsidRPr="0057227C">
        <w:rPr>
          <w:rFonts w:ascii="Century Gothic" w:eastAsia="Times New Roman" w:hAnsi="Century Gothic" w:cs="Times New Roman"/>
          <w:spacing w:val="2"/>
          <w:kern w:val="0"/>
          <w:sz w:val="27"/>
          <w:szCs w:val="27"/>
          <w:lang w:eastAsia="es-CO"/>
          <w14:ligatures w14:val="none"/>
        </w:rPr>
        <w:t> del Estatuto Tributario es que los fondos que el contribuyente tenga en el exterior estén vinculados al giro ordinario de los negocios, </w:t>
      </w:r>
      <w:r w:rsidRPr="0057227C">
        <w:rPr>
          <w:rFonts w:ascii="Century Gothic" w:eastAsia="Times New Roman" w:hAnsi="Century Gothic" w:cs="Times New Roman"/>
          <w:b/>
          <w:bCs/>
          <w:spacing w:val="2"/>
          <w:kern w:val="0"/>
          <w:sz w:val="32"/>
          <w:szCs w:val="32"/>
          <w:highlight w:val="yellow"/>
          <w:u w:val="single"/>
          <w:lang w:eastAsia="es-CO"/>
          <w14:ligatures w14:val="none"/>
        </w:rPr>
        <w:t>las cuentas de compensación, se encuentran excluidas para efectos de la declaración de Activos en el Exterior</w:t>
      </w:r>
      <w:r w:rsidRPr="0057227C">
        <w:rPr>
          <w:rFonts w:ascii="Century Gothic" w:eastAsia="Times New Roman" w:hAnsi="Century Gothic" w:cs="Times New Roman"/>
          <w:b/>
          <w:bCs/>
          <w:spacing w:val="2"/>
          <w:kern w:val="0"/>
          <w:sz w:val="32"/>
          <w:szCs w:val="32"/>
          <w:highlight w:val="cyan"/>
          <w:lang w:eastAsia="es-CO"/>
          <w14:ligatures w14:val="none"/>
        </w:rPr>
        <w:t xml:space="preserve">. </w:t>
      </w:r>
      <w:r w:rsidR="0057227C" w:rsidRPr="0057227C">
        <w:rPr>
          <w:rFonts w:ascii="Century Gothic" w:eastAsia="Times New Roman" w:hAnsi="Century Gothic" w:cs="Times New Roman"/>
          <w:b/>
          <w:bCs/>
          <w:spacing w:val="2"/>
          <w:kern w:val="0"/>
          <w:sz w:val="32"/>
          <w:szCs w:val="32"/>
          <w:highlight w:val="cyan"/>
          <w:lang w:eastAsia="es-CO"/>
          <w14:ligatures w14:val="none"/>
        </w:rPr>
        <w:t xml:space="preserve">  </w:t>
      </w:r>
      <w:r w:rsidRPr="0057227C">
        <w:rPr>
          <w:rFonts w:ascii="Century Gothic" w:eastAsia="Times New Roman" w:hAnsi="Century Gothic" w:cs="Times New Roman"/>
          <w:b/>
          <w:bCs/>
          <w:spacing w:val="2"/>
          <w:kern w:val="0"/>
          <w:sz w:val="32"/>
          <w:szCs w:val="32"/>
          <w:highlight w:val="cyan"/>
          <w:lang w:eastAsia="es-CO"/>
          <w14:ligatures w14:val="none"/>
        </w:rPr>
        <w:t xml:space="preserve">Ello sugiere </w:t>
      </w:r>
      <w:r w:rsidRPr="0057227C">
        <w:rPr>
          <w:rFonts w:ascii="Century Gothic" w:eastAsia="Times New Roman" w:hAnsi="Century Gothic" w:cs="Times New Roman"/>
          <w:b/>
          <w:bCs/>
          <w:spacing w:val="2"/>
          <w:kern w:val="0"/>
          <w:sz w:val="32"/>
          <w:szCs w:val="32"/>
          <w:highlight w:val="cyan"/>
          <w:lang w:eastAsia="es-CO"/>
          <w14:ligatures w14:val="none"/>
        </w:rPr>
        <w:lastRenderedPageBreak/>
        <w:t>advertir, que las demás cuentas que el contribuyente tenga en el exterior deben informarse en la declaración de activos en el exterior”. (Subrayado y negrilla fuera de texto)</w:t>
      </w:r>
    </w:p>
    <w:p w14:paraId="4BF8D0E2" w14:textId="77777777" w:rsidR="0057227C" w:rsidRPr="0057227C" w:rsidRDefault="0057227C" w:rsidP="0057227C">
      <w:pPr>
        <w:spacing w:after="0" w:line="360" w:lineRule="auto"/>
        <w:ind w:left="567" w:right="567"/>
        <w:jc w:val="both"/>
        <w:rPr>
          <w:rFonts w:ascii="Century Gothic" w:eastAsia="Times New Roman" w:hAnsi="Century Gothic" w:cs="Times New Roman"/>
          <w:b/>
          <w:bCs/>
          <w:spacing w:val="2"/>
          <w:kern w:val="0"/>
          <w:sz w:val="27"/>
          <w:szCs w:val="27"/>
          <w:lang w:eastAsia="es-CO"/>
          <w14:ligatures w14:val="none"/>
        </w:rPr>
      </w:pPr>
    </w:p>
    <w:p w14:paraId="58404463" w14:textId="68C0EAB3" w:rsidR="00F41A5F" w:rsidRPr="0057227C" w:rsidRDefault="00F41A5F" w:rsidP="00F41A5F">
      <w:pPr>
        <w:spacing w:after="0" w:line="480" w:lineRule="atLeast"/>
        <w:jc w:val="both"/>
        <w:rPr>
          <w:rFonts w:ascii="Century Gothic" w:eastAsia="Times New Roman" w:hAnsi="Century Gothic" w:cs="Times New Roman"/>
          <w:spacing w:val="2"/>
          <w:kern w:val="0"/>
          <w:sz w:val="27"/>
          <w:szCs w:val="27"/>
          <w:lang w:eastAsia="es-CO"/>
          <w14:ligatures w14:val="none"/>
        </w:rPr>
      </w:pPr>
      <w:r w:rsidRPr="0057227C">
        <w:rPr>
          <w:rFonts w:ascii="Century Gothic" w:eastAsia="Times New Roman" w:hAnsi="Century Gothic" w:cs="Times New Roman"/>
          <w:spacing w:val="2"/>
          <w:kern w:val="0"/>
          <w:sz w:val="27"/>
          <w:szCs w:val="27"/>
          <w:lang w:eastAsia="es-CO"/>
          <w14:ligatures w14:val="none"/>
        </w:rPr>
        <w:t>2) Cuando una entidad mantiene efectivo en moneda extranjera en un banco del exterior, y dicha cuenta no corresponde con una cuenta en compensación, pero es utilizada para recibir facturas por exportaciones de servicios de sus clientes ¿En este caso el monto a diciembre 31, mantenido en dicha cuenta del exterior, deberá declararse en la declaración de activos del exterior?</w:t>
      </w:r>
    </w:p>
    <w:p w14:paraId="28BE40F5" w14:textId="77777777" w:rsidR="0057227C" w:rsidRDefault="0057227C" w:rsidP="00F41A5F">
      <w:pPr>
        <w:spacing w:after="0" w:line="480" w:lineRule="atLeast"/>
        <w:jc w:val="both"/>
        <w:rPr>
          <w:rFonts w:ascii="Century Gothic" w:eastAsia="Times New Roman" w:hAnsi="Century Gothic" w:cs="Times New Roman"/>
          <w:b/>
          <w:bCs/>
          <w:spacing w:val="2"/>
          <w:kern w:val="0"/>
          <w:sz w:val="27"/>
          <w:szCs w:val="27"/>
          <w:lang w:eastAsia="es-CO"/>
          <w14:ligatures w14:val="none"/>
        </w:rPr>
      </w:pPr>
    </w:p>
    <w:p w14:paraId="348C63E1" w14:textId="7776EF10" w:rsidR="00F41A5F" w:rsidRPr="0057227C" w:rsidRDefault="00F41A5F" w:rsidP="0057227C">
      <w:pPr>
        <w:spacing w:after="0" w:line="480" w:lineRule="atLeast"/>
        <w:ind w:left="708"/>
        <w:jc w:val="both"/>
        <w:rPr>
          <w:rFonts w:ascii="Century Gothic" w:eastAsia="Times New Roman" w:hAnsi="Century Gothic" w:cs="Times New Roman"/>
          <w:spacing w:val="2"/>
          <w:kern w:val="0"/>
          <w:sz w:val="27"/>
          <w:szCs w:val="27"/>
          <w:lang w:eastAsia="es-CO"/>
          <w14:ligatures w14:val="none"/>
        </w:rPr>
      </w:pPr>
      <w:r w:rsidRPr="0057227C">
        <w:rPr>
          <w:rFonts w:ascii="Century Gothic" w:eastAsia="Times New Roman" w:hAnsi="Century Gothic" w:cs="Times New Roman"/>
          <w:spacing w:val="2"/>
          <w:kern w:val="0"/>
          <w:sz w:val="27"/>
          <w:szCs w:val="27"/>
          <w:lang w:eastAsia="es-CO"/>
          <w14:ligatures w14:val="none"/>
        </w:rPr>
        <w:t>3) Cuando una entidad mantiene efectivo en caja moneda extranjera guardada en caja fuerte en el país ¿En este caso el monto a diciembre 31, mantenido en efectivo en caja en moneda extranjera deberá declararse en la declaración de activos del exterior.</w:t>
      </w:r>
    </w:p>
    <w:p w14:paraId="4AF6F4FD" w14:textId="77777777" w:rsidR="0057227C" w:rsidRDefault="0057227C" w:rsidP="0057227C">
      <w:pPr>
        <w:spacing w:after="0" w:line="480" w:lineRule="atLeast"/>
        <w:ind w:left="708"/>
        <w:jc w:val="both"/>
        <w:rPr>
          <w:rFonts w:ascii="Century Gothic" w:eastAsia="Times New Roman" w:hAnsi="Century Gothic" w:cs="Times New Roman"/>
          <w:spacing w:val="2"/>
          <w:kern w:val="0"/>
          <w:sz w:val="27"/>
          <w:szCs w:val="27"/>
          <w:lang w:eastAsia="es-CO"/>
          <w14:ligatures w14:val="none"/>
        </w:rPr>
      </w:pPr>
    </w:p>
    <w:p w14:paraId="08E08762" w14:textId="57F0C65E" w:rsidR="00F41A5F" w:rsidRPr="0057227C" w:rsidRDefault="00F41A5F" w:rsidP="0057227C">
      <w:pPr>
        <w:spacing w:after="0" w:line="480" w:lineRule="atLeast"/>
        <w:ind w:left="708"/>
        <w:jc w:val="both"/>
        <w:rPr>
          <w:rFonts w:ascii="Century Gothic" w:eastAsia="Times New Roman" w:hAnsi="Century Gothic" w:cs="Times New Roman"/>
          <w:spacing w:val="2"/>
          <w:kern w:val="0"/>
          <w:sz w:val="27"/>
          <w:szCs w:val="27"/>
          <w:lang w:eastAsia="es-CO"/>
          <w14:ligatures w14:val="none"/>
        </w:rPr>
      </w:pPr>
      <w:r w:rsidRPr="0057227C">
        <w:rPr>
          <w:rFonts w:ascii="Century Gothic" w:eastAsia="Times New Roman" w:hAnsi="Century Gothic" w:cs="Times New Roman"/>
          <w:spacing w:val="2"/>
          <w:kern w:val="0"/>
          <w:sz w:val="27"/>
          <w:szCs w:val="27"/>
          <w:lang w:eastAsia="es-CO"/>
          <w14:ligatures w14:val="none"/>
        </w:rPr>
        <w:t>4) Cuando una entidad mantiene cuentas por cobrar por exportación de bienes o servicios a clientes del exterior en moneda extranjera. ¿En este caso el monto a diciembre 31, como saldo de las cuentas por cobrar a clientes del exterior en moneda extranjera, deberá declararse en la declaración de activos del exterior.</w:t>
      </w:r>
    </w:p>
    <w:p w14:paraId="42C09DF4" w14:textId="77777777" w:rsidR="0057227C" w:rsidRDefault="0057227C" w:rsidP="0057227C">
      <w:pPr>
        <w:spacing w:after="0" w:line="480" w:lineRule="atLeast"/>
        <w:ind w:left="708"/>
        <w:jc w:val="both"/>
        <w:rPr>
          <w:rFonts w:ascii="Century Gothic" w:eastAsia="Times New Roman" w:hAnsi="Century Gothic" w:cs="Times New Roman"/>
          <w:spacing w:val="2"/>
          <w:kern w:val="0"/>
          <w:sz w:val="27"/>
          <w:szCs w:val="27"/>
          <w:lang w:eastAsia="es-CO"/>
          <w14:ligatures w14:val="none"/>
        </w:rPr>
      </w:pPr>
    </w:p>
    <w:p w14:paraId="28B66982" w14:textId="7F217CE0" w:rsidR="00F41A5F" w:rsidRPr="0057227C" w:rsidRDefault="00F41A5F" w:rsidP="0057227C">
      <w:pPr>
        <w:spacing w:after="0" w:line="480" w:lineRule="atLeast"/>
        <w:ind w:left="708"/>
        <w:jc w:val="both"/>
        <w:rPr>
          <w:rFonts w:ascii="Century Gothic" w:eastAsia="Times New Roman" w:hAnsi="Century Gothic" w:cs="Times New Roman"/>
          <w:spacing w:val="2"/>
          <w:kern w:val="0"/>
          <w:sz w:val="27"/>
          <w:szCs w:val="27"/>
          <w:lang w:eastAsia="es-CO"/>
          <w14:ligatures w14:val="none"/>
        </w:rPr>
      </w:pPr>
      <w:r w:rsidRPr="0057227C">
        <w:rPr>
          <w:rFonts w:ascii="Century Gothic" w:eastAsia="Times New Roman" w:hAnsi="Century Gothic" w:cs="Times New Roman"/>
          <w:spacing w:val="2"/>
          <w:kern w:val="0"/>
          <w:sz w:val="27"/>
          <w:szCs w:val="27"/>
          <w:lang w:eastAsia="es-CO"/>
          <w14:ligatures w14:val="none"/>
        </w:rPr>
        <w:t>5) Cuando una entidad mantiene cuentas anticipos entregados a proveedores del exterior para adquirir mercancía importada en moneda extranjera. ¿En este caso el monto a diciembre 31, como saldo de anticipos a proveedores del exterior en moneda extranjera, deberá declararse en la declaración de activos del exterior.</w:t>
      </w:r>
    </w:p>
    <w:p w14:paraId="10329B89" w14:textId="77777777" w:rsidR="0057227C" w:rsidRDefault="0057227C" w:rsidP="0057227C">
      <w:pPr>
        <w:spacing w:after="0" w:line="480" w:lineRule="atLeast"/>
        <w:ind w:left="708"/>
        <w:jc w:val="both"/>
        <w:rPr>
          <w:rFonts w:ascii="Century Gothic" w:eastAsia="Times New Roman" w:hAnsi="Century Gothic" w:cs="Times New Roman"/>
          <w:spacing w:val="2"/>
          <w:kern w:val="0"/>
          <w:sz w:val="27"/>
          <w:szCs w:val="27"/>
          <w:lang w:eastAsia="es-CO"/>
          <w14:ligatures w14:val="none"/>
        </w:rPr>
      </w:pPr>
    </w:p>
    <w:p w14:paraId="78FA6ED3" w14:textId="727867CA" w:rsidR="00F41A5F" w:rsidRPr="0057227C" w:rsidRDefault="00F41A5F" w:rsidP="0057227C">
      <w:pPr>
        <w:spacing w:after="0" w:line="480" w:lineRule="atLeast"/>
        <w:ind w:left="708"/>
        <w:jc w:val="both"/>
        <w:rPr>
          <w:rFonts w:ascii="Century Gothic" w:eastAsia="Times New Roman" w:hAnsi="Century Gothic" w:cs="Times New Roman"/>
          <w:spacing w:val="2"/>
          <w:kern w:val="0"/>
          <w:sz w:val="27"/>
          <w:szCs w:val="27"/>
          <w:lang w:eastAsia="es-CO"/>
          <w14:ligatures w14:val="none"/>
        </w:rPr>
      </w:pPr>
      <w:r w:rsidRPr="0057227C">
        <w:rPr>
          <w:rFonts w:ascii="Century Gothic" w:eastAsia="Times New Roman" w:hAnsi="Century Gothic" w:cs="Times New Roman"/>
          <w:spacing w:val="2"/>
          <w:kern w:val="0"/>
          <w:sz w:val="27"/>
          <w:szCs w:val="27"/>
          <w:lang w:eastAsia="es-CO"/>
          <w14:ligatures w14:val="none"/>
        </w:rPr>
        <w:lastRenderedPageBreak/>
        <w:t xml:space="preserve">6) Cuando una entidad mantiene una remesa en una cuenta de un banco corresponsal en el exterior generada por un pago realizado a diciembre 31, sobre el cual no se ha monetizado debido que se espera el código </w:t>
      </w:r>
      <w:proofErr w:type="spellStart"/>
      <w:r w:rsidRPr="0057227C">
        <w:rPr>
          <w:rFonts w:ascii="Century Gothic" w:eastAsia="Times New Roman" w:hAnsi="Century Gothic" w:cs="Times New Roman"/>
          <w:spacing w:val="2"/>
          <w:kern w:val="0"/>
          <w:sz w:val="27"/>
          <w:szCs w:val="27"/>
          <w:lang w:eastAsia="es-CO"/>
          <w14:ligatures w14:val="none"/>
        </w:rPr>
        <w:t>swift</w:t>
      </w:r>
      <w:proofErr w:type="spellEnd"/>
      <w:r w:rsidRPr="0057227C">
        <w:rPr>
          <w:rFonts w:ascii="Century Gothic" w:eastAsia="Times New Roman" w:hAnsi="Century Gothic" w:cs="Times New Roman"/>
          <w:spacing w:val="2"/>
          <w:kern w:val="0"/>
          <w:sz w:val="27"/>
          <w:szCs w:val="27"/>
          <w:lang w:eastAsia="es-CO"/>
          <w14:ligatures w14:val="none"/>
        </w:rPr>
        <w:t xml:space="preserve"> (la entidad no tiene cuenta en el exterior en el banco corresponsal). ¿En este caso el monto a diciembre 31, como remesa del exterior en moneda extranjera, deberá declararse en la declaración de activos del exterior.</w:t>
      </w:r>
    </w:p>
    <w:p w14:paraId="1CA5751D" w14:textId="77777777" w:rsidR="0057227C" w:rsidRDefault="0057227C" w:rsidP="0057227C">
      <w:pPr>
        <w:spacing w:after="0" w:line="480" w:lineRule="atLeast"/>
        <w:ind w:left="708"/>
        <w:jc w:val="both"/>
        <w:rPr>
          <w:rFonts w:ascii="Century Gothic" w:eastAsia="Times New Roman" w:hAnsi="Century Gothic" w:cs="Times New Roman"/>
          <w:spacing w:val="2"/>
          <w:kern w:val="0"/>
          <w:sz w:val="27"/>
          <w:szCs w:val="27"/>
          <w:lang w:eastAsia="es-CO"/>
          <w14:ligatures w14:val="none"/>
        </w:rPr>
      </w:pPr>
    </w:p>
    <w:p w14:paraId="3A7A833F" w14:textId="008580A9" w:rsidR="00F41A5F" w:rsidRPr="0057227C" w:rsidRDefault="00F41A5F" w:rsidP="0057227C">
      <w:pPr>
        <w:spacing w:after="0" w:line="480" w:lineRule="atLeast"/>
        <w:ind w:left="708"/>
        <w:jc w:val="both"/>
        <w:rPr>
          <w:rFonts w:ascii="Century Gothic" w:eastAsia="Times New Roman" w:hAnsi="Century Gothic" w:cs="Times New Roman"/>
          <w:spacing w:val="2"/>
          <w:kern w:val="0"/>
          <w:sz w:val="27"/>
          <w:szCs w:val="27"/>
          <w:lang w:eastAsia="es-CO"/>
          <w14:ligatures w14:val="none"/>
        </w:rPr>
      </w:pPr>
      <w:r w:rsidRPr="0057227C">
        <w:rPr>
          <w:rFonts w:ascii="Century Gothic" w:eastAsia="Times New Roman" w:hAnsi="Century Gothic" w:cs="Times New Roman"/>
          <w:spacing w:val="2"/>
          <w:kern w:val="0"/>
          <w:sz w:val="27"/>
          <w:szCs w:val="27"/>
          <w:lang w:eastAsia="es-CO"/>
          <w14:ligatures w14:val="none"/>
        </w:rPr>
        <w:t>7) Cuando una entidad mantiene una gasto pagado por anticipado ocasionado por una suscripción pagada a un proveedor en el exterior. ¿En este caso el monto a diciembre 31, como gastos pagado por anticipado a un proveedor en moneda</w:t>
      </w:r>
      <w:r w:rsidRPr="0057227C">
        <w:rPr>
          <w:rFonts w:ascii="Century Gothic" w:eastAsia="Times New Roman" w:hAnsi="Century Gothic" w:cs="Times New Roman"/>
          <w:b/>
          <w:bCs/>
          <w:spacing w:val="2"/>
          <w:kern w:val="0"/>
          <w:sz w:val="27"/>
          <w:szCs w:val="27"/>
          <w:lang w:eastAsia="es-CO"/>
          <w14:ligatures w14:val="none"/>
        </w:rPr>
        <w:t xml:space="preserve"> extranjera, deberá declararse en la declaración de activos del exterior.</w:t>
      </w:r>
    </w:p>
    <w:p w14:paraId="6C8F1860" w14:textId="77777777" w:rsidR="0057227C" w:rsidRDefault="0057227C" w:rsidP="00F41A5F">
      <w:pPr>
        <w:spacing w:after="240" w:line="480" w:lineRule="atLeast"/>
        <w:jc w:val="both"/>
        <w:rPr>
          <w:rFonts w:ascii="Century Gothic" w:eastAsia="Times New Roman" w:hAnsi="Century Gothic" w:cs="Times New Roman"/>
          <w:spacing w:val="2"/>
          <w:kern w:val="0"/>
          <w:sz w:val="27"/>
          <w:szCs w:val="27"/>
          <w:lang w:eastAsia="es-CO"/>
          <w14:ligatures w14:val="none"/>
        </w:rPr>
      </w:pPr>
    </w:p>
    <w:p w14:paraId="0909E5A0" w14:textId="128AA957" w:rsidR="00F41A5F" w:rsidRPr="0057227C" w:rsidRDefault="00F41A5F" w:rsidP="00F41A5F">
      <w:pPr>
        <w:spacing w:after="240" w:line="480" w:lineRule="atLeast"/>
        <w:jc w:val="both"/>
        <w:rPr>
          <w:rFonts w:ascii="Century Gothic" w:eastAsia="Times New Roman" w:hAnsi="Century Gothic" w:cs="Times New Roman"/>
          <w:b/>
          <w:bCs/>
          <w:spacing w:val="2"/>
          <w:kern w:val="0"/>
          <w:sz w:val="32"/>
          <w:szCs w:val="32"/>
          <w:lang w:eastAsia="es-CO"/>
          <w14:ligatures w14:val="none"/>
        </w:rPr>
      </w:pPr>
      <w:r w:rsidRPr="0057227C">
        <w:rPr>
          <w:rFonts w:ascii="Century Gothic" w:eastAsia="Times New Roman" w:hAnsi="Century Gothic" w:cs="Times New Roman"/>
          <w:b/>
          <w:bCs/>
          <w:spacing w:val="2"/>
          <w:kern w:val="0"/>
          <w:sz w:val="32"/>
          <w:szCs w:val="32"/>
          <w:lang w:eastAsia="es-CO"/>
          <w14:ligatures w14:val="none"/>
        </w:rPr>
        <w:t>Al respecto, nos permitimos remitirle el Concepto No. 995 del 7 de octubre del 2015, doctrina vigente en la materia, mediante el cual se resuelven estas inquietudes.</w:t>
      </w:r>
    </w:p>
    <w:p w14:paraId="2C509C3B" w14:textId="77777777" w:rsidR="00F41A5F" w:rsidRPr="0057227C" w:rsidRDefault="00F41A5F" w:rsidP="00F41A5F">
      <w:pPr>
        <w:spacing w:after="240" w:line="480" w:lineRule="atLeast"/>
        <w:jc w:val="both"/>
        <w:rPr>
          <w:rFonts w:ascii="Century Gothic" w:eastAsia="Times New Roman" w:hAnsi="Century Gothic" w:cs="Times New Roman"/>
          <w:spacing w:val="2"/>
          <w:kern w:val="0"/>
          <w:sz w:val="27"/>
          <w:szCs w:val="27"/>
          <w:lang w:eastAsia="es-CO"/>
          <w14:ligatures w14:val="none"/>
        </w:rPr>
      </w:pPr>
      <w:r w:rsidRPr="0057227C">
        <w:rPr>
          <w:rFonts w:ascii="Century Gothic" w:eastAsia="Times New Roman" w:hAnsi="Century Gothic" w:cs="Times New Roman"/>
          <w:spacing w:val="2"/>
          <w:kern w:val="0"/>
          <w:sz w:val="27"/>
          <w:szCs w:val="27"/>
          <w:lang w:eastAsia="es-CO"/>
          <w14:ligatures w14:val="none"/>
        </w:rPr>
        <w:t>Atentamente,</w:t>
      </w:r>
    </w:p>
    <w:p w14:paraId="2B863EC7" w14:textId="77777777" w:rsidR="00F41A5F" w:rsidRPr="0057227C" w:rsidRDefault="00F41A5F" w:rsidP="0057227C">
      <w:pPr>
        <w:spacing w:after="0" w:line="480" w:lineRule="atLeast"/>
        <w:jc w:val="both"/>
        <w:rPr>
          <w:rFonts w:ascii="Century Gothic" w:eastAsia="Times New Roman" w:hAnsi="Century Gothic" w:cs="Times New Roman"/>
          <w:spacing w:val="2"/>
          <w:kern w:val="0"/>
          <w:sz w:val="27"/>
          <w:szCs w:val="27"/>
          <w:lang w:eastAsia="es-CO"/>
          <w14:ligatures w14:val="none"/>
        </w:rPr>
      </w:pPr>
      <w:r w:rsidRPr="0057227C">
        <w:rPr>
          <w:rFonts w:ascii="Century Gothic" w:eastAsia="Times New Roman" w:hAnsi="Century Gothic" w:cs="Times New Roman"/>
          <w:b/>
          <w:bCs/>
          <w:spacing w:val="2"/>
          <w:kern w:val="0"/>
          <w:sz w:val="27"/>
          <w:szCs w:val="27"/>
          <w:lang w:eastAsia="es-CO"/>
          <w14:ligatures w14:val="none"/>
        </w:rPr>
        <w:t>NICOLÁS BERNAL ABELLA</w:t>
      </w:r>
    </w:p>
    <w:p w14:paraId="58232CBC" w14:textId="77777777" w:rsidR="00F41A5F" w:rsidRPr="0057227C" w:rsidRDefault="00F41A5F" w:rsidP="0057227C">
      <w:pPr>
        <w:spacing w:after="240" w:line="480" w:lineRule="atLeast"/>
        <w:jc w:val="both"/>
        <w:rPr>
          <w:rFonts w:ascii="Century Gothic" w:eastAsia="Times New Roman" w:hAnsi="Century Gothic" w:cs="Times New Roman"/>
          <w:spacing w:val="2"/>
          <w:kern w:val="0"/>
          <w:sz w:val="27"/>
          <w:szCs w:val="27"/>
          <w:lang w:eastAsia="es-CO"/>
          <w14:ligatures w14:val="none"/>
        </w:rPr>
      </w:pPr>
      <w:r w:rsidRPr="0057227C">
        <w:rPr>
          <w:rFonts w:ascii="Century Gothic" w:eastAsia="Times New Roman" w:hAnsi="Century Gothic" w:cs="Times New Roman"/>
          <w:spacing w:val="2"/>
          <w:kern w:val="0"/>
          <w:sz w:val="27"/>
          <w:szCs w:val="27"/>
          <w:lang w:eastAsia="es-CO"/>
          <w14:ligatures w14:val="none"/>
        </w:rPr>
        <w:t>Subdirector de Gestión Normativa y Doctrina (E)</w:t>
      </w:r>
    </w:p>
    <w:p w14:paraId="58781D55" w14:textId="77777777" w:rsidR="00F41A5F" w:rsidRDefault="00F41A5F" w:rsidP="0057227C">
      <w:pPr>
        <w:spacing w:after="240" w:line="480" w:lineRule="atLeast"/>
        <w:jc w:val="both"/>
        <w:rPr>
          <w:rFonts w:ascii="Century Gothic" w:eastAsia="Times New Roman" w:hAnsi="Century Gothic" w:cs="Times New Roman"/>
          <w:spacing w:val="2"/>
          <w:kern w:val="0"/>
          <w:sz w:val="27"/>
          <w:szCs w:val="27"/>
          <w:lang w:eastAsia="es-CO"/>
          <w14:ligatures w14:val="none"/>
        </w:rPr>
      </w:pPr>
      <w:r w:rsidRPr="0057227C">
        <w:rPr>
          <w:rFonts w:ascii="Century Gothic" w:eastAsia="Times New Roman" w:hAnsi="Century Gothic" w:cs="Times New Roman"/>
          <w:spacing w:val="2"/>
          <w:kern w:val="0"/>
          <w:sz w:val="27"/>
          <w:szCs w:val="27"/>
          <w:lang w:eastAsia="es-CO"/>
          <w14:ligatures w14:val="none"/>
        </w:rPr>
        <w:t>Dirección de Gestión Jurídica</w:t>
      </w:r>
    </w:p>
    <w:p w14:paraId="495C5B38" w14:textId="53A7EC67" w:rsidR="0057227C" w:rsidRPr="0057227C" w:rsidRDefault="0057227C" w:rsidP="0057227C">
      <w:pPr>
        <w:spacing w:after="240" w:line="480" w:lineRule="atLeast"/>
        <w:jc w:val="both"/>
        <w:rPr>
          <w:rFonts w:ascii="Century Gothic" w:eastAsia="Times New Roman" w:hAnsi="Century Gothic" w:cs="Times New Roman"/>
          <w:spacing w:val="2"/>
          <w:kern w:val="0"/>
          <w:sz w:val="27"/>
          <w:szCs w:val="27"/>
          <w:lang w:eastAsia="es-CO"/>
          <w14:ligatures w14:val="none"/>
        </w:rPr>
      </w:pPr>
      <w:r>
        <w:rPr>
          <w:rFonts w:ascii="Century Gothic" w:eastAsia="Times New Roman" w:hAnsi="Century Gothic" w:cs="Times New Roman"/>
          <w:spacing w:val="2"/>
          <w:kern w:val="0"/>
          <w:sz w:val="27"/>
          <w:szCs w:val="27"/>
          <w:lang w:eastAsia="es-CO"/>
          <w14:ligatures w14:val="none"/>
        </w:rPr>
        <w:t>__________________________________________________________________</w:t>
      </w:r>
    </w:p>
    <w:sectPr w:rsidR="0057227C" w:rsidRPr="0057227C"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A5F"/>
    <w:rsid w:val="000F3837"/>
    <w:rsid w:val="001E311E"/>
    <w:rsid w:val="00434AE6"/>
    <w:rsid w:val="0057227C"/>
    <w:rsid w:val="00596C78"/>
    <w:rsid w:val="005D25EE"/>
    <w:rsid w:val="007F5CC8"/>
    <w:rsid w:val="008779BE"/>
    <w:rsid w:val="008C2E57"/>
    <w:rsid w:val="00CA337D"/>
    <w:rsid w:val="00EB5ADB"/>
    <w:rsid w:val="00F41A5F"/>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30B18"/>
  <w15:chartTrackingRefBased/>
  <w15:docId w15:val="{B7769EB6-59BF-45AF-92F3-63FBB4041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F41A5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F41A5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F41A5F"/>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F41A5F"/>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tulo5">
    <w:name w:val="heading 5"/>
    <w:basedOn w:val="Normal"/>
    <w:next w:val="Normal"/>
    <w:link w:val="Ttulo5Car"/>
    <w:uiPriority w:val="9"/>
    <w:semiHidden/>
    <w:unhideWhenUsed/>
    <w:qFormat/>
    <w:rsid w:val="00F41A5F"/>
    <w:pPr>
      <w:keepNext/>
      <w:keepLines/>
      <w:spacing w:before="80" w:after="40"/>
      <w:outlineLvl w:val="4"/>
    </w:pPr>
    <w:rPr>
      <w:rFonts w:asciiTheme="minorHAnsi" w:eastAsiaTheme="majorEastAsia" w:hAnsiTheme="minorHAnsi" w:cstheme="majorBidi"/>
      <w:color w:val="0F4761" w:themeColor="accent1" w:themeShade="BF"/>
    </w:rPr>
  </w:style>
  <w:style w:type="paragraph" w:styleId="Ttulo6">
    <w:name w:val="heading 6"/>
    <w:basedOn w:val="Normal"/>
    <w:next w:val="Normal"/>
    <w:link w:val="Ttulo6Car"/>
    <w:uiPriority w:val="9"/>
    <w:semiHidden/>
    <w:unhideWhenUsed/>
    <w:qFormat/>
    <w:rsid w:val="00F41A5F"/>
    <w:pPr>
      <w:keepNext/>
      <w:keepLines/>
      <w:spacing w:before="40" w:after="0"/>
      <w:outlineLvl w:val="5"/>
    </w:pPr>
    <w:rPr>
      <w:rFonts w:asciiTheme="minorHAnsi" w:eastAsiaTheme="majorEastAsia" w:hAnsiTheme="minorHAnsi" w:cstheme="majorBidi"/>
      <w:i/>
      <w:iCs/>
      <w:color w:val="595959" w:themeColor="text1" w:themeTint="A6"/>
    </w:rPr>
  </w:style>
  <w:style w:type="paragraph" w:styleId="Ttulo7">
    <w:name w:val="heading 7"/>
    <w:basedOn w:val="Normal"/>
    <w:next w:val="Normal"/>
    <w:link w:val="Ttulo7Car"/>
    <w:uiPriority w:val="9"/>
    <w:semiHidden/>
    <w:unhideWhenUsed/>
    <w:qFormat/>
    <w:rsid w:val="00F41A5F"/>
    <w:pPr>
      <w:keepNext/>
      <w:keepLines/>
      <w:spacing w:before="40" w:after="0"/>
      <w:outlineLvl w:val="6"/>
    </w:pPr>
    <w:rPr>
      <w:rFonts w:asciiTheme="minorHAnsi" w:eastAsiaTheme="majorEastAsia" w:hAnsiTheme="minorHAnsi" w:cstheme="majorBidi"/>
      <w:color w:val="595959" w:themeColor="text1" w:themeTint="A6"/>
    </w:rPr>
  </w:style>
  <w:style w:type="paragraph" w:styleId="Ttulo8">
    <w:name w:val="heading 8"/>
    <w:basedOn w:val="Normal"/>
    <w:next w:val="Normal"/>
    <w:link w:val="Ttulo8Car"/>
    <w:uiPriority w:val="9"/>
    <w:semiHidden/>
    <w:unhideWhenUsed/>
    <w:qFormat/>
    <w:rsid w:val="00F41A5F"/>
    <w:pPr>
      <w:keepNext/>
      <w:keepLines/>
      <w:spacing w:after="0"/>
      <w:outlineLvl w:val="7"/>
    </w:pPr>
    <w:rPr>
      <w:rFonts w:asciiTheme="minorHAnsi" w:eastAsiaTheme="majorEastAsia" w:hAnsiTheme="minorHAnsi" w:cstheme="majorBidi"/>
      <w:i/>
      <w:iCs/>
      <w:color w:val="272727" w:themeColor="text1" w:themeTint="D8"/>
    </w:rPr>
  </w:style>
  <w:style w:type="paragraph" w:styleId="Ttulo9">
    <w:name w:val="heading 9"/>
    <w:basedOn w:val="Normal"/>
    <w:next w:val="Normal"/>
    <w:link w:val="Ttulo9Car"/>
    <w:uiPriority w:val="9"/>
    <w:semiHidden/>
    <w:unhideWhenUsed/>
    <w:qFormat/>
    <w:rsid w:val="00F41A5F"/>
    <w:pPr>
      <w:keepNext/>
      <w:keepLines/>
      <w:spacing w:after="0"/>
      <w:outlineLvl w:val="8"/>
    </w:pPr>
    <w:rPr>
      <w:rFonts w:asciiTheme="minorHAnsi" w:eastAsiaTheme="majorEastAsia" w:hAnsiTheme="minorHAnsi"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41A5F"/>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F41A5F"/>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F41A5F"/>
    <w:rPr>
      <w:rFonts w:asciiTheme="minorHAnsi" w:eastAsiaTheme="majorEastAsia" w:hAnsiTheme="minorHAnsi" w:cstheme="majorBidi"/>
      <w:color w:val="0F4761" w:themeColor="accent1" w:themeShade="BF"/>
      <w:sz w:val="28"/>
      <w:szCs w:val="28"/>
    </w:rPr>
  </w:style>
  <w:style w:type="character" w:customStyle="1" w:styleId="Ttulo4Car">
    <w:name w:val="Título 4 Car"/>
    <w:basedOn w:val="Fuentedeprrafopredeter"/>
    <w:link w:val="Ttulo4"/>
    <w:uiPriority w:val="9"/>
    <w:semiHidden/>
    <w:rsid w:val="00F41A5F"/>
    <w:rPr>
      <w:rFonts w:asciiTheme="minorHAnsi" w:eastAsiaTheme="majorEastAsia" w:hAnsiTheme="minorHAnsi" w:cstheme="majorBidi"/>
      <w:i/>
      <w:iCs/>
      <w:color w:val="0F4761" w:themeColor="accent1" w:themeShade="BF"/>
    </w:rPr>
  </w:style>
  <w:style w:type="character" w:customStyle="1" w:styleId="Ttulo5Car">
    <w:name w:val="Título 5 Car"/>
    <w:basedOn w:val="Fuentedeprrafopredeter"/>
    <w:link w:val="Ttulo5"/>
    <w:uiPriority w:val="9"/>
    <w:semiHidden/>
    <w:rsid w:val="00F41A5F"/>
    <w:rPr>
      <w:rFonts w:asciiTheme="minorHAnsi" w:eastAsiaTheme="majorEastAsia" w:hAnsiTheme="minorHAnsi" w:cstheme="majorBidi"/>
      <w:color w:val="0F4761" w:themeColor="accent1" w:themeShade="BF"/>
    </w:rPr>
  </w:style>
  <w:style w:type="character" w:customStyle="1" w:styleId="Ttulo6Car">
    <w:name w:val="Título 6 Car"/>
    <w:basedOn w:val="Fuentedeprrafopredeter"/>
    <w:link w:val="Ttulo6"/>
    <w:uiPriority w:val="9"/>
    <w:semiHidden/>
    <w:rsid w:val="00F41A5F"/>
    <w:rPr>
      <w:rFonts w:asciiTheme="minorHAnsi" w:eastAsiaTheme="majorEastAsia" w:hAnsiTheme="minorHAnsi" w:cstheme="majorBidi"/>
      <w:i/>
      <w:iCs/>
      <w:color w:val="595959" w:themeColor="text1" w:themeTint="A6"/>
    </w:rPr>
  </w:style>
  <w:style w:type="character" w:customStyle="1" w:styleId="Ttulo7Car">
    <w:name w:val="Título 7 Car"/>
    <w:basedOn w:val="Fuentedeprrafopredeter"/>
    <w:link w:val="Ttulo7"/>
    <w:uiPriority w:val="9"/>
    <w:semiHidden/>
    <w:rsid w:val="00F41A5F"/>
    <w:rPr>
      <w:rFonts w:asciiTheme="minorHAnsi" w:eastAsiaTheme="majorEastAsia" w:hAnsiTheme="minorHAnsi" w:cstheme="majorBidi"/>
      <w:color w:val="595959" w:themeColor="text1" w:themeTint="A6"/>
    </w:rPr>
  </w:style>
  <w:style w:type="character" w:customStyle="1" w:styleId="Ttulo8Car">
    <w:name w:val="Título 8 Car"/>
    <w:basedOn w:val="Fuentedeprrafopredeter"/>
    <w:link w:val="Ttulo8"/>
    <w:uiPriority w:val="9"/>
    <w:semiHidden/>
    <w:rsid w:val="00F41A5F"/>
    <w:rPr>
      <w:rFonts w:asciiTheme="minorHAnsi" w:eastAsiaTheme="majorEastAsia" w:hAnsiTheme="minorHAnsi" w:cstheme="majorBidi"/>
      <w:i/>
      <w:iCs/>
      <w:color w:val="272727" w:themeColor="text1" w:themeTint="D8"/>
    </w:rPr>
  </w:style>
  <w:style w:type="character" w:customStyle="1" w:styleId="Ttulo9Car">
    <w:name w:val="Título 9 Car"/>
    <w:basedOn w:val="Fuentedeprrafopredeter"/>
    <w:link w:val="Ttulo9"/>
    <w:uiPriority w:val="9"/>
    <w:semiHidden/>
    <w:rsid w:val="00F41A5F"/>
    <w:rPr>
      <w:rFonts w:asciiTheme="minorHAnsi" w:eastAsiaTheme="majorEastAsia" w:hAnsiTheme="minorHAnsi" w:cstheme="majorBidi"/>
      <w:color w:val="272727" w:themeColor="text1" w:themeTint="D8"/>
    </w:rPr>
  </w:style>
  <w:style w:type="paragraph" w:styleId="Ttulo">
    <w:name w:val="Title"/>
    <w:basedOn w:val="Normal"/>
    <w:next w:val="Normal"/>
    <w:link w:val="TtuloCar"/>
    <w:uiPriority w:val="10"/>
    <w:qFormat/>
    <w:rsid w:val="00F41A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41A5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F41A5F"/>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F41A5F"/>
    <w:rPr>
      <w:rFonts w:asciiTheme="minorHAnsi" w:eastAsiaTheme="majorEastAsia" w:hAnsiTheme="minorHAnsi" w:cstheme="majorBidi"/>
      <w:color w:val="595959" w:themeColor="text1" w:themeTint="A6"/>
      <w:spacing w:val="15"/>
      <w:sz w:val="28"/>
      <w:szCs w:val="28"/>
    </w:rPr>
  </w:style>
  <w:style w:type="paragraph" w:styleId="Cita">
    <w:name w:val="Quote"/>
    <w:basedOn w:val="Normal"/>
    <w:next w:val="Normal"/>
    <w:link w:val="CitaCar"/>
    <w:uiPriority w:val="29"/>
    <w:qFormat/>
    <w:rsid w:val="00F41A5F"/>
    <w:pPr>
      <w:spacing w:before="160"/>
      <w:jc w:val="center"/>
    </w:pPr>
    <w:rPr>
      <w:i/>
      <w:iCs/>
      <w:color w:val="404040" w:themeColor="text1" w:themeTint="BF"/>
    </w:rPr>
  </w:style>
  <w:style w:type="character" w:customStyle="1" w:styleId="CitaCar">
    <w:name w:val="Cita Car"/>
    <w:basedOn w:val="Fuentedeprrafopredeter"/>
    <w:link w:val="Cita"/>
    <w:uiPriority w:val="29"/>
    <w:rsid w:val="00F41A5F"/>
    <w:rPr>
      <w:i/>
      <w:iCs/>
      <w:color w:val="404040" w:themeColor="text1" w:themeTint="BF"/>
    </w:rPr>
  </w:style>
  <w:style w:type="paragraph" w:styleId="Prrafodelista">
    <w:name w:val="List Paragraph"/>
    <w:basedOn w:val="Normal"/>
    <w:uiPriority w:val="34"/>
    <w:qFormat/>
    <w:rsid w:val="00F41A5F"/>
    <w:pPr>
      <w:ind w:left="720"/>
      <w:contextualSpacing/>
    </w:pPr>
  </w:style>
  <w:style w:type="character" w:styleId="nfasisintenso">
    <w:name w:val="Intense Emphasis"/>
    <w:basedOn w:val="Fuentedeprrafopredeter"/>
    <w:uiPriority w:val="21"/>
    <w:qFormat/>
    <w:rsid w:val="00F41A5F"/>
    <w:rPr>
      <w:i/>
      <w:iCs/>
      <w:color w:val="0F4761" w:themeColor="accent1" w:themeShade="BF"/>
    </w:rPr>
  </w:style>
  <w:style w:type="paragraph" w:styleId="Citadestacada">
    <w:name w:val="Intense Quote"/>
    <w:basedOn w:val="Normal"/>
    <w:next w:val="Normal"/>
    <w:link w:val="CitadestacadaCar"/>
    <w:uiPriority w:val="30"/>
    <w:qFormat/>
    <w:rsid w:val="00F41A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F41A5F"/>
    <w:rPr>
      <w:i/>
      <w:iCs/>
      <w:color w:val="0F4761" w:themeColor="accent1" w:themeShade="BF"/>
    </w:rPr>
  </w:style>
  <w:style w:type="character" w:styleId="Referenciaintensa">
    <w:name w:val="Intense Reference"/>
    <w:basedOn w:val="Fuentedeprrafopredeter"/>
    <w:uiPriority w:val="32"/>
    <w:qFormat/>
    <w:rsid w:val="00F41A5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4246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rmograma.dian.gov.co/dian/compilacion/docs/estatuto_tributario.htm" TargetMode="External"/><Relationship Id="rId3" Type="http://schemas.openxmlformats.org/officeDocument/2006/relationships/webSettings" Target="webSettings.xml"/><Relationship Id="rId7" Type="http://schemas.openxmlformats.org/officeDocument/2006/relationships/hyperlink" Target="https://normograma.dian.gov.co/dian/compilacion/docs/estatuto_tributario.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ormograma.dian.gov.co/dian/compilacion/docs/ley_1739_2014.htm" TargetMode="External"/><Relationship Id="rId5" Type="http://schemas.openxmlformats.org/officeDocument/2006/relationships/hyperlink" Target="https://normograma.dian.gov.co/dian/compilacion/docs/concepto_tributario_dian_0027751_2015.htm" TargetMode="External"/><Relationship Id="rId10" Type="http://schemas.openxmlformats.org/officeDocument/2006/relationships/theme" Target="theme/theme1.xml"/><Relationship Id="rId4" Type="http://schemas.openxmlformats.org/officeDocument/2006/relationships/hyperlink" Target="https://normograma.dian.gov.co/dian/compilacion/docs/decreto_4048_2008.htm" TargetMode="Externa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1046</Words>
  <Characters>5755</Characters>
  <Application>Microsoft Office Word</Application>
  <DocSecurity>0</DocSecurity>
  <Lines>47</Lines>
  <Paragraphs>13</Paragraphs>
  <ScaleCrop>false</ScaleCrop>
  <Company/>
  <LinksUpToDate>false</LinksUpToDate>
  <CharactersWithSpaces>6788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Alexandra Orozco López</dc:creator>
  <cp:keywords/>
  <dc:description/>
  <cp:lastModifiedBy>Diana Alexandra Orozco López</cp:lastModifiedBy>
  <cp:revision>2</cp:revision>
  <dcterms:created xsi:type="dcterms:W3CDTF">2024-05-23T16:03:00Z</dcterms:created>
  <dcterms:modified xsi:type="dcterms:W3CDTF">2024-06-08T00:15:00Z</dcterms:modified>
</cp:coreProperties>
</file>