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D08456" w14:textId="77777777" w:rsidR="002D4D4A" w:rsidRDefault="002D4D4A" w:rsidP="002D4D4A">
      <w:pPr>
        <w:pStyle w:val="text-align-center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b/>
          <w:bCs/>
          <w:color w:val="000000"/>
        </w:rPr>
        <w:t>CONCEPTO DIAN 310 DEL 30 DE ABRIL DE 2024</w:t>
      </w:r>
    </w:p>
    <w:p w14:paraId="3971D0ED" w14:textId="77777777" w:rsidR="002D4D4A" w:rsidRDefault="002D4D4A" w:rsidP="002D4D4A">
      <w:pPr>
        <w:pStyle w:val="text-align-center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b/>
          <w:bCs/>
          <w:color w:val="000000"/>
        </w:rPr>
        <w:t>DIRECCIÓN DE IMPUESTOS Y ADUANAS NACIONALES</w:t>
      </w:r>
    </w:p>
    <w:p w14:paraId="5E68ED56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7A65E2E4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Bogotá, D.C.</w:t>
      </w:r>
    </w:p>
    <w:p w14:paraId="31BE3F30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6A8ADFBD" w14:textId="24CACDA3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ind w:hanging="705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 xml:space="preserve">        </w:t>
      </w:r>
      <w:r>
        <w:rPr>
          <w:rFonts w:ascii="Verdana" w:hAnsi="Verdana" w:cs="Helvetica"/>
          <w:color w:val="000000"/>
        </w:rPr>
        <w:t>Ref.: Segunda adición al Concepto General sobre las derogatorias de la Ley 2277 de 2022</w:t>
      </w:r>
    </w:p>
    <w:p w14:paraId="6CB6448D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2770CED5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b/>
          <w:bCs/>
          <w:color w:val="000000"/>
        </w:rPr>
        <w:t xml:space="preserve">Tema:   </w:t>
      </w:r>
      <w:r>
        <w:rPr>
          <w:rFonts w:ascii="Verdana" w:hAnsi="Verdana" w:cs="Helvetica"/>
          <w:color w:val="000000"/>
        </w:rPr>
        <w:t>Impuesto sobre la renta y complementarios</w:t>
      </w:r>
    </w:p>
    <w:p w14:paraId="2DBB93BA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b/>
          <w:bCs/>
          <w:color w:val="000000"/>
        </w:rPr>
        <w:t xml:space="preserve">Descriptores:  </w:t>
      </w:r>
      <w:r>
        <w:rPr>
          <w:rFonts w:ascii="Verdana" w:hAnsi="Verdana" w:cs="Helvetica"/>
          <w:color w:val="000000"/>
        </w:rPr>
        <w:t>Rentas exentas</w:t>
      </w:r>
    </w:p>
    <w:p w14:paraId="101F11F4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b/>
          <w:bCs/>
          <w:color w:val="000000"/>
        </w:rPr>
        <w:t xml:space="preserve">Fuentes formales: </w:t>
      </w:r>
      <w:r>
        <w:rPr>
          <w:rFonts w:ascii="Verdana" w:hAnsi="Verdana" w:cs="Helvetica"/>
          <w:color w:val="000000"/>
        </w:rPr>
        <w:t>Artículo 96 de la Ley 2277 de 2022</w:t>
      </w:r>
    </w:p>
    <w:p w14:paraId="130066C8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ind w:left="2835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Numeral 6 del artículo 235-2 del Estatuto Tributario</w:t>
      </w:r>
    </w:p>
    <w:p w14:paraId="1173AF6C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ind w:left="2835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Artículo 1.2.1.22.9. del Decreto 1625 de 2016</w:t>
      </w:r>
    </w:p>
    <w:p w14:paraId="1E1D6E85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6A25A534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Cordial saludo</w:t>
      </w:r>
    </w:p>
    <w:p w14:paraId="413FA145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411AA4B1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De conformidad con el artículo 56 del Decreto 1742 de 2020, este Despacho está facultado para absolver las consultas escritas generales que se formulen sobre la interpretación y aplicación de las normas tributarias, aduaneras y de fiscalización cambiaria, en el marco de las competencias de la Dirección de Impuestos y Aduanas Nacionales. Por consiguiente, no corresponde a este Despacho, en ejercicio de las funciones descritas anteriormente, prestar asesoría específica para atender casos particulares, ni juzgar o calificar las decisiones tomadas por otras dependencias o entidades.</w:t>
      </w:r>
    </w:p>
    <w:p w14:paraId="362CDEDC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726E7F7A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Mediante el presente pronunciamiento, esta Subdirección absolverá un interrogante formulado en torno a las derogatorias de la Ley 2277 de 2022 de que trata su artículo 96, con la adición al Concepto General de la referencia (Concepto 003051 - interno 323 del 13 de marzo de 2023).</w:t>
      </w:r>
    </w:p>
    <w:p w14:paraId="141D5832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44CD26CB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ind w:left="705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b/>
          <w:bCs/>
          <w:color w:val="000000"/>
        </w:rPr>
        <w:t>5. ¿Las sociedades que accedieron a la renta exenta de que trataba el numeral 6 del artículo 235-2 del Estatuto Tributario (prestación del servicio de transporte fluvial) desde antes de la entrada en vigor de la Ley 2277 de 2022 y que fue derogada mediante su artículo 96 ¿continúan gozando de la misma?</w:t>
      </w:r>
    </w:p>
    <w:p w14:paraId="0D560F2B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39909ACC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El numeral 6 del artículo 235-2 del Estatuto Tributario antes de su derogatoria por parte del artículo 96 de la Ley 2277 de 2022 consagraba una renta exenta en los siguientes términos:</w:t>
      </w:r>
    </w:p>
    <w:p w14:paraId="7B8F4418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i/>
          <w:iCs/>
          <w:color w:val="000000"/>
          <w:sz w:val="22"/>
          <w:szCs w:val="22"/>
        </w:rPr>
        <w:t>«6. La prestación del servicio fluvial con embarcaciones y planchones de bajo calado, por un término de quince (15) años a partir de la vigencia de la Ley 1943 de 2018.»</w:t>
      </w:r>
    </w:p>
    <w:p w14:paraId="42345191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6C2A0376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 xml:space="preserve">Al respecto, tal y como se indicó en el punto #1 de este pronunciamiento, es de precisar que los contribuyentes que hubieren accedido a la reseñada renta exenta desde antes de la entrada en vigor de la Ley 2277 de 2022, podrán </w:t>
      </w:r>
      <w:r>
        <w:rPr>
          <w:rFonts w:ascii="Verdana" w:hAnsi="Verdana" w:cs="Helvetica"/>
          <w:color w:val="000000"/>
        </w:rPr>
        <w:lastRenderedPageBreak/>
        <w:t>continuar gozando de la misma, en tanto hayan consolidado una situación jurídica y siempre y cuando continúen cumpliendo los requisitos previstos en la normativa tributaria para acceder al referido incentivo (cfr. artículo 1.2.1.22.9. del Decreto 1625 de 2016</w:t>
      </w:r>
    </w:p>
    <w:p w14:paraId="22D3B344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2E90F2AC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 xml:space="preserve">En los anteriores términos se absuelve su petición y se recuerda que la normativa, jurisprudencia y doctrina en materia tributaria, aduanera y de fiscalización cambiaria, en lo de competencia de esta Entidad, puede consultarse en el normograma DIAN: </w:t>
      </w:r>
      <w:r>
        <w:rPr>
          <w:rFonts w:ascii="Verdana" w:hAnsi="Verdana" w:cs="Helvetica"/>
          <w:color w:val="000000"/>
          <w:u w:val="single"/>
        </w:rPr>
        <w:t>https://normograma.dian.gov.co/dian/.</w:t>
      </w:r>
    </w:p>
    <w:p w14:paraId="09BA8874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br/>
      </w:r>
      <w:r>
        <w:rPr>
          <w:rFonts w:ascii="Helvetica" w:hAnsi="Helvetica" w:cs="Helvetica"/>
          <w:color w:val="555555"/>
          <w:sz w:val="21"/>
          <w:szCs w:val="21"/>
        </w:rPr>
        <w:br/>
        <w:t> </w:t>
      </w:r>
    </w:p>
    <w:p w14:paraId="5411870E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Atentamente,</w:t>
      </w:r>
    </w:p>
    <w:p w14:paraId="3F7717C7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56D7F227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b/>
          <w:bCs/>
          <w:color w:val="000000"/>
        </w:rPr>
        <w:t>INGRID CASTAÑEDA CEPEDA</w:t>
      </w:r>
    </w:p>
    <w:p w14:paraId="3571993C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Subdirectora de Normativa y Doctrina (A)</w:t>
      </w:r>
    </w:p>
    <w:p w14:paraId="62106F2F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Subdirección de Normativa y Doctrina</w:t>
      </w:r>
    </w:p>
    <w:p w14:paraId="2B86367E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 xml:space="preserve">Dirección: </w:t>
      </w:r>
      <w:proofErr w:type="spellStart"/>
      <w:r>
        <w:rPr>
          <w:rFonts w:ascii="Verdana" w:hAnsi="Verdana" w:cs="Helvetica"/>
          <w:color w:val="000000"/>
        </w:rPr>
        <w:t>Cra</w:t>
      </w:r>
      <w:proofErr w:type="spellEnd"/>
      <w:r>
        <w:rPr>
          <w:rFonts w:ascii="Verdana" w:hAnsi="Verdana" w:cs="Helvetica"/>
          <w:color w:val="000000"/>
        </w:rPr>
        <w:t>. 8 # 6C-38 Edificio San Agustín - Piso 4</w:t>
      </w:r>
    </w:p>
    <w:p w14:paraId="56E54023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</w:rPr>
        <w:t>Bogotá, D.C.</w:t>
      </w:r>
    </w:p>
    <w:p w14:paraId="33DA59AE" w14:textId="77777777" w:rsidR="002D4D4A" w:rsidRDefault="002D4D4A" w:rsidP="002D4D4A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Verdana" w:hAnsi="Verdana" w:cs="Helvetica"/>
          <w:color w:val="000000"/>
          <w:u w:val="single"/>
        </w:rPr>
        <w:t>www.dian.gov.co</w:t>
      </w:r>
    </w:p>
    <w:p w14:paraId="5AAF2F51" w14:textId="77777777" w:rsidR="002D4D4A" w:rsidRDefault="002D4D4A" w:rsidP="002D4D4A">
      <w:pPr>
        <w:pStyle w:val="NormalWeb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555555"/>
          <w:sz w:val="21"/>
          <w:szCs w:val="21"/>
        </w:rPr>
      </w:pPr>
      <w:r>
        <w:rPr>
          <w:rFonts w:ascii="Helvetica" w:hAnsi="Helvetica" w:cs="Helvetica"/>
          <w:color w:val="555555"/>
          <w:sz w:val="21"/>
          <w:szCs w:val="21"/>
        </w:rPr>
        <w:t> </w:t>
      </w:r>
    </w:p>
    <w:p w14:paraId="668BA93C" w14:textId="77777777" w:rsidR="007F5CC8" w:rsidRDefault="007F5CC8"/>
    <w:sectPr w:rsidR="007F5CC8" w:rsidSect="00EB5ADB">
      <w:type w:val="continuous"/>
      <w:pgSz w:w="12191" w:h="18711"/>
      <w:pgMar w:top="1134" w:right="1134" w:bottom="1134" w:left="1701" w:header="720" w:footer="72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D4A"/>
    <w:rsid w:val="000F3837"/>
    <w:rsid w:val="001E311E"/>
    <w:rsid w:val="002D4D4A"/>
    <w:rsid w:val="00434AE6"/>
    <w:rsid w:val="00533C89"/>
    <w:rsid w:val="005D25EE"/>
    <w:rsid w:val="007F5CC8"/>
    <w:rsid w:val="008779BE"/>
    <w:rsid w:val="008C2E57"/>
    <w:rsid w:val="00EB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1513D"/>
  <w15:chartTrackingRefBased/>
  <w15:docId w15:val="{93FC2C6A-5C5E-4608-A15E-3E0E64339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D4D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D4D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D4D4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D4D4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D4D4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D4D4A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D4D4A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D4D4A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D4D4A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D4D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D4D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D4D4A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D4D4A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D4D4A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D4D4A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D4D4A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D4D4A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D4D4A"/>
    <w:rPr>
      <w:rFonts w:asciiTheme="minorHAnsi" w:eastAsiaTheme="majorEastAsia" w:hAnsiTheme="minorHAnsi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D4D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D4D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D4D4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D4D4A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D4D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D4D4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D4D4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D4D4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D4D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D4D4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D4D4A"/>
    <w:rPr>
      <w:b/>
      <w:bCs/>
      <w:smallCaps/>
      <w:color w:val="0F4761" w:themeColor="accent1" w:themeShade="BF"/>
      <w:spacing w:val="5"/>
    </w:rPr>
  </w:style>
  <w:style w:type="paragraph" w:customStyle="1" w:styleId="text-align-center">
    <w:name w:val="text-align-center"/>
    <w:basedOn w:val="Normal"/>
    <w:rsid w:val="002D4D4A"/>
    <w:pPr>
      <w:spacing w:before="100" w:beforeAutospacing="1" w:after="100" w:afterAutospacing="1" w:line="240" w:lineRule="auto"/>
    </w:pPr>
    <w:rPr>
      <w:rFonts w:eastAsia="Times New Roman" w:cs="Times New Roman"/>
      <w:kern w:val="0"/>
      <w:szCs w:val="24"/>
      <w:lang w:eastAsia="es-CO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2D4D4A"/>
    <w:pPr>
      <w:spacing w:before="100" w:beforeAutospacing="1" w:after="100" w:afterAutospacing="1" w:line="240" w:lineRule="auto"/>
    </w:pPr>
    <w:rPr>
      <w:rFonts w:eastAsia="Times New Roman" w:cs="Times New Roman"/>
      <w:kern w:val="0"/>
      <w:szCs w:val="24"/>
      <w:lang w:eastAsia="es-C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035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457</Words>
  <Characters>2515</Characters>
  <Application>Microsoft Office Word</Application>
  <DocSecurity>0</DocSecurity>
  <Lines>20</Lines>
  <Paragraphs>5</Paragraphs>
  <ScaleCrop>false</ScaleCrop>
  <Company/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Alexandra Orozco López</dc:creator>
  <cp:keywords/>
  <dc:description/>
  <cp:lastModifiedBy>Diana Alexandra Orozco López</cp:lastModifiedBy>
  <cp:revision>1</cp:revision>
  <dcterms:created xsi:type="dcterms:W3CDTF">2024-05-14T23:18:00Z</dcterms:created>
  <dcterms:modified xsi:type="dcterms:W3CDTF">2024-05-14T23:20:00Z</dcterms:modified>
</cp:coreProperties>
</file>