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626E" w14:textId="77777777" w:rsidR="009E26C8" w:rsidRPr="00997F47" w:rsidRDefault="009E26C8" w:rsidP="00997F47">
      <w:pPr>
        <w:spacing w:after="0" w:line="360" w:lineRule="auto"/>
        <w:jc w:val="center"/>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b/>
          <w:bCs/>
          <w:spacing w:val="2"/>
          <w:kern w:val="0"/>
          <w:szCs w:val="24"/>
          <w:lang w:eastAsia="es-CO"/>
          <w14:ligatures w14:val="none"/>
        </w:rPr>
        <w:t xml:space="preserve">CONCEPTO 017975 </w:t>
      </w:r>
      <w:proofErr w:type="spellStart"/>
      <w:r w:rsidRPr="00997F47">
        <w:rPr>
          <w:rFonts w:ascii="Century Gothic" w:eastAsia="Times New Roman" w:hAnsi="Century Gothic" w:cs="Times New Roman"/>
          <w:b/>
          <w:bCs/>
          <w:spacing w:val="2"/>
          <w:kern w:val="0"/>
          <w:szCs w:val="24"/>
          <w:lang w:eastAsia="es-CO"/>
          <w14:ligatures w14:val="none"/>
        </w:rPr>
        <w:t>int</w:t>
      </w:r>
      <w:proofErr w:type="spellEnd"/>
      <w:r w:rsidRPr="00997F47">
        <w:rPr>
          <w:rFonts w:ascii="Century Gothic" w:eastAsia="Times New Roman" w:hAnsi="Century Gothic" w:cs="Times New Roman"/>
          <w:b/>
          <w:bCs/>
          <w:spacing w:val="2"/>
          <w:kern w:val="0"/>
          <w:szCs w:val="24"/>
          <w:lang w:eastAsia="es-CO"/>
          <w14:ligatures w14:val="none"/>
        </w:rPr>
        <w:t xml:space="preserve"> 813 DE 2024</w:t>
      </w:r>
    </w:p>
    <w:p w14:paraId="7E0509DF" w14:textId="0959B55B" w:rsidR="009E26C8" w:rsidRPr="00997F47" w:rsidRDefault="009E26C8" w:rsidP="00997F47">
      <w:pPr>
        <w:spacing w:after="240" w:line="360" w:lineRule="auto"/>
        <w:jc w:val="center"/>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(septiembre 24)</w:t>
      </w:r>
    </w:p>
    <w:p w14:paraId="2258B037" w14:textId="77777777" w:rsidR="009E26C8" w:rsidRPr="00997F47" w:rsidRDefault="009E26C8" w:rsidP="00997F47">
      <w:pPr>
        <w:spacing w:after="240" w:line="360" w:lineRule="auto"/>
        <w:jc w:val="center"/>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&lt;Fuente: Archivo interno entidad emisora&gt;</w:t>
      </w:r>
    </w:p>
    <w:p w14:paraId="3F6CFFBA" w14:textId="77777777" w:rsidR="009E26C8" w:rsidRPr="00997F47" w:rsidRDefault="009E26C8" w:rsidP="00997F47">
      <w:pPr>
        <w:spacing w:after="240" w:line="360" w:lineRule="auto"/>
        <w:jc w:val="center"/>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&lt;Publicado en la página web de la DIAN: 2 de octubre de 2024&gt;</w:t>
      </w:r>
    </w:p>
    <w:p w14:paraId="539B62ED" w14:textId="77777777" w:rsidR="009E26C8" w:rsidRPr="00997F47" w:rsidRDefault="009E26C8" w:rsidP="00997F47">
      <w:pPr>
        <w:spacing w:after="0" w:line="360" w:lineRule="auto"/>
        <w:jc w:val="center"/>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b/>
          <w:bCs/>
          <w:spacing w:val="2"/>
          <w:kern w:val="0"/>
          <w:szCs w:val="24"/>
          <w:lang w:eastAsia="es-CO"/>
          <w14:ligatures w14:val="none"/>
        </w:rPr>
        <w:t>DIRECCIÓN DE IMPUESTOS Y ADUANAS NACIONALES</w:t>
      </w:r>
    </w:p>
    <w:p w14:paraId="0B2F0E92" w14:textId="77777777" w:rsidR="009E26C8" w:rsidRPr="00997F47" w:rsidRDefault="009E26C8" w:rsidP="00997F47">
      <w:pPr>
        <w:spacing w:after="0" w:line="360" w:lineRule="auto"/>
        <w:jc w:val="center"/>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b/>
          <w:bCs/>
          <w:spacing w:val="2"/>
          <w:kern w:val="0"/>
          <w:szCs w:val="24"/>
          <w:lang w:eastAsia="es-CO"/>
          <w14:ligatures w14:val="none"/>
        </w:rPr>
        <w:t>Unidad Informática de Doctrina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4"/>
        <w:gridCol w:w="7272"/>
      </w:tblGrid>
      <w:tr w:rsidR="009E26C8" w:rsidRPr="00997F47" w14:paraId="3EA23086" w14:textId="77777777" w:rsidTr="009E26C8">
        <w:trPr>
          <w:tblCellSpacing w:w="15" w:type="dxa"/>
        </w:trPr>
        <w:tc>
          <w:tcPr>
            <w:tcW w:w="1100" w:type="pct"/>
            <w:tcBorders>
              <w:top w:val="nil"/>
              <w:left w:val="nil"/>
              <w:bottom w:val="nil"/>
              <w:right w:val="nil"/>
            </w:tcBorders>
            <w:tcMar>
              <w:top w:w="0" w:type="dxa"/>
              <w:left w:w="0" w:type="dxa"/>
              <w:bottom w:w="0" w:type="dxa"/>
              <w:right w:w="0" w:type="dxa"/>
            </w:tcMar>
            <w:hideMark/>
          </w:tcPr>
          <w:p w14:paraId="274E9CCE"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proofErr w:type="spellStart"/>
            <w:r w:rsidRPr="00997F47">
              <w:rPr>
                <w:rFonts w:ascii="Century Gothic" w:eastAsia="Times New Roman" w:hAnsi="Century Gothic" w:cs="Times New Roman"/>
                <w:spacing w:val="2"/>
                <w:kern w:val="0"/>
                <w:szCs w:val="24"/>
                <w:lang w:eastAsia="es-CO"/>
                <w14:ligatures w14:val="none"/>
              </w:rPr>
              <w:t>Area</w:t>
            </w:r>
            <w:proofErr w:type="spellEnd"/>
            <w:r w:rsidRPr="00997F47">
              <w:rPr>
                <w:rFonts w:ascii="Century Gothic" w:eastAsia="Times New Roman" w:hAnsi="Century Gothic" w:cs="Times New Roman"/>
                <w:spacing w:val="2"/>
                <w:kern w:val="0"/>
                <w:szCs w:val="24"/>
                <w:lang w:eastAsia="es-CO"/>
                <w14:ligatures w14:val="none"/>
              </w:rPr>
              <w:t xml:space="preserve"> del Derecho</w:t>
            </w:r>
          </w:p>
        </w:tc>
        <w:tc>
          <w:tcPr>
            <w:tcW w:w="3900" w:type="pct"/>
            <w:tcBorders>
              <w:top w:val="nil"/>
              <w:left w:val="nil"/>
              <w:bottom w:val="nil"/>
              <w:right w:val="nil"/>
            </w:tcBorders>
            <w:tcMar>
              <w:top w:w="0" w:type="dxa"/>
              <w:left w:w="0" w:type="dxa"/>
              <w:bottom w:w="0" w:type="dxa"/>
              <w:right w:w="0" w:type="dxa"/>
            </w:tcMar>
            <w:hideMark/>
          </w:tcPr>
          <w:p w14:paraId="0DE2534C"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b/>
                <w:bCs/>
                <w:spacing w:val="2"/>
                <w:kern w:val="0"/>
                <w:szCs w:val="24"/>
                <w:lang w:eastAsia="es-CO"/>
                <w14:ligatures w14:val="none"/>
              </w:rPr>
              <w:t>Tributario</w:t>
            </w:r>
            <w:r w:rsidRPr="00997F47">
              <w:rPr>
                <w:rFonts w:ascii="Century Gothic" w:eastAsia="Times New Roman" w:hAnsi="Century Gothic" w:cs="Times New Roman"/>
                <w:b/>
                <w:bCs/>
                <w:spacing w:val="2"/>
                <w:kern w:val="0"/>
                <w:szCs w:val="24"/>
                <w:lang w:eastAsia="es-CO"/>
                <w14:ligatures w14:val="none"/>
              </w:rPr>
              <w:br/>
            </w:r>
          </w:p>
        </w:tc>
      </w:tr>
      <w:tr w:rsidR="009E26C8" w:rsidRPr="00997F47" w14:paraId="2F06ED55" w14:textId="77777777" w:rsidTr="009E26C8">
        <w:trPr>
          <w:tblCellSpacing w:w="15" w:type="dxa"/>
        </w:trPr>
        <w:tc>
          <w:tcPr>
            <w:tcW w:w="1100" w:type="pct"/>
            <w:tcBorders>
              <w:top w:val="nil"/>
              <w:left w:val="nil"/>
              <w:bottom w:val="nil"/>
              <w:right w:val="nil"/>
            </w:tcBorders>
            <w:tcMar>
              <w:top w:w="0" w:type="dxa"/>
              <w:left w:w="0" w:type="dxa"/>
              <w:bottom w:w="0" w:type="dxa"/>
              <w:right w:w="0" w:type="dxa"/>
            </w:tcMar>
            <w:hideMark/>
          </w:tcPr>
          <w:p w14:paraId="6F2C5B12"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Banco de Datos</w:t>
            </w:r>
          </w:p>
        </w:tc>
        <w:tc>
          <w:tcPr>
            <w:tcW w:w="3900" w:type="pct"/>
            <w:tcBorders>
              <w:top w:val="nil"/>
              <w:left w:val="nil"/>
              <w:bottom w:val="nil"/>
              <w:right w:val="nil"/>
            </w:tcBorders>
            <w:tcMar>
              <w:top w:w="0" w:type="dxa"/>
              <w:left w:w="0" w:type="dxa"/>
              <w:bottom w:w="0" w:type="dxa"/>
              <w:right w:w="0" w:type="dxa"/>
            </w:tcMar>
            <w:hideMark/>
          </w:tcPr>
          <w:p w14:paraId="13AEABF1"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b/>
                <w:bCs/>
                <w:spacing w:val="2"/>
                <w:kern w:val="0"/>
                <w:szCs w:val="24"/>
                <w:lang w:eastAsia="es-CO"/>
                <w14:ligatures w14:val="none"/>
              </w:rPr>
              <w:t>Facturación Electrónica</w:t>
            </w:r>
          </w:p>
        </w:tc>
      </w:tr>
    </w:tbl>
    <w:p w14:paraId="37CB92DF" w14:textId="77777777"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Extracto</w:t>
      </w:r>
    </w:p>
    <w:p w14:paraId="17CE494F" w14:textId="77777777" w:rsidR="009E26C8" w:rsidRPr="00997F47" w:rsidRDefault="009E26C8" w:rsidP="00997F47">
      <w:pPr>
        <w:spacing w:after="0" w:line="360" w:lineRule="auto"/>
        <w:jc w:val="both"/>
        <w:rPr>
          <w:rFonts w:ascii="Century Gothic" w:eastAsia="Times New Roman" w:hAnsi="Century Gothic" w:cs="Times New Roman"/>
          <w:b/>
          <w:bCs/>
          <w:spacing w:val="2"/>
          <w:kern w:val="0"/>
          <w:szCs w:val="24"/>
          <w:lang w:eastAsia="es-CO"/>
          <w14:ligatures w14:val="none"/>
        </w:rPr>
      </w:pPr>
      <w:r w:rsidRPr="00997F47">
        <w:rPr>
          <w:rFonts w:ascii="Century Gothic" w:eastAsia="Times New Roman" w:hAnsi="Century Gothic" w:cs="Times New Roman"/>
          <w:b/>
          <w:bCs/>
          <w:spacing w:val="2"/>
          <w:kern w:val="0"/>
          <w:szCs w:val="24"/>
          <w:highlight w:val="yellow"/>
          <w:lang w:eastAsia="es-CO"/>
          <w14:ligatures w14:val="none"/>
        </w:rPr>
        <w:t>Adición al Concepto Unificado No. </w:t>
      </w:r>
      <w:hyperlink r:id="rId4" w:anchor="0" w:history="1">
        <w:r w:rsidRPr="00997F47">
          <w:rPr>
            <w:rFonts w:ascii="Century Gothic" w:eastAsia="Times New Roman" w:hAnsi="Century Gothic" w:cs="Times New Roman"/>
            <w:b/>
            <w:bCs/>
            <w:color w:val="0000FF"/>
            <w:spacing w:val="2"/>
            <w:kern w:val="0"/>
            <w:szCs w:val="24"/>
            <w:highlight w:val="yellow"/>
            <w:u w:val="single"/>
            <w:lang w:eastAsia="es-CO"/>
            <w14:ligatures w14:val="none"/>
          </w:rPr>
          <w:t>0106</w:t>
        </w:r>
      </w:hyperlink>
      <w:r w:rsidRPr="00997F47">
        <w:rPr>
          <w:rFonts w:ascii="Century Gothic" w:eastAsia="Times New Roman" w:hAnsi="Century Gothic" w:cs="Times New Roman"/>
          <w:b/>
          <w:bCs/>
          <w:spacing w:val="2"/>
          <w:kern w:val="0"/>
          <w:szCs w:val="24"/>
          <w:highlight w:val="yellow"/>
          <w:lang w:eastAsia="es-CO"/>
          <w14:ligatures w14:val="none"/>
        </w:rPr>
        <w:t> del 19 de agosto de 2022 - Obligación de facturar y Sistema de Factura Electrónica.</w:t>
      </w:r>
    </w:p>
    <w:p w14:paraId="7EBDA83C" w14:textId="77777777" w:rsidR="009E26C8" w:rsidRPr="00997F47" w:rsidRDefault="009E26C8" w:rsidP="00997F47">
      <w:pPr>
        <w:spacing w:after="0" w:line="360" w:lineRule="auto"/>
        <w:jc w:val="both"/>
        <w:rPr>
          <w:rFonts w:ascii="Century Gothic" w:eastAsia="Times New Roman" w:hAnsi="Century Gothic" w:cs="Times New Roman"/>
          <w:b/>
          <w:bCs/>
          <w:spacing w:val="2"/>
          <w:kern w:val="0"/>
          <w:szCs w:val="24"/>
          <w:lang w:eastAsia="es-CO"/>
          <w14:ligatures w14:val="none"/>
        </w:rPr>
      </w:pPr>
    </w:p>
    <w:p w14:paraId="5FDF1C70" w14:textId="06EE4AF1"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De conformidad con el artículo </w:t>
      </w:r>
      <w:hyperlink r:id="rId5" w:anchor="56" w:history="1">
        <w:r w:rsidRPr="00997F47">
          <w:rPr>
            <w:rFonts w:ascii="Century Gothic" w:eastAsia="Times New Roman" w:hAnsi="Century Gothic" w:cs="Times New Roman"/>
            <w:color w:val="0000FF"/>
            <w:spacing w:val="2"/>
            <w:kern w:val="0"/>
            <w:szCs w:val="24"/>
            <w:u w:val="single"/>
            <w:lang w:eastAsia="es-CO"/>
            <w14:ligatures w14:val="none"/>
          </w:rPr>
          <w:t>56</w:t>
        </w:r>
      </w:hyperlink>
      <w:r w:rsidRPr="00997F47">
        <w:rPr>
          <w:rFonts w:ascii="Century Gothic" w:eastAsia="Times New Roman" w:hAnsi="Century Gothic" w:cs="Times New Roman"/>
          <w:spacing w:val="2"/>
          <w:kern w:val="0"/>
          <w:szCs w:val="24"/>
          <w:lang w:eastAsia="es-CO"/>
          <w14:ligatures w14:val="none"/>
        </w:rPr>
        <w:t> del Decreto 1742 de 2020, en concordancia con el artículo </w:t>
      </w:r>
      <w:hyperlink r:id="rId6" w:anchor="7" w:history="1">
        <w:r w:rsidRPr="00997F47">
          <w:rPr>
            <w:rFonts w:ascii="Century Gothic" w:eastAsia="Times New Roman" w:hAnsi="Century Gothic" w:cs="Times New Roman"/>
            <w:color w:val="0000FF"/>
            <w:spacing w:val="2"/>
            <w:kern w:val="0"/>
            <w:szCs w:val="24"/>
            <w:u w:val="single"/>
            <w:lang w:eastAsia="es-CO"/>
            <w14:ligatures w14:val="none"/>
          </w:rPr>
          <w:t>7</w:t>
        </w:r>
      </w:hyperlink>
      <w:r w:rsidRPr="00997F47">
        <w:rPr>
          <w:rFonts w:ascii="Century Gothic" w:eastAsia="Times New Roman" w:hAnsi="Century Gothic" w:cs="Times New Roman"/>
          <w:spacing w:val="2"/>
          <w:kern w:val="0"/>
          <w:szCs w:val="24"/>
          <w:lang w:eastAsia="es-CO"/>
          <w14:ligatures w14:val="none"/>
        </w:rPr>
        <w:t> y </w:t>
      </w:r>
      <w:hyperlink r:id="rId7" w:anchor="7-1" w:history="1">
        <w:r w:rsidRPr="00997F47">
          <w:rPr>
            <w:rFonts w:ascii="Century Gothic" w:eastAsia="Times New Roman" w:hAnsi="Century Gothic" w:cs="Times New Roman"/>
            <w:color w:val="0000FF"/>
            <w:spacing w:val="2"/>
            <w:kern w:val="0"/>
            <w:szCs w:val="24"/>
            <w:u w:val="single"/>
            <w:lang w:eastAsia="es-CO"/>
            <w14:ligatures w14:val="none"/>
          </w:rPr>
          <w:t>7-1</w:t>
        </w:r>
      </w:hyperlink>
      <w:r w:rsidRPr="00997F47">
        <w:rPr>
          <w:rFonts w:ascii="Century Gothic" w:eastAsia="Times New Roman" w:hAnsi="Century Gothic" w:cs="Times New Roman"/>
          <w:spacing w:val="2"/>
          <w:kern w:val="0"/>
          <w:szCs w:val="24"/>
          <w:lang w:eastAsia="es-CO"/>
          <w14:ligatures w14:val="none"/>
        </w:rPr>
        <w:t> de la Resolución No. 000091 de 2021, se expide el presente pronunciamiento mediante el cual se efectúa una adición al Concepto Unificado No. </w:t>
      </w:r>
      <w:hyperlink r:id="rId8" w:anchor="0" w:history="1">
        <w:r w:rsidRPr="00997F47">
          <w:rPr>
            <w:rFonts w:ascii="Century Gothic" w:eastAsia="Times New Roman" w:hAnsi="Century Gothic" w:cs="Times New Roman"/>
            <w:color w:val="0000FF"/>
            <w:spacing w:val="2"/>
            <w:kern w:val="0"/>
            <w:szCs w:val="24"/>
            <w:u w:val="single"/>
            <w:lang w:eastAsia="es-CO"/>
            <w14:ligatures w14:val="none"/>
          </w:rPr>
          <w:t>0106</w:t>
        </w:r>
      </w:hyperlink>
      <w:r w:rsidRPr="00997F47">
        <w:rPr>
          <w:rFonts w:ascii="Century Gothic" w:eastAsia="Times New Roman" w:hAnsi="Century Gothic" w:cs="Times New Roman"/>
          <w:spacing w:val="2"/>
          <w:kern w:val="0"/>
          <w:szCs w:val="24"/>
          <w:lang w:eastAsia="es-CO"/>
          <w14:ligatures w14:val="none"/>
        </w:rPr>
        <w:t> del 19 de agosto de 2022 - Obligación de facturar y Sistema de Factura Electrónica, respecto de la obligación de generar el documento soporte de pago de nómina electrónica en el caso de los pagos en especie del artículo </w:t>
      </w:r>
      <w:hyperlink r:id="rId9" w:anchor="29-1" w:history="1">
        <w:r w:rsidRPr="00997F47">
          <w:rPr>
            <w:rFonts w:ascii="Century Gothic" w:eastAsia="Times New Roman" w:hAnsi="Century Gothic" w:cs="Times New Roman"/>
            <w:color w:val="0000FF"/>
            <w:spacing w:val="2"/>
            <w:kern w:val="0"/>
            <w:szCs w:val="24"/>
            <w:u w:val="single"/>
            <w:lang w:eastAsia="es-CO"/>
            <w14:ligatures w14:val="none"/>
          </w:rPr>
          <w:t>29-1</w:t>
        </w:r>
      </w:hyperlink>
      <w:r w:rsidRPr="00997F47">
        <w:rPr>
          <w:rFonts w:ascii="Century Gothic" w:eastAsia="Times New Roman" w:hAnsi="Century Gothic" w:cs="Times New Roman"/>
          <w:spacing w:val="2"/>
          <w:kern w:val="0"/>
          <w:szCs w:val="24"/>
          <w:lang w:eastAsia="es-CO"/>
          <w14:ligatures w14:val="none"/>
        </w:rPr>
        <w:t> del Estatuto Tributario.</w:t>
      </w:r>
    </w:p>
    <w:p w14:paraId="138FB844" w14:textId="77777777" w:rsidR="009E26C8" w:rsidRPr="00997F47" w:rsidRDefault="009E26C8" w:rsidP="00997F47">
      <w:pPr>
        <w:spacing w:after="0" w:line="360" w:lineRule="auto"/>
        <w:jc w:val="both"/>
        <w:rPr>
          <w:rFonts w:ascii="Century Gothic" w:eastAsia="Times New Roman" w:hAnsi="Century Gothic" w:cs="Times New Roman"/>
          <w:b/>
          <w:bCs/>
          <w:spacing w:val="2"/>
          <w:kern w:val="0"/>
          <w:szCs w:val="24"/>
          <w:lang w:eastAsia="es-CO"/>
          <w14:ligatures w14:val="none"/>
        </w:rPr>
      </w:pPr>
    </w:p>
    <w:p w14:paraId="0D52CC22" w14:textId="4CEBF7D6"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b/>
          <w:bCs/>
          <w:spacing w:val="2"/>
          <w:kern w:val="0"/>
          <w:szCs w:val="24"/>
          <w:lang w:eastAsia="es-CO"/>
          <w14:ligatures w14:val="none"/>
        </w:rPr>
        <w:t>ADICIÓN AL CONCEPTO UNIFICADO No. </w:t>
      </w:r>
      <w:hyperlink r:id="rId10" w:anchor="0" w:history="1">
        <w:r w:rsidRPr="00997F47">
          <w:rPr>
            <w:rFonts w:ascii="Century Gothic" w:eastAsia="Times New Roman" w:hAnsi="Century Gothic" w:cs="Times New Roman"/>
            <w:color w:val="0000FF"/>
            <w:spacing w:val="2"/>
            <w:kern w:val="0"/>
            <w:szCs w:val="24"/>
            <w:u w:val="single"/>
            <w:lang w:eastAsia="es-CO"/>
            <w14:ligatures w14:val="none"/>
          </w:rPr>
          <w:t>0106</w:t>
        </w:r>
      </w:hyperlink>
      <w:r w:rsidRPr="00997F47">
        <w:rPr>
          <w:rFonts w:ascii="Century Gothic" w:eastAsia="Times New Roman" w:hAnsi="Century Gothic" w:cs="Times New Roman"/>
          <w:b/>
          <w:bCs/>
          <w:spacing w:val="2"/>
          <w:kern w:val="0"/>
          <w:szCs w:val="24"/>
          <w:lang w:eastAsia="es-CO"/>
          <w14:ligatures w14:val="none"/>
        </w:rPr>
        <w:t> DEL 19 DE AGOSTO DE 2022 - OBLIGACIÓN DE FACTURAR Y SISTEMA DE FACTURA ELECTRÓNICA</w:t>
      </w:r>
    </w:p>
    <w:p w14:paraId="1AAEF710"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p>
    <w:p w14:paraId="3C6DE6DB" w14:textId="0B9CD549"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De conformidad con el artículo </w:t>
      </w:r>
      <w:hyperlink r:id="rId11" w:anchor="56" w:history="1">
        <w:r w:rsidRPr="00997F47">
          <w:rPr>
            <w:rFonts w:ascii="Century Gothic" w:eastAsia="Times New Roman" w:hAnsi="Century Gothic" w:cs="Times New Roman"/>
            <w:color w:val="0000FF"/>
            <w:spacing w:val="2"/>
            <w:kern w:val="0"/>
            <w:szCs w:val="24"/>
            <w:u w:val="single"/>
            <w:lang w:eastAsia="es-CO"/>
            <w14:ligatures w14:val="none"/>
          </w:rPr>
          <w:t>56</w:t>
        </w:r>
      </w:hyperlink>
      <w:r w:rsidRPr="00997F47">
        <w:rPr>
          <w:rFonts w:ascii="Century Gothic" w:eastAsia="Times New Roman" w:hAnsi="Century Gothic" w:cs="Times New Roman"/>
          <w:spacing w:val="2"/>
          <w:kern w:val="0"/>
          <w:szCs w:val="24"/>
          <w:lang w:eastAsia="es-CO"/>
          <w14:ligatures w14:val="none"/>
        </w:rPr>
        <w:t> del Decreto 1742 de 2020, se avoca conocimiento para realizar la siguiente adición al Concepto Unificado sobre Obligación de facturar y Sistema de Factura Electrónica:</w:t>
      </w:r>
    </w:p>
    <w:p w14:paraId="1607CC6E" w14:textId="77777777"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p>
    <w:p w14:paraId="5F3E235E" w14:textId="4548D45D"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highlight w:val="cyan"/>
          <w:lang w:eastAsia="es-CO"/>
          <w14:ligatures w14:val="none"/>
        </w:rPr>
        <w:t>I. Se requiere adicionar al DESCRIPTOR 4.2.3. SUJETOS OBLIGADOS A GENERAR EL DOCUMENTO SOPORTE DE PAGO DE NÓMINA ELECTRÓNICA. el numeral 4.2.3.11., así:</w:t>
      </w:r>
    </w:p>
    <w:p w14:paraId="6DDFB5BF"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hyperlink r:id="rId12" w:anchor="4.2.3.11" w:history="1">
        <w:r w:rsidRPr="00997F47">
          <w:rPr>
            <w:rFonts w:ascii="Century Gothic" w:eastAsia="Times New Roman" w:hAnsi="Century Gothic" w:cs="Times New Roman"/>
            <w:color w:val="0000FF"/>
            <w:spacing w:val="2"/>
            <w:kern w:val="0"/>
            <w:szCs w:val="24"/>
            <w:highlight w:val="cyan"/>
            <w:u w:val="single"/>
            <w:lang w:eastAsia="es-CO"/>
            <w14:ligatures w14:val="none"/>
          </w:rPr>
          <w:t>4.2.3.11.</w:t>
        </w:r>
      </w:hyperlink>
      <w:r w:rsidRPr="00997F47">
        <w:rPr>
          <w:rFonts w:ascii="Century Gothic" w:eastAsia="Times New Roman" w:hAnsi="Century Gothic" w:cs="Times New Roman"/>
          <w:spacing w:val="2"/>
          <w:kern w:val="0"/>
          <w:szCs w:val="24"/>
          <w:highlight w:val="cyan"/>
          <w:lang w:eastAsia="es-CO"/>
          <w14:ligatures w14:val="none"/>
        </w:rPr>
        <w:t xml:space="preserve"> ¿El documento soporte de pago de nómina electrónica debe generarse por los pagos en especie que realiza el empleador a terceras personas en cumplimiento de pactos colectivos de trabajadores y/o </w:t>
      </w:r>
      <w:r w:rsidRPr="00997F47">
        <w:rPr>
          <w:rFonts w:ascii="Century Gothic" w:eastAsia="Times New Roman" w:hAnsi="Century Gothic" w:cs="Times New Roman"/>
          <w:spacing w:val="2"/>
          <w:kern w:val="0"/>
          <w:szCs w:val="24"/>
          <w:highlight w:val="cyan"/>
          <w:lang w:eastAsia="es-CO"/>
          <w14:ligatures w14:val="none"/>
        </w:rPr>
        <w:lastRenderedPageBreak/>
        <w:t>convenciones colectivas de trabajo, que señala el artículo </w:t>
      </w:r>
      <w:hyperlink r:id="rId13" w:anchor="29-1" w:history="1">
        <w:r w:rsidRPr="00997F47">
          <w:rPr>
            <w:rFonts w:ascii="Century Gothic" w:eastAsia="Times New Roman" w:hAnsi="Century Gothic" w:cs="Times New Roman"/>
            <w:color w:val="0000FF"/>
            <w:spacing w:val="2"/>
            <w:kern w:val="0"/>
            <w:szCs w:val="24"/>
            <w:highlight w:val="cyan"/>
            <w:u w:val="single"/>
            <w:lang w:eastAsia="es-CO"/>
            <w14:ligatures w14:val="none"/>
          </w:rPr>
          <w:t>29-1</w:t>
        </w:r>
      </w:hyperlink>
      <w:r w:rsidRPr="00997F47">
        <w:rPr>
          <w:rFonts w:ascii="Century Gothic" w:eastAsia="Times New Roman" w:hAnsi="Century Gothic" w:cs="Times New Roman"/>
          <w:spacing w:val="2"/>
          <w:kern w:val="0"/>
          <w:szCs w:val="24"/>
          <w:highlight w:val="cyan"/>
          <w:lang w:eastAsia="es-CO"/>
          <w14:ligatures w14:val="none"/>
        </w:rPr>
        <w:t> de Estatuto Tributario?</w:t>
      </w:r>
    </w:p>
    <w:p w14:paraId="5A61186B"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p>
    <w:p w14:paraId="3A4C501B" w14:textId="23143C7C"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Frente a los ingresos en especie señalados en el artículo </w:t>
      </w:r>
      <w:hyperlink r:id="rId14" w:anchor="29-1" w:history="1">
        <w:r w:rsidRPr="00997F47">
          <w:rPr>
            <w:rFonts w:ascii="Century Gothic" w:eastAsia="Times New Roman" w:hAnsi="Century Gothic" w:cs="Times New Roman"/>
            <w:color w:val="0000FF"/>
            <w:spacing w:val="2"/>
            <w:kern w:val="0"/>
            <w:szCs w:val="24"/>
            <w:u w:val="single"/>
            <w:lang w:eastAsia="es-CO"/>
            <w14:ligatures w14:val="none"/>
          </w:rPr>
          <w:t>29-1</w:t>
        </w:r>
      </w:hyperlink>
      <w:r w:rsidRPr="00997F47">
        <w:rPr>
          <w:rFonts w:ascii="Century Gothic" w:eastAsia="Times New Roman" w:hAnsi="Century Gothic" w:cs="Times New Roman"/>
          <w:spacing w:val="2"/>
          <w:kern w:val="0"/>
          <w:szCs w:val="24"/>
          <w:lang w:eastAsia="es-CO"/>
          <w14:ligatures w14:val="none"/>
        </w:rPr>
        <w:t> del Estatuto Tributario, esta Subdirección en el Concepto 00</w:t>
      </w:r>
      <w:hyperlink r:id="rId15" w:anchor="0" w:history="1">
        <w:r w:rsidRPr="00997F47">
          <w:rPr>
            <w:rFonts w:ascii="Century Gothic" w:eastAsia="Times New Roman" w:hAnsi="Century Gothic" w:cs="Times New Roman"/>
            <w:color w:val="0000FF"/>
            <w:spacing w:val="2"/>
            <w:kern w:val="0"/>
            <w:szCs w:val="24"/>
            <w:u w:val="single"/>
            <w:lang w:eastAsia="es-CO"/>
            <w14:ligatures w14:val="none"/>
          </w:rPr>
          <w:t>3966</w:t>
        </w:r>
      </w:hyperlink>
      <w:r w:rsidRPr="00997F47">
        <w:rPr>
          <w:rFonts w:ascii="Century Gothic" w:eastAsia="Times New Roman" w:hAnsi="Century Gothic" w:cs="Times New Roman"/>
          <w:spacing w:val="2"/>
          <w:kern w:val="0"/>
          <w:szCs w:val="24"/>
          <w:lang w:eastAsia="es-CO"/>
          <w14:ligatures w14:val="none"/>
        </w:rPr>
        <w:t> - interno 416 del 31 de marzo de 2023, expresó:</w:t>
      </w:r>
    </w:p>
    <w:p w14:paraId="4C7C1A66" w14:textId="77777777" w:rsidR="009E26C8" w:rsidRPr="00997F47" w:rsidRDefault="009E26C8" w:rsidP="00997F47">
      <w:pPr>
        <w:spacing w:after="0" w:line="360" w:lineRule="auto"/>
        <w:jc w:val="both"/>
        <w:rPr>
          <w:rFonts w:ascii="Century Gothic" w:eastAsia="Times New Roman" w:hAnsi="Century Gothic" w:cs="Times New Roman"/>
          <w:i/>
          <w:iCs/>
          <w:spacing w:val="2"/>
          <w:kern w:val="0"/>
          <w:szCs w:val="24"/>
          <w:lang w:eastAsia="es-CO"/>
          <w14:ligatures w14:val="none"/>
        </w:rPr>
      </w:pPr>
    </w:p>
    <w:p w14:paraId="1CA9EF0E" w14:textId="59F2A3A0"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i/>
          <w:iCs/>
          <w:spacing w:val="2"/>
          <w:kern w:val="0"/>
          <w:szCs w:val="24"/>
          <w:lang w:eastAsia="es-CO"/>
          <w14:ligatures w14:val="none"/>
        </w:rPr>
        <w:t>“4. ¿Los ingresos en especie realizados a terceras personas, de que trata el artículo </w:t>
      </w:r>
      <w:hyperlink r:id="rId16" w:anchor="29-1" w:history="1">
        <w:r w:rsidRPr="00997F47">
          <w:rPr>
            <w:rFonts w:ascii="Century Gothic" w:eastAsia="Times New Roman" w:hAnsi="Century Gothic" w:cs="Times New Roman"/>
            <w:i/>
            <w:iCs/>
            <w:color w:val="0000FF"/>
            <w:spacing w:val="2"/>
            <w:kern w:val="0"/>
            <w:szCs w:val="24"/>
            <w:u w:val="single"/>
            <w:lang w:eastAsia="es-CO"/>
            <w14:ligatures w14:val="none"/>
          </w:rPr>
          <w:t>29-1</w:t>
        </w:r>
      </w:hyperlink>
      <w:r w:rsidRPr="00997F47">
        <w:rPr>
          <w:rFonts w:ascii="Century Gothic" w:eastAsia="Times New Roman" w:hAnsi="Century Gothic" w:cs="Times New Roman"/>
          <w:i/>
          <w:iCs/>
          <w:spacing w:val="2"/>
          <w:kern w:val="0"/>
          <w:szCs w:val="24"/>
          <w:lang w:eastAsia="es-CO"/>
          <w14:ligatures w14:val="none"/>
        </w:rPr>
        <w:t> ibidem, constituyen ingreso para el contribuyente?</w:t>
      </w:r>
    </w:p>
    <w:p w14:paraId="3543B949" w14:textId="77777777" w:rsidR="009E26C8" w:rsidRPr="00997F47" w:rsidRDefault="009E26C8" w:rsidP="00997F47">
      <w:pPr>
        <w:spacing w:after="0" w:line="360" w:lineRule="auto"/>
        <w:jc w:val="both"/>
        <w:rPr>
          <w:rFonts w:ascii="Century Gothic" w:eastAsia="Times New Roman" w:hAnsi="Century Gothic" w:cs="Times New Roman"/>
          <w:i/>
          <w:iCs/>
          <w:spacing w:val="2"/>
          <w:kern w:val="0"/>
          <w:szCs w:val="24"/>
          <w:lang w:eastAsia="es-CO"/>
          <w14:ligatures w14:val="none"/>
        </w:rPr>
      </w:pPr>
    </w:p>
    <w:p w14:paraId="3E44BE5C" w14:textId="500D9CC3"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i/>
          <w:iCs/>
          <w:spacing w:val="2"/>
          <w:kern w:val="0"/>
          <w:szCs w:val="24"/>
          <w:lang w:eastAsia="es-CO"/>
          <w14:ligatures w14:val="none"/>
        </w:rPr>
        <w:t>El mismo artículo </w:t>
      </w:r>
      <w:hyperlink r:id="rId17" w:anchor="29-1" w:history="1">
        <w:r w:rsidRPr="00997F47">
          <w:rPr>
            <w:rFonts w:ascii="Century Gothic" w:eastAsia="Times New Roman" w:hAnsi="Century Gothic" w:cs="Times New Roman"/>
            <w:i/>
            <w:iCs/>
            <w:color w:val="0000FF"/>
            <w:spacing w:val="2"/>
            <w:kern w:val="0"/>
            <w:szCs w:val="24"/>
            <w:u w:val="single"/>
            <w:lang w:eastAsia="es-CO"/>
            <w14:ligatures w14:val="none"/>
          </w:rPr>
          <w:t>29-1</w:t>
        </w:r>
      </w:hyperlink>
      <w:r w:rsidRPr="00997F47">
        <w:rPr>
          <w:rFonts w:ascii="Century Gothic" w:eastAsia="Times New Roman" w:hAnsi="Century Gothic" w:cs="Times New Roman"/>
          <w:i/>
          <w:iCs/>
          <w:spacing w:val="2"/>
          <w:kern w:val="0"/>
          <w:szCs w:val="24"/>
          <w:lang w:eastAsia="es-CO"/>
          <w14:ligatures w14:val="none"/>
        </w:rPr>
        <w:t> del Estatuto Tributario establece que el ingreso en especie, materializado a través de la prestación de servicios o la entrega de bienes, constituye ingreso para su beneficiario (incluyendo aquellos destinados a su cónyuge, o a personas vinculadas con él por parentesco dentro del cuarto grado de consanguinidad, segundo de afinidad o único civil, siempre y cuando no constituyan ingreso propio en cabeza de dichas personas), entendido éste como el contribuyente, y no el tercero que lleva a cabo la respectiva prestación del servicio o entrega del bien a favor de aquel.</w:t>
      </w:r>
    </w:p>
    <w:p w14:paraId="51CFF15D" w14:textId="77777777" w:rsidR="009E26C8" w:rsidRPr="00997F47" w:rsidRDefault="009E26C8" w:rsidP="00997F47">
      <w:pPr>
        <w:spacing w:after="0" w:line="360" w:lineRule="auto"/>
        <w:jc w:val="both"/>
        <w:rPr>
          <w:rFonts w:ascii="Century Gothic" w:eastAsia="Times New Roman" w:hAnsi="Century Gothic" w:cs="Times New Roman"/>
          <w:i/>
          <w:iCs/>
          <w:spacing w:val="2"/>
          <w:kern w:val="0"/>
          <w:szCs w:val="24"/>
          <w:lang w:eastAsia="es-CO"/>
          <w14:ligatures w14:val="none"/>
        </w:rPr>
      </w:pPr>
    </w:p>
    <w:p w14:paraId="6E4793D4" w14:textId="0227F433"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i/>
          <w:iCs/>
          <w:spacing w:val="2"/>
          <w:kern w:val="0"/>
          <w:szCs w:val="24"/>
          <w:lang w:eastAsia="es-CO"/>
          <w14:ligatures w14:val="none"/>
        </w:rPr>
        <w:t>Este entendimiento encuentra soporte en la exposición de motivos de la referida disposición: «(...) los ingresos en especie han permitido que las empresas asuman gastos y/o costos propios de los socios, accionistas, participes y/o sus familiares. Dada esta situación, las personas y/o firmas que entregan estos productos pueden presentarlos como costos o gastos deducibles que terminan por reducir su base gravable del impuesto de renta, pero los receptores no lo registran debidamente como un ingreso, lo que termina reduciendo el pago del impuesto.</w:t>
      </w:r>
    </w:p>
    <w:p w14:paraId="7DDE812F" w14:textId="77777777" w:rsidR="009E26C8" w:rsidRPr="00997F47" w:rsidRDefault="009E26C8" w:rsidP="00997F47">
      <w:pPr>
        <w:spacing w:after="0" w:line="360" w:lineRule="auto"/>
        <w:jc w:val="both"/>
        <w:rPr>
          <w:rFonts w:ascii="Century Gothic" w:eastAsia="Times New Roman" w:hAnsi="Century Gothic" w:cs="Times New Roman"/>
          <w:i/>
          <w:iCs/>
          <w:spacing w:val="2"/>
          <w:kern w:val="0"/>
          <w:szCs w:val="24"/>
          <w:lang w:eastAsia="es-CO"/>
          <w14:ligatures w14:val="none"/>
        </w:rPr>
      </w:pPr>
    </w:p>
    <w:p w14:paraId="4AFF2600" w14:textId="316B566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i/>
          <w:iCs/>
          <w:spacing w:val="2"/>
          <w:kern w:val="0"/>
          <w:szCs w:val="24"/>
          <w:lang w:eastAsia="es-CO"/>
          <w14:ligatures w14:val="none"/>
        </w:rPr>
        <w:t>Por lo tanto, </w:t>
      </w:r>
      <w:r w:rsidRPr="00997F47">
        <w:rPr>
          <w:rFonts w:ascii="Century Gothic" w:eastAsia="Times New Roman" w:hAnsi="Century Gothic" w:cs="Times New Roman"/>
          <w:b/>
          <w:bCs/>
          <w:i/>
          <w:iCs/>
          <w:spacing w:val="2"/>
          <w:kern w:val="0"/>
          <w:szCs w:val="24"/>
          <w:lang w:eastAsia="es-CO"/>
          <w14:ligatures w14:val="none"/>
        </w:rPr>
        <w:t>la medida 'Ingresos en especie' busca obtener la contabilización y transparencia de los pagos o ingresos que reciben los contribuyentes de forma indirecta diferentes de su salario y otros pagos monetarios</w:t>
      </w:r>
      <w:r w:rsidRPr="00997F47">
        <w:rPr>
          <w:rFonts w:ascii="Century Gothic" w:eastAsia="Times New Roman" w:hAnsi="Century Gothic" w:cs="Times New Roman"/>
          <w:i/>
          <w:iCs/>
          <w:spacing w:val="2"/>
          <w:kern w:val="0"/>
          <w:szCs w:val="24"/>
          <w:lang w:eastAsia="es-CO"/>
          <w14:ligatures w14:val="none"/>
        </w:rPr>
        <w:t xml:space="preserve">. De esta manera se pretende evitar la elusión del ingreso por el beneficio del bien o servicio pagado por la sociedad, entidad o patrimonio autónomo, y, por tanto, crear reglas claras que brinden certeza al contribuyente sobre la efectiva realización de un ingreso a su favor, el cual debe ser declarado e integrado en la base gravable de su impuesto.» (énfasis propio) (cfr. Gaceta del Congreso </w:t>
      </w:r>
      <w:proofErr w:type="spellStart"/>
      <w:r w:rsidRPr="00997F47">
        <w:rPr>
          <w:rFonts w:ascii="Century Gothic" w:eastAsia="Times New Roman" w:hAnsi="Century Gothic" w:cs="Times New Roman"/>
          <w:i/>
          <w:iCs/>
          <w:spacing w:val="2"/>
          <w:kern w:val="0"/>
          <w:szCs w:val="24"/>
          <w:lang w:eastAsia="es-CO"/>
          <w14:ligatures w14:val="none"/>
        </w:rPr>
        <w:t>N°</w:t>
      </w:r>
      <w:proofErr w:type="spellEnd"/>
      <w:r w:rsidRPr="00997F47">
        <w:rPr>
          <w:rFonts w:ascii="Century Gothic" w:eastAsia="Times New Roman" w:hAnsi="Century Gothic" w:cs="Times New Roman"/>
          <w:i/>
          <w:iCs/>
          <w:spacing w:val="2"/>
          <w:kern w:val="0"/>
          <w:szCs w:val="24"/>
          <w:lang w:eastAsia="es-CO"/>
          <w14:ligatures w14:val="none"/>
        </w:rPr>
        <w:t xml:space="preserve"> 917 del 12 de agosto de 2022)”.</w:t>
      </w:r>
    </w:p>
    <w:p w14:paraId="39619CC0"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lastRenderedPageBreak/>
        <w:t>Ahora bien, la referida disposición en el parágrafo 1</w:t>
      </w:r>
      <w:hyperlink r:id="rId18" w:anchor="NF1" w:history="1">
        <w:r w:rsidRPr="00997F47">
          <w:rPr>
            <w:rFonts w:ascii="Century Gothic" w:eastAsia="Times New Roman" w:hAnsi="Century Gothic" w:cs="Times New Roman"/>
            <w:b/>
            <w:bCs/>
            <w:spacing w:val="2"/>
            <w:kern w:val="0"/>
            <w:szCs w:val="24"/>
            <w:vertAlign w:val="superscript"/>
            <w:lang w:eastAsia="es-CO"/>
            <w14:ligatures w14:val="none"/>
          </w:rPr>
          <w:t>[1]</w:t>
        </w:r>
      </w:hyperlink>
      <w:r w:rsidRPr="00997F47">
        <w:rPr>
          <w:rFonts w:ascii="Century Gothic" w:eastAsia="Times New Roman" w:hAnsi="Century Gothic" w:cs="Times New Roman"/>
          <w:spacing w:val="2"/>
          <w:kern w:val="0"/>
          <w:szCs w:val="24"/>
          <w:lang w:eastAsia="es-CO"/>
          <w14:ligatures w14:val="none"/>
        </w:rPr>
        <w:t> exceptuó del tratamiento allí contemplado, a los pagos en especie que realiza el empleador a terceros en virtud de pactos o convenciones colectivas.</w:t>
      </w:r>
    </w:p>
    <w:p w14:paraId="435EF8A0" w14:textId="77777777"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p>
    <w:p w14:paraId="70C747EA" w14:textId="5C0EEB1F"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En este sentido, es claro que la disposición en comento alude al tratamiento tributario que tiene para el trabajador (contribuyente impuesto sobre la renta) aquellos pagos en especie recibidos como servicios o bienes para beneficio propio o con destino a su cónyuge, o personas vinculadas con él por parentesco dentro del cuarto grado de consanguinidad, segundo de afinidad o único civil.</w:t>
      </w:r>
    </w:p>
    <w:p w14:paraId="281ED7DE" w14:textId="77777777"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highlight w:val="cyan"/>
          <w:lang w:eastAsia="es-CO"/>
          <w14:ligatures w14:val="none"/>
        </w:rPr>
        <w:t>Por otro lado, la obligación de generar el documento soporte de pago de nómina electrónica surge cuando contribuyentes del impuesto sobre la renta y complementarios realizan pagos o abonos en cuenta que se derivan de una vinculación por una relación laboral o legal y reglamentaria, y además requieren soportar los costos y deducciones en el impuesto sobre la renta y complementarios e impuestos descontables en el impuesto sobre las ventas, cuando aplique.</w:t>
      </w:r>
    </w:p>
    <w:p w14:paraId="424C1CDD" w14:textId="77777777" w:rsidR="009E26C8" w:rsidRPr="00997F47" w:rsidRDefault="009E26C8" w:rsidP="00997F47">
      <w:pPr>
        <w:spacing w:after="24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Así las cosas, la naturaleza tributaria que ostentan los pagos que percibe el trabajador no hacen parte de los presupuestos que determinan la existencia o no de la obligación de generar el documento soporte de pago de nómina electrónica.</w:t>
      </w:r>
    </w:p>
    <w:p w14:paraId="7CFC337B"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highlight w:val="cyan"/>
          <w:lang w:eastAsia="es-CO"/>
          <w14:ligatures w14:val="none"/>
        </w:rPr>
        <w:t>En consecuencia, si un contribuyente del impuesto sobre la renta, en virtud de una vinculación por una relación laboral o reglamentaria, realiza pagos en especie a los que alude el artículo </w:t>
      </w:r>
      <w:hyperlink r:id="rId19" w:anchor="29-1" w:history="1">
        <w:r w:rsidRPr="00997F47">
          <w:rPr>
            <w:rFonts w:ascii="Century Gothic" w:eastAsia="Times New Roman" w:hAnsi="Century Gothic" w:cs="Times New Roman"/>
            <w:color w:val="0000FF"/>
            <w:spacing w:val="2"/>
            <w:kern w:val="0"/>
            <w:szCs w:val="24"/>
            <w:highlight w:val="cyan"/>
            <w:u w:val="single"/>
            <w:lang w:eastAsia="es-CO"/>
            <w14:ligatures w14:val="none"/>
          </w:rPr>
          <w:t>29-1</w:t>
        </w:r>
      </w:hyperlink>
      <w:r w:rsidRPr="00997F47">
        <w:rPr>
          <w:rFonts w:ascii="Century Gothic" w:eastAsia="Times New Roman" w:hAnsi="Century Gothic" w:cs="Times New Roman"/>
          <w:spacing w:val="2"/>
          <w:kern w:val="0"/>
          <w:szCs w:val="24"/>
          <w:highlight w:val="cyan"/>
          <w:lang w:eastAsia="es-CO"/>
          <w14:ligatures w14:val="none"/>
        </w:rPr>
        <w:t> del Estatuto Tributario, y adicionalmente requiere soportar costos y deducciones, independientemente del tratamiento tributario que dichos ingresos tengan para el trabajador, se encuentra en la obligación de generar el documento soporte de pago de nómina electrónica, cumpliendo con las términos, condiciones técnicos y tecnológicos que establece la Resolución 000113 de 2021 y el correspondiente anexo técnico.</w:t>
      </w:r>
    </w:p>
    <w:p w14:paraId="7A0E8E94"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p>
    <w:p w14:paraId="724FF6C8" w14:textId="2D74EF56"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highlight w:val="cyan"/>
          <w:lang w:eastAsia="es-CO"/>
          <w14:ligatures w14:val="none"/>
        </w:rPr>
        <w:t>Para el efecto, deberá hacer uso del campo </w:t>
      </w:r>
      <w:r w:rsidRPr="00997F47">
        <w:rPr>
          <w:rFonts w:ascii="Century Gothic" w:eastAsia="Times New Roman" w:hAnsi="Century Gothic" w:cs="Times New Roman"/>
          <w:i/>
          <w:iCs/>
          <w:spacing w:val="2"/>
          <w:kern w:val="0"/>
          <w:szCs w:val="24"/>
          <w:highlight w:val="cyan"/>
          <w:lang w:eastAsia="es-CO"/>
          <w14:ligatures w14:val="none"/>
        </w:rPr>
        <w:t>“otros conceptos</w:t>
      </w:r>
      <w:r w:rsidRPr="00997F47">
        <w:rPr>
          <w:rFonts w:ascii="Century Gothic" w:eastAsia="Times New Roman" w:hAnsi="Century Gothic" w:cs="Times New Roman"/>
          <w:spacing w:val="2"/>
          <w:kern w:val="0"/>
          <w:szCs w:val="24"/>
          <w:lang w:eastAsia="es-CO"/>
          <w14:ligatures w14:val="none"/>
        </w:rPr>
        <w:t>” correspondiente a devengos conforme lo establece el numeral 3.1. del Anexo Técnico Documento Soporte de Pago de Nómina Electrónica Versión 1.0.</w:t>
      </w:r>
    </w:p>
    <w:p w14:paraId="00BB55AA"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lastRenderedPageBreak/>
        <w:t>Lo anterior, sin perjuicio del cumplimiento de los requisitos que establece el artículo </w:t>
      </w:r>
      <w:hyperlink r:id="rId20" w:anchor="107" w:history="1">
        <w:r w:rsidRPr="00997F47">
          <w:rPr>
            <w:rFonts w:ascii="Century Gothic" w:eastAsia="Times New Roman" w:hAnsi="Century Gothic" w:cs="Times New Roman"/>
            <w:color w:val="0000FF"/>
            <w:spacing w:val="2"/>
            <w:kern w:val="0"/>
            <w:szCs w:val="24"/>
            <w:u w:val="single"/>
            <w:lang w:eastAsia="es-CO"/>
            <w14:ligatures w14:val="none"/>
          </w:rPr>
          <w:t>107</w:t>
        </w:r>
      </w:hyperlink>
      <w:r w:rsidRPr="00997F47">
        <w:rPr>
          <w:rFonts w:ascii="Century Gothic" w:eastAsia="Times New Roman" w:hAnsi="Century Gothic" w:cs="Times New Roman"/>
          <w:spacing w:val="2"/>
          <w:kern w:val="0"/>
          <w:szCs w:val="24"/>
          <w:lang w:eastAsia="es-CO"/>
          <w14:ligatures w14:val="none"/>
        </w:rPr>
        <w:t> del Estatuto Tributario para la procedencia de costos y deducciones en el impuesto sobre la renta.</w:t>
      </w:r>
    </w:p>
    <w:p w14:paraId="36CDE8B3"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p>
    <w:p w14:paraId="2DD209BD" w14:textId="1B80C9E4"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lang w:eastAsia="es-CO"/>
          <w14:ligatures w14:val="none"/>
        </w:rPr>
        <w:t>En los anteriores términos se adiciona el Concepto Unificado No. </w:t>
      </w:r>
      <w:hyperlink r:id="rId21" w:anchor="0" w:history="1">
        <w:r w:rsidRPr="00997F47">
          <w:rPr>
            <w:rFonts w:ascii="Century Gothic" w:eastAsia="Times New Roman" w:hAnsi="Century Gothic" w:cs="Times New Roman"/>
            <w:color w:val="0000FF"/>
            <w:spacing w:val="2"/>
            <w:kern w:val="0"/>
            <w:szCs w:val="24"/>
            <w:u w:val="single"/>
            <w:lang w:eastAsia="es-CO"/>
            <w14:ligatures w14:val="none"/>
          </w:rPr>
          <w:t>0106</w:t>
        </w:r>
      </w:hyperlink>
      <w:r w:rsidRPr="00997F47">
        <w:rPr>
          <w:rFonts w:ascii="Century Gothic" w:eastAsia="Times New Roman" w:hAnsi="Century Gothic" w:cs="Times New Roman"/>
          <w:spacing w:val="2"/>
          <w:kern w:val="0"/>
          <w:szCs w:val="24"/>
          <w:lang w:eastAsia="es-CO"/>
          <w14:ligatures w14:val="none"/>
        </w:rPr>
        <w:t> del 19 de agosto de 2022 - Obligación de facturar y Sistema de Factura Electrónica.</w:t>
      </w:r>
    </w:p>
    <w:p w14:paraId="7F4C633D"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u w:val="single"/>
          <w:lang w:eastAsia="es-CO"/>
          <w14:ligatures w14:val="none"/>
        </w:rPr>
      </w:pPr>
      <w:bookmarkStart w:id="0" w:name="NF"/>
    </w:p>
    <w:p w14:paraId="6DCC6D3A" w14:textId="1464EFB3"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u w:val="single"/>
          <w:lang w:eastAsia="es-CO"/>
          <w14:ligatures w14:val="none"/>
        </w:rPr>
        <w:t>&lt;NOTAS DE PIE DE PÁGINA&gt;.</w:t>
      </w:r>
      <w:bookmarkEnd w:id="0"/>
    </w:p>
    <w:p w14:paraId="72DBD5F1" w14:textId="77777777" w:rsidR="009E26C8" w:rsidRPr="00997F47" w:rsidRDefault="009E26C8" w:rsidP="00997F47">
      <w:pPr>
        <w:spacing w:after="0" w:line="360" w:lineRule="auto"/>
        <w:jc w:val="both"/>
        <w:rPr>
          <w:rFonts w:ascii="Century Gothic" w:eastAsia="Times New Roman" w:hAnsi="Century Gothic" w:cs="Times New Roman"/>
          <w:spacing w:val="2"/>
          <w:kern w:val="0"/>
          <w:szCs w:val="24"/>
          <w:u w:val="single"/>
          <w:lang w:eastAsia="es-CO"/>
          <w14:ligatures w14:val="none"/>
        </w:rPr>
      </w:pPr>
      <w:bookmarkStart w:id="1" w:name="NF1"/>
    </w:p>
    <w:p w14:paraId="5687400B" w14:textId="30882AB9" w:rsidR="009E26C8" w:rsidRPr="00997F47" w:rsidRDefault="009E26C8" w:rsidP="00997F47">
      <w:pPr>
        <w:spacing w:after="0" w:line="360" w:lineRule="auto"/>
        <w:jc w:val="both"/>
        <w:rPr>
          <w:rFonts w:ascii="Century Gothic" w:eastAsia="Times New Roman" w:hAnsi="Century Gothic" w:cs="Times New Roman"/>
          <w:spacing w:val="2"/>
          <w:kern w:val="0"/>
          <w:szCs w:val="24"/>
          <w:lang w:eastAsia="es-CO"/>
          <w14:ligatures w14:val="none"/>
        </w:rPr>
      </w:pPr>
      <w:r w:rsidRPr="00997F47">
        <w:rPr>
          <w:rFonts w:ascii="Century Gothic" w:eastAsia="Times New Roman" w:hAnsi="Century Gothic" w:cs="Times New Roman"/>
          <w:spacing w:val="2"/>
          <w:kern w:val="0"/>
          <w:szCs w:val="24"/>
          <w:u w:val="single"/>
          <w:lang w:eastAsia="es-CO"/>
          <w14:ligatures w14:val="none"/>
        </w:rPr>
        <w:t>1. </w:t>
      </w:r>
      <w:bookmarkEnd w:id="1"/>
      <w:r w:rsidRPr="00997F47">
        <w:rPr>
          <w:rFonts w:ascii="Century Gothic" w:eastAsia="Times New Roman" w:hAnsi="Century Gothic" w:cs="Times New Roman"/>
          <w:b/>
          <w:bCs/>
          <w:i/>
          <w:iCs/>
          <w:spacing w:val="2"/>
          <w:kern w:val="0"/>
          <w:szCs w:val="24"/>
          <w:lang w:eastAsia="es-CO"/>
          <w14:ligatures w14:val="none"/>
        </w:rPr>
        <w:t>PARÁGRAFO 1o. Se exceptúan de esta disposición los pagos en especie efectuados por el empleador a terceras personas en cumplimiento de pactos colectivos de trabajadores y/o convenciones colectivas de trabajo</w:t>
      </w:r>
    </w:p>
    <w:p w14:paraId="7604A270" w14:textId="77777777" w:rsidR="007F5CC8" w:rsidRPr="00997F47" w:rsidRDefault="007F5CC8" w:rsidP="00997F47">
      <w:pPr>
        <w:spacing w:line="360" w:lineRule="auto"/>
        <w:rPr>
          <w:rFonts w:ascii="Century Gothic" w:hAnsi="Century Gothic"/>
          <w:szCs w:val="24"/>
        </w:rPr>
      </w:pPr>
    </w:p>
    <w:sectPr w:rsidR="007F5CC8" w:rsidRPr="00997F4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C8"/>
    <w:rsid w:val="000F3837"/>
    <w:rsid w:val="0013145B"/>
    <w:rsid w:val="001E311E"/>
    <w:rsid w:val="00434AE6"/>
    <w:rsid w:val="005D25EE"/>
    <w:rsid w:val="007F5CC8"/>
    <w:rsid w:val="00860510"/>
    <w:rsid w:val="008779BE"/>
    <w:rsid w:val="008B361E"/>
    <w:rsid w:val="008C2E57"/>
    <w:rsid w:val="00997F47"/>
    <w:rsid w:val="009E26C8"/>
    <w:rsid w:val="009E66F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9A1C"/>
  <w15:chartTrackingRefBased/>
  <w15:docId w15:val="{1A6A875A-F06E-4427-838C-340F0E7A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2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2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26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26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E26C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E26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E26C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E26C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E26C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6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26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26C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26C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E26C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E26C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E26C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E26C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E26C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E2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2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26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26C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E26C8"/>
    <w:pPr>
      <w:spacing w:before="160"/>
      <w:jc w:val="center"/>
    </w:pPr>
    <w:rPr>
      <w:i/>
      <w:iCs/>
      <w:color w:val="404040" w:themeColor="text1" w:themeTint="BF"/>
    </w:rPr>
  </w:style>
  <w:style w:type="character" w:customStyle="1" w:styleId="CitaCar">
    <w:name w:val="Cita Car"/>
    <w:basedOn w:val="Fuentedeprrafopredeter"/>
    <w:link w:val="Cita"/>
    <w:uiPriority w:val="29"/>
    <w:rsid w:val="009E26C8"/>
    <w:rPr>
      <w:i/>
      <w:iCs/>
      <w:color w:val="404040" w:themeColor="text1" w:themeTint="BF"/>
    </w:rPr>
  </w:style>
  <w:style w:type="paragraph" w:styleId="Prrafodelista">
    <w:name w:val="List Paragraph"/>
    <w:basedOn w:val="Normal"/>
    <w:uiPriority w:val="34"/>
    <w:qFormat/>
    <w:rsid w:val="009E26C8"/>
    <w:pPr>
      <w:ind w:left="720"/>
      <w:contextualSpacing/>
    </w:pPr>
  </w:style>
  <w:style w:type="character" w:styleId="nfasisintenso">
    <w:name w:val="Intense Emphasis"/>
    <w:basedOn w:val="Fuentedeprrafopredeter"/>
    <w:uiPriority w:val="21"/>
    <w:qFormat/>
    <w:rsid w:val="009E26C8"/>
    <w:rPr>
      <w:i/>
      <w:iCs/>
      <w:color w:val="0F4761" w:themeColor="accent1" w:themeShade="BF"/>
    </w:rPr>
  </w:style>
  <w:style w:type="paragraph" w:styleId="Citadestacada">
    <w:name w:val="Intense Quote"/>
    <w:basedOn w:val="Normal"/>
    <w:next w:val="Normal"/>
    <w:link w:val="CitadestacadaCar"/>
    <w:uiPriority w:val="30"/>
    <w:qFormat/>
    <w:rsid w:val="009E2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26C8"/>
    <w:rPr>
      <w:i/>
      <w:iCs/>
      <w:color w:val="0F4761" w:themeColor="accent1" w:themeShade="BF"/>
    </w:rPr>
  </w:style>
  <w:style w:type="character" w:styleId="Referenciaintensa">
    <w:name w:val="Intense Reference"/>
    <w:basedOn w:val="Fuentedeprrafopredeter"/>
    <w:uiPriority w:val="32"/>
    <w:qFormat/>
    <w:rsid w:val="009E2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6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concepto_tributario_dian_0000106_2022.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oficio_dian_17975_2024.htm" TargetMode="External"/><Relationship Id="rId3" Type="http://schemas.openxmlformats.org/officeDocument/2006/relationships/webSettings" Target="webSettings.xml"/><Relationship Id="rId21" Type="http://schemas.openxmlformats.org/officeDocument/2006/relationships/hyperlink" Target="https://normograma.dian.gov.co/dian/compilacion/docs/concepto_tributario_dian_0000106_2022.htm" TargetMode="External"/><Relationship Id="rId7" Type="http://schemas.openxmlformats.org/officeDocument/2006/relationships/hyperlink" Target="https://normograma.dian.gov.co/dian/compilacion/docs/resolucion_dian_0091_2021.htm" TargetMode="External"/><Relationship Id="rId12" Type="http://schemas.openxmlformats.org/officeDocument/2006/relationships/hyperlink" Target="https://normograma.dian.gov.co/dian/compilacion/docs/concepto_tributario_dian_0000106_2022.htm" TargetMode="External"/><Relationship Id="rId17"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6" Type="http://schemas.openxmlformats.org/officeDocument/2006/relationships/hyperlink" Target="https://normograma.dian.gov.co/dian/compilacion/docs/estatuto_tributario.htm" TargetMode="External"/><Relationship Id="rId20" Type="http://schemas.openxmlformats.org/officeDocument/2006/relationships/hyperlink" Target="https://normograma.dian.gov.co/dian/compilacion/docs/estatuto_tributario.htm" TargetMode="External"/><Relationship Id="rId1" Type="http://schemas.openxmlformats.org/officeDocument/2006/relationships/styles" Target="styles.xml"/><Relationship Id="rId6" Type="http://schemas.openxmlformats.org/officeDocument/2006/relationships/hyperlink" Target="https://normograma.dian.gov.co/dian/compilacion/docs/resolucion_dian_0091_2021.htm" TargetMode="External"/><Relationship Id="rId11" Type="http://schemas.openxmlformats.org/officeDocument/2006/relationships/hyperlink" Target="https://normograma.dian.gov.co/dian/compilacion/docs/decreto_1742_2020.htm" TargetMode="External"/><Relationship Id="rId5" Type="http://schemas.openxmlformats.org/officeDocument/2006/relationships/hyperlink" Target="https://normograma.dian.gov.co/dian/compilacion/docs/decreto_1742_2020.htm" TargetMode="External"/><Relationship Id="rId15" Type="http://schemas.openxmlformats.org/officeDocument/2006/relationships/hyperlink" Target="https://normograma.dian.gov.co/dian/compilacion/docs/oficio_dian_3966_2023.htm" TargetMode="External"/><Relationship Id="rId23" Type="http://schemas.openxmlformats.org/officeDocument/2006/relationships/theme" Target="theme/theme1.xml"/><Relationship Id="rId10" Type="http://schemas.openxmlformats.org/officeDocument/2006/relationships/hyperlink" Target="https://normograma.dian.gov.co/dian/compilacion/docs/concepto_tributario_dian_0000106_2022.htm" TargetMode="External"/><Relationship Id="rId19" Type="http://schemas.openxmlformats.org/officeDocument/2006/relationships/hyperlink" Target="https://normograma.dian.gov.co/dian/compilacion/docs/estatuto_tributario.htm" TargetMode="External"/><Relationship Id="rId4" Type="http://schemas.openxmlformats.org/officeDocument/2006/relationships/hyperlink" Target="https://normograma.dian.gov.co/dian/compilacion/docs/concepto_tributario_dian_0000106_2022.htm" TargetMode="Externa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1296</Words>
  <Characters>7130</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3</cp:revision>
  <dcterms:created xsi:type="dcterms:W3CDTF">2024-10-20T11:15:00Z</dcterms:created>
  <dcterms:modified xsi:type="dcterms:W3CDTF">2024-10-26T00:13:00Z</dcterms:modified>
</cp:coreProperties>
</file>