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7506" w14:textId="77777777" w:rsidR="00C4563F" w:rsidRPr="00C4563F" w:rsidRDefault="00C4563F" w:rsidP="00C4563F">
      <w:pPr>
        <w:spacing w:after="0" w:line="360" w:lineRule="auto"/>
        <w:jc w:val="center"/>
        <w:rPr>
          <w:rFonts w:eastAsia="Times New Roman" w:cs="Times New Roman"/>
          <w:color w:val="000000"/>
          <w:kern w:val="0"/>
          <w:szCs w:val="24"/>
          <w:lang w:eastAsia="es-CO"/>
          <w14:ligatures w14:val="none"/>
        </w:rPr>
      </w:pPr>
      <w:r w:rsidRPr="00C4563F">
        <w:rPr>
          <w:rFonts w:eastAsia="Times New Roman" w:cs="Times New Roman"/>
          <w:b/>
          <w:bCs/>
          <w:color w:val="000000"/>
          <w:kern w:val="0"/>
          <w:szCs w:val="24"/>
          <w:lang w:eastAsia="es-CO"/>
          <w14:ligatures w14:val="none"/>
        </w:rPr>
        <w:t>Concepto N 0434</w:t>
      </w:r>
    </w:p>
    <w:p w14:paraId="6D635D7D" w14:textId="77777777" w:rsidR="00C4563F" w:rsidRPr="00C4563F" w:rsidRDefault="00C4563F" w:rsidP="00C4563F">
      <w:pPr>
        <w:spacing w:after="0" w:line="360" w:lineRule="auto"/>
        <w:jc w:val="center"/>
        <w:rPr>
          <w:rFonts w:eastAsia="Times New Roman" w:cs="Times New Roman"/>
          <w:color w:val="000000"/>
          <w:kern w:val="0"/>
          <w:szCs w:val="24"/>
          <w:lang w:eastAsia="es-CO"/>
          <w14:ligatures w14:val="none"/>
        </w:rPr>
      </w:pPr>
      <w:r w:rsidRPr="00C4563F">
        <w:rPr>
          <w:rFonts w:eastAsia="Times New Roman" w:cs="Times New Roman"/>
          <w:b/>
          <w:bCs/>
          <w:color w:val="000000"/>
          <w:kern w:val="0"/>
          <w:szCs w:val="24"/>
          <w:lang w:eastAsia="es-CO"/>
          <w14:ligatures w14:val="none"/>
        </w:rPr>
        <w:t>10-11-2023</w:t>
      </w:r>
    </w:p>
    <w:p w14:paraId="18067D6C" w14:textId="77777777" w:rsidR="00C4563F" w:rsidRPr="00C4563F" w:rsidRDefault="00C4563F" w:rsidP="00C4563F">
      <w:pPr>
        <w:spacing w:after="0" w:line="360" w:lineRule="auto"/>
        <w:jc w:val="center"/>
        <w:rPr>
          <w:rFonts w:eastAsia="Times New Roman" w:cs="Times New Roman"/>
          <w:color w:val="000000"/>
          <w:kern w:val="0"/>
          <w:szCs w:val="24"/>
          <w:lang w:eastAsia="es-CO"/>
          <w14:ligatures w14:val="none"/>
        </w:rPr>
      </w:pPr>
      <w:r w:rsidRPr="00C4563F">
        <w:rPr>
          <w:rFonts w:eastAsia="Times New Roman" w:cs="Times New Roman"/>
          <w:b/>
          <w:bCs/>
          <w:color w:val="000000"/>
          <w:kern w:val="0"/>
          <w:szCs w:val="24"/>
          <w:lang w:eastAsia="es-CO"/>
          <w14:ligatures w14:val="none"/>
        </w:rPr>
        <w:t>Consejo Técnico de la Contaduría pública</w:t>
      </w:r>
    </w:p>
    <w:p w14:paraId="4C065932"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2A98BF83"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40F7D118"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Bogotá, D.C.,</w:t>
      </w:r>
    </w:p>
    <w:p w14:paraId="7E1D4AA6"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766"/>
        <w:gridCol w:w="3014"/>
      </w:tblGrid>
      <w:tr w:rsidR="00C4563F" w:rsidRPr="00C4563F" w14:paraId="1E1C48B2" w14:textId="77777777" w:rsidTr="00C4563F">
        <w:tc>
          <w:tcPr>
            <w:tcW w:w="2766" w:type="dxa"/>
            <w:tcBorders>
              <w:top w:val="nil"/>
              <w:left w:val="nil"/>
              <w:bottom w:val="nil"/>
              <w:right w:val="nil"/>
            </w:tcBorders>
            <w:shd w:val="clear" w:color="auto" w:fill="BFBFBF"/>
            <w:tcMar>
              <w:top w:w="0" w:type="dxa"/>
              <w:left w:w="105" w:type="dxa"/>
              <w:bottom w:w="0" w:type="dxa"/>
              <w:right w:w="105" w:type="dxa"/>
            </w:tcMar>
            <w:hideMark/>
          </w:tcPr>
          <w:p w14:paraId="44C5C6B4"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b/>
                <w:bCs/>
                <w:kern w:val="0"/>
                <w:szCs w:val="24"/>
                <w:lang w:eastAsia="es-CO"/>
                <w14:ligatures w14:val="none"/>
              </w:rPr>
              <w:t>REFERENCIA:</w:t>
            </w:r>
          </w:p>
        </w:tc>
        <w:tc>
          <w:tcPr>
            <w:tcW w:w="3014" w:type="dxa"/>
            <w:tcBorders>
              <w:top w:val="nil"/>
              <w:left w:val="nil"/>
              <w:bottom w:val="nil"/>
              <w:right w:val="nil"/>
            </w:tcBorders>
            <w:shd w:val="clear" w:color="auto" w:fill="BFBFBF"/>
            <w:tcMar>
              <w:top w:w="0" w:type="dxa"/>
              <w:left w:w="105" w:type="dxa"/>
              <w:bottom w:w="0" w:type="dxa"/>
              <w:right w:w="105" w:type="dxa"/>
            </w:tcMar>
            <w:hideMark/>
          </w:tcPr>
          <w:p w14:paraId="7264BFBA"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 </w:t>
            </w:r>
          </w:p>
        </w:tc>
      </w:tr>
      <w:tr w:rsidR="00C4563F" w:rsidRPr="00C4563F" w14:paraId="3330CD45" w14:textId="77777777" w:rsidTr="00C4563F">
        <w:tc>
          <w:tcPr>
            <w:tcW w:w="2766" w:type="dxa"/>
            <w:tcBorders>
              <w:top w:val="nil"/>
              <w:left w:val="nil"/>
              <w:bottom w:val="nil"/>
              <w:right w:val="nil"/>
            </w:tcBorders>
            <w:tcMar>
              <w:top w:w="0" w:type="dxa"/>
              <w:left w:w="105" w:type="dxa"/>
              <w:bottom w:w="0" w:type="dxa"/>
              <w:right w:w="105" w:type="dxa"/>
            </w:tcMar>
            <w:vAlign w:val="center"/>
            <w:hideMark/>
          </w:tcPr>
          <w:p w14:paraId="3E1D8D89"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No. del Radicado</w:t>
            </w:r>
          </w:p>
        </w:tc>
        <w:tc>
          <w:tcPr>
            <w:tcW w:w="3014" w:type="dxa"/>
            <w:tcBorders>
              <w:top w:val="nil"/>
              <w:left w:val="nil"/>
              <w:bottom w:val="nil"/>
              <w:right w:val="nil"/>
            </w:tcBorders>
            <w:tcMar>
              <w:top w:w="0" w:type="dxa"/>
              <w:left w:w="105" w:type="dxa"/>
              <w:bottom w:w="0" w:type="dxa"/>
              <w:right w:w="105" w:type="dxa"/>
            </w:tcMar>
            <w:vAlign w:val="center"/>
            <w:hideMark/>
          </w:tcPr>
          <w:p w14:paraId="0ECB9571"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1-2023-030337</w:t>
            </w:r>
          </w:p>
        </w:tc>
      </w:tr>
      <w:tr w:rsidR="00C4563F" w:rsidRPr="00C4563F" w14:paraId="17E83FAD" w14:textId="77777777" w:rsidTr="00C4563F">
        <w:tc>
          <w:tcPr>
            <w:tcW w:w="2766" w:type="dxa"/>
            <w:tcBorders>
              <w:top w:val="nil"/>
              <w:left w:val="nil"/>
              <w:bottom w:val="nil"/>
              <w:right w:val="nil"/>
            </w:tcBorders>
            <w:tcMar>
              <w:top w:w="0" w:type="dxa"/>
              <w:left w:w="105" w:type="dxa"/>
              <w:bottom w:w="0" w:type="dxa"/>
              <w:right w:w="105" w:type="dxa"/>
            </w:tcMar>
            <w:vAlign w:val="center"/>
            <w:hideMark/>
          </w:tcPr>
          <w:p w14:paraId="723F92E6"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Fecha de Radicado</w:t>
            </w:r>
          </w:p>
        </w:tc>
        <w:tc>
          <w:tcPr>
            <w:tcW w:w="3014" w:type="dxa"/>
            <w:tcBorders>
              <w:top w:val="nil"/>
              <w:left w:val="nil"/>
              <w:bottom w:val="nil"/>
              <w:right w:val="nil"/>
            </w:tcBorders>
            <w:tcMar>
              <w:top w:w="0" w:type="dxa"/>
              <w:left w:w="105" w:type="dxa"/>
              <w:bottom w:w="0" w:type="dxa"/>
              <w:right w:w="105" w:type="dxa"/>
            </w:tcMar>
            <w:vAlign w:val="center"/>
            <w:hideMark/>
          </w:tcPr>
          <w:p w14:paraId="0BF382A9"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12 de septiembre de 2023</w:t>
            </w:r>
          </w:p>
        </w:tc>
      </w:tr>
      <w:tr w:rsidR="00C4563F" w:rsidRPr="00C4563F" w14:paraId="776CB4B5" w14:textId="77777777" w:rsidTr="00C4563F">
        <w:tc>
          <w:tcPr>
            <w:tcW w:w="2766" w:type="dxa"/>
            <w:tcBorders>
              <w:top w:val="nil"/>
              <w:left w:val="nil"/>
              <w:bottom w:val="nil"/>
              <w:right w:val="nil"/>
            </w:tcBorders>
            <w:tcMar>
              <w:top w:w="0" w:type="dxa"/>
              <w:left w:w="105" w:type="dxa"/>
              <w:bottom w:w="0" w:type="dxa"/>
              <w:right w:w="105" w:type="dxa"/>
            </w:tcMar>
            <w:vAlign w:val="center"/>
            <w:hideMark/>
          </w:tcPr>
          <w:p w14:paraId="43DF7EC1"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proofErr w:type="spellStart"/>
            <w:r w:rsidRPr="00C4563F">
              <w:rPr>
                <w:rFonts w:eastAsia="Times New Roman" w:cs="Times New Roman"/>
                <w:kern w:val="0"/>
                <w:szCs w:val="24"/>
                <w:lang w:eastAsia="es-CO"/>
                <w14:ligatures w14:val="none"/>
              </w:rPr>
              <w:t>Nº</w:t>
            </w:r>
            <w:proofErr w:type="spellEnd"/>
            <w:r w:rsidRPr="00C4563F">
              <w:rPr>
                <w:rFonts w:eastAsia="Times New Roman" w:cs="Times New Roman"/>
                <w:kern w:val="0"/>
                <w:szCs w:val="24"/>
                <w:lang w:eastAsia="es-CO"/>
                <w14:ligatures w14:val="none"/>
              </w:rPr>
              <w:t xml:space="preserve"> de Radicación CTCP</w:t>
            </w:r>
          </w:p>
        </w:tc>
        <w:tc>
          <w:tcPr>
            <w:tcW w:w="3014" w:type="dxa"/>
            <w:tcBorders>
              <w:top w:val="nil"/>
              <w:left w:val="nil"/>
              <w:bottom w:val="nil"/>
              <w:right w:val="nil"/>
            </w:tcBorders>
            <w:tcMar>
              <w:top w:w="0" w:type="dxa"/>
              <w:left w:w="105" w:type="dxa"/>
              <w:bottom w:w="0" w:type="dxa"/>
              <w:right w:w="105" w:type="dxa"/>
            </w:tcMar>
            <w:vAlign w:val="center"/>
            <w:hideMark/>
          </w:tcPr>
          <w:p w14:paraId="700E80B6"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2023-0434</w:t>
            </w:r>
          </w:p>
        </w:tc>
      </w:tr>
      <w:tr w:rsidR="00C4563F" w:rsidRPr="00C4563F" w14:paraId="6CC86B6B" w14:textId="77777777" w:rsidTr="00C4563F">
        <w:tc>
          <w:tcPr>
            <w:tcW w:w="2766" w:type="dxa"/>
            <w:tcBorders>
              <w:top w:val="nil"/>
              <w:left w:val="nil"/>
              <w:bottom w:val="nil"/>
              <w:right w:val="nil"/>
            </w:tcBorders>
            <w:tcMar>
              <w:top w:w="0" w:type="dxa"/>
              <w:left w:w="105" w:type="dxa"/>
              <w:bottom w:w="0" w:type="dxa"/>
              <w:right w:w="105" w:type="dxa"/>
            </w:tcMar>
            <w:vAlign w:val="center"/>
            <w:hideMark/>
          </w:tcPr>
          <w:p w14:paraId="205D87DB"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Tema</w:t>
            </w:r>
          </w:p>
        </w:tc>
        <w:tc>
          <w:tcPr>
            <w:tcW w:w="3014" w:type="dxa"/>
            <w:tcBorders>
              <w:top w:val="nil"/>
              <w:left w:val="nil"/>
              <w:bottom w:val="nil"/>
              <w:right w:val="nil"/>
            </w:tcBorders>
            <w:tcMar>
              <w:top w:w="0" w:type="dxa"/>
              <w:left w:w="105" w:type="dxa"/>
              <w:bottom w:w="0" w:type="dxa"/>
              <w:right w:w="105" w:type="dxa"/>
            </w:tcMar>
            <w:vAlign w:val="center"/>
            <w:hideMark/>
          </w:tcPr>
          <w:p w14:paraId="3F319907"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Inquietudes – Grupo 3</w:t>
            </w:r>
          </w:p>
        </w:tc>
      </w:tr>
    </w:tbl>
    <w:p w14:paraId="5FCDEBD1"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79DCAC2E"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21C65933"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b/>
          <w:bCs/>
          <w:color w:val="000000"/>
          <w:kern w:val="0"/>
          <w:szCs w:val="24"/>
          <w:lang w:eastAsia="es-CO"/>
          <w14:ligatures w14:val="none"/>
        </w:rPr>
        <w:t>CONSULTA (TEXTUAL)</w:t>
      </w:r>
    </w:p>
    <w:p w14:paraId="5158B000"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5264CBDC"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i/>
          <w:iCs/>
          <w:color w:val="000000"/>
          <w:kern w:val="0"/>
          <w:szCs w:val="24"/>
          <w:lang w:eastAsia="es-CO"/>
          <w14:ligatures w14:val="none"/>
        </w:rPr>
        <w:t>“(...)</w:t>
      </w:r>
    </w:p>
    <w:p w14:paraId="7FEDAB48"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i/>
          <w:iCs/>
          <w:color w:val="000000"/>
          <w:kern w:val="0"/>
          <w:szCs w:val="24"/>
          <w:lang w:eastAsia="es-CO"/>
          <w14:ligatures w14:val="none"/>
        </w:rPr>
        <w:t>Paso a realizar las siguientes preguntas respecto de los preparadores de información del Grupo 3.</w:t>
      </w:r>
    </w:p>
    <w:p w14:paraId="5BD0ECBB"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79169A45"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i/>
          <w:iCs/>
          <w:color w:val="000000"/>
          <w:kern w:val="0"/>
          <w:szCs w:val="24"/>
          <w:lang w:eastAsia="es-CO"/>
          <w14:ligatures w14:val="none"/>
        </w:rPr>
        <w:t>1. ¿Los preparadores de información del Grupo 3, se encuentran sujetos a efectuar ajustes por diferencia en cambio?</w:t>
      </w:r>
    </w:p>
    <w:p w14:paraId="73294F2F"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i/>
          <w:iCs/>
          <w:color w:val="000000"/>
          <w:kern w:val="0"/>
          <w:szCs w:val="24"/>
          <w:lang w:eastAsia="es-CO"/>
          <w14:ligatures w14:val="none"/>
        </w:rPr>
        <w:t>2. ¿Los preparadores de información del Grupo 3, se encuentran sujetos a efectuar ajustes a valor razonable?</w:t>
      </w:r>
    </w:p>
    <w:p w14:paraId="12CFC3AD"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i/>
          <w:iCs/>
          <w:color w:val="000000"/>
          <w:kern w:val="0"/>
          <w:szCs w:val="24"/>
          <w:lang w:eastAsia="es-CO"/>
          <w14:ligatures w14:val="none"/>
        </w:rPr>
        <w:t>3. ¿Los preparadores de información del Grupo 3, se encuentran sujetos a calcular impuesto diferido?</w:t>
      </w:r>
    </w:p>
    <w:p w14:paraId="4792723A"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i/>
          <w:iCs/>
          <w:color w:val="000000"/>
          <w:kern w:val="0"/>
          <w:szCs w:val="24"/>
          <w:lang w:eastAsia="es-CO"/>
          <w14:ligatures w14:val="none"/>
        </w:rPr>
        <w:t>4. ¿Una sociedad ya existente que migre al Grupo 3 (en cumplimiento de los requisitos), que tiempo deberá permanecer en dicho grupo, si con posterioridad deja de cumplir los mencionados requisitos?... 3 años como sucede con las nuevas sociedades?... Las nuevas entidades que se constituyan podrán permanecer en el grupo 3 y aplicar la norma de información financiera del anexo 3 de este Decreto, hasta por un período de 3 años, aún en el evento de no cumplir los requisitos estipulados en el presente artículo.</w:t>
      </w:r>
    </w:p>
    <w:p w14:paraId="5835059E"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i/>
          <w:iCs/>
          <w:color w:val="000000"/>
          <w:kern w:val="0"/>
          <w:szCs w:val="24"/>
          <w:lang w:eastAsia="es-CO"/>
          <w14:ligatures w14:val="none"/>
        </w:rPr>
        <w:t>(…)”</w:t>
      </w:r>
    </w:p>
    <w:p w14:paraId="0525637B"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06661A70"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b/>
          <w:bCs/>
          <w:color w:val="000000"/>
          <w:kern w:val="0"/>
          <w:szCs w:val="24"/>
          <w:lang w:eastAsia="es-CO"/>
          <w14:ligatures w14:val="none"/>
        </w:rPr>
        <w:t>CONSIDERACIONES Y CONCEPTO</w:t>
      </w:r>
    </w:p>
    <w:p w14:paraId="1610E95F"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21D59B35"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xml:space="preserve">El Consejo Técnico de la Contaduría Pública (CTCP) en su carácter de Organismo Orientador técnico-científico de la profesión y Normalizador de las Normas de Contabilidad, de Información Financiera y de Aseguramiento de la Información, conforme a las normas legales vigentes, especialmente por lo dispuesto en la Ley 43 de 1990, la Ley 1314 de 2009, y en sus Decretos </w:t>
      </w:r>
      <w:r w:rsidRPr="00C4563F">
        <w:rPr>
          <w:rFonts w:eastAsia="Times New Roman" w:cs="Times New Roman"/>
          <w:color w:val="000000"/>
          <w:kern w:val="0"/>
          <w:szCs w:val="24"/>
          <w:lang w:eastAsia="es-CO"/>
          <w14:ligatures w14:val="none"/>
        </w:rPr>
        <w:lastRenderedPageBreak/>
        <w:t>Reglamentarios, procede a dar respuesta a la consulta anterior de manera general, pues no se pretende resolver casos particulares, en los siguientes términos:</w:t>
      </w:r>
    </w:p>
    <w:p w14:paraId="1AB014DA"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701CA571"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b/>
          <w:bCs/>
          <w:color w:val="000000"/>
          <w:kern w:val="0"/>
          <w:szCs w:val="24"/>
          <w:lang w:eastAsia="es-CO"/>
          <w14:ligatures w14:val="none"/>
        </w:rPr>
        <w:t>1. ¿Los preparadores de información del Grupo 3, se encuentran sujetos a efectuar ajustes por diferencia en cambio?</w:t>
      </w:r>
    </w:p>
    <w:p w14:paraId="1603CD60"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2AEA8FF4"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Respecto a la pregunta planteada, aunque la NIF para microempresas, denominada “contabilidad simplificada” no trate específicamente sobre la transacción, suceso o condición relacionado con ajustes por diferencia en cambio, las transacciones en moneda extranjera correspondientes a partidas monetarias deberán ser convertidas a la moneda funcional de la entidad para propósitos de la presentación de estados financieros de propósito general. La Entidad podrá, de conformidad con el Capítulo II – Conceptos y principios generales, del Anexo No. 3 del D.U.R. 2420 de 2015, utilizar de acuerdo con las circunstancias, bases de medición de la NIIF para las Pymes o las NIIF plenas, cumpliendo todos los requisitos que dichas bases de medición establezcan.</w:t>
      </w:r>
    </w:p>
    <w:p w14:paraId="03A14056"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5C2DDBA9"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De presentarse transacciones en moneda extranjera, la diferencia en cambio es un rubro del estado de resultados que se origina al convertir un determinado número de unidades de una moneda a otra moneda, utilizando tasas de cambio diferentes (ver párrafo 8 de la NIC 21).</w:t>
      </w:r>
    </w:p>
    <w:p w14:paraId="6650D9FA"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46C74820"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La diferencia en cambio (en el estado de resultados) se genera por mantener activos y pasivos monetarios en una moneda extranjera</w:t>
      </w:r>
      <w:hyperlink r:id="rId5" w:anchor="cite_note-1" w:history="1">
        <w:r w:rsidRPr="00C4563F">
          <w:rPr>
            <w:rFonts w:eastAsia="Times New Roman" w:cs="Times New Roman"/>
            <w:color w:val="0645AD"/>
            <w:kern w:val="0"/>
            <w:szCs w:val="24"/>
            <w:vertAlign w:val="superscript"/>
            <w:lang w:eastAsia="es-CO"/>
            <w14:ligatures w14:val="none"/>
          </w:rPr>
          <w:t>1</w:t>
        </w:r>
      </w:hyperlink>
      <w:r w:rsidRPr="00C4563F">
        <w:rPr>
          <w:rFonts w:eastAsia="Times New Roman" w:cs="Times New Roman"/>
          <w:color w:val="000000"/>
          <w:kern w:val="0"/>
          <w:szCs w:val="24"/>
          <w:lang w:eastAsia="es-CO"/>
          <w14:ligatures w14:val="none"/>
        </w:rPr>
        <w:t>, es decir derechos a recibir (o la obligación de entregar) una cantidad fija o determinable de unidades monetarias</w:t>
      </w:r>
      <w:hyperlink r:id="rId6" w:anchor="cite_note-2" w:history="1">
        <w:r w:rsidRPr="00C4563F">
          <w:rPr>
            <w:rFonts w:eastAsia="Times New Roman" w:cs="Times New Roman"/>
            <w:color w:val="0645AD"/>
            <w:kern w:val="0"/>
            <w:szCs w:val="24"/>
            <w:vertAlign w:val="superscript"/>
            <w:lang w:eastAsia="es-CO"/>
            <w14:ligatures w14:val="none"/>
          </w:rPr>
          <w:t>2</w:t>
        </w:r>
      </w:hyperlink>
      <w:r w:rsidRPr="00C4563F">
        <w:rPr>
          <w:rFonts w:eastAsia="Times New Roman" w:cs="Times New Roman"/>
          <w:color w:val="000000"/>
          <w:kern w:val="0"/>
          <w:szCs w:val="24"/>
          <w:lang w:eastAsia="es-CO"/>
          <w14:ligatures w14:val="none"/>
        </w:rPr>
        <w:t>.</w:t>
      </w:r>
    </w:p>
    <w:p w14:paraId="6626DA93"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7B9C2944"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Todos los activos y pasivos monetarios mantenidos en moneda extranjera deben expresarse en el estado de situación financiera a la tasa de cambio de cierre</w:t>
      </w:r>
      <w:hyperlink r:id="rId7" w:anchor="cite_note-3" w:history="1">
        <w:r w:rsidRPr="00C4563F">
          <w:rPr>
            <w:rFonts w:eastAsia="Times New Roman" w:cs="Times New Roman"/>
            <w:color w:val="0645AD"/>
            <w:kern w:val="0"/>
            <w:szCs w:val="24"/>
            <w:vertAlign w:val="superscript"/>
            <w:lang w:eastAsia="es-CO"/>
            <w14:ligatures w14:val="none"/>
          </w:rPr>
          <w:t>3</w:t>
        </w:r>
      </w:hyperlink>
      <w:r w:rsidRPr="00C4563F">
        <w:rPr>
          <w:rFonts w:eastAsia="Times New Roman" w:cs="Times New Roman"/>
          <w:color w:val="000000"/>
          <w:kern w:val="0"/>
          <w:szCs w:val="24"/>
          <w:lang w:eastAsia="es-CO"/>
          <w14:ligatures w14:val="none"/>
        </w:rPr>
        <w:t>, dicha diferencia por actualización a la tasa de cambio de cierre, se reconocerá en el estado de resultados</w:t>
      </w:r>
      <w:hyperlink r:id="rId8" w:anchor="cite_note-4" w:history="1">
        <w:r w:rsidRPr="00C4563F">
          <w:rPr>
            <w:rFonts w:eastAsia="Times New Roman" w:cs="Times New Roman"/>
            <w:color w:val="0645AD"/>
            <w:kern w:val="0"/>
            <w:szCs w:val="24"/>
            <w:vertAlign w:val="superscript"/>
            <w:lang w:eastAsia="es-CO"/>
            <w14:ligatures w14:val="none"/>
          </w:rPr>
          <w:t>4</w:t>
        </w:r>
      </w:hyperlink>
      <w:r w:rsidRPr="00C4563F">
        <w:rPr>
          <w:rFonts w:eastAsia="Times New Roman" w:cs="Times New Roman"/>
          <w:color w:val="000000"/>
          <w:kern w:val="0"/>
          <w:szCs w:val="24"/>
          <w:lang w:eastAsia="es-CO"/>
          <w14:ligatures w14:val="none"/>
        </w:rPr>
        <w:t> a menos que se utilice la contabilidad de coberturas</w:t>
      </w:r>
      <w:hyperlink r:id="rId9" w:anchor="cite_note-5" w:history="1">
        <w:r w:rsidRPr="00C4563F">
          <w:rPr>
            <w:rFonts w:eastAsia="Times New Roman" w:cs="Times New Roman"/>
            <w:color w:val="0645AD"/>
            <w:kern w:val="0"/>
            <w:szCs w:val="24"/>
            <w:vertAlign w:val="superscript"/>
            <w:lang w:eastAsia="es-CO"/>
            <w14:ligatures w14:val="none"/>
          </w:rPr>
          <w:t>5</w:t>
        </w:r>
      </w:hyperlink>
      <w:r w:rsidRPr="00C4563F">
        <w:rPr>
          <w:rFonts w:eastAsia="Times New Roman" w:cs="Times New Roman"/>
          <w:color w:val="000000"/>
          <w:kern w:val="0"/>
          <w:szCs w:val="24"/>
          <w:lang w:eastAsia="es-CO"/>
          <w14:ligatures w14:val="none"/>
        </w:rPr>
        <w:t>, o se trate de una partida monetaria que forme parte de la inversión neta de un negocio en el extranjero Ver párrafos 32 al 34, de la NIC 21</w:t>
      </w:r>
      <w:hyperlink r:id="rId10" w:anchor="cite_note-6" w:history="1">
        <w:r w:rsidRPr="00C4563F">
          <w:rPr>
            <w:rFonts w:eastAsia="Times New Roman" w:cs="Times New Roman"/>
            <w:color w:val="0645AD"/>
            <w:kern w:val="0"/>
            <w:szCs w:val="24"/>
            <w:vertAlign w:val="superscript"/>
            <w:lang w:eastAsia="es-CO"/>
            <w14:ligatures w14:val="none"/>
          </w:rPr>
          <w:t>6</w:t>
        </w:r>
      </w:hyperlink>
      <w:r w:rsidRPr="00C4563F">
        <w:rPr>
          <w:rFonts w:eastAsia="Times New Roman" w:cs="Times New Roman"/>
          <w:color w:val="000000"/>
          <w:kern w:val="0"/>
          <w:szCs w:val="24"/>
          <w:lang w:eastAsia="es-CO"/>
          <w14:ligatures w14:val="none"/>
        </w:rPr>
        <w:t>.</w:t>
      </w:r>
    </w:p>
    <w:p w14:paraId="30E81D2D"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53B40A68"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Acerca de la diferencia en cambio, este Consejo ha emitido los siguientes conceptos, los cuales, dependiendo de las transacciones desarrolladas por la Organización, podrán ser considerados para su adecuado registro (Ver: </w:t>
      </w:r>
      <w:hyperlink r:id="rId11" w:tgtFrame="_blank" w:history="1">
        <w:r w:rsidRPr="00C4563F">
          <w:rPr>
            <w:rFonts w:eastAsia="Times New Roman" w:cs="Times New Roman"/>
            <w:color w:val="0645AD"/>
            <w:kern w:val="0"/>
            <w:szCs w:val="24"/>
            <w:u w:val="single"/>
            <w:lang w:eastAsia="es-CO"/>
            <w14:ligatures w14:val="none"/>
          </w:rPr>
          <w:t>https://www.ctcp.gov.co/conceptos/2023</w:t>
        </w:r>
      </w:hyperlink>
      <w:r w:rsidRPr="00C4563F">
        <w:rPr>
          <w:rFonts w:eastAsia="Times New Roman" w:cs="Times New Roman"/>
          <w:color w:val="000000"/>
          <w:kern w:val="0"/>
          <w:szCs w:val="24"/>
          <w:lang w:eastAsia="es-CO"/>
          <w14:ligatures w14:val="none"/>
        </w:rPr>
        <w:t>):</w:t>
      </w:r>
    </w:p>
    <w:p w14:paraId="3D00276D"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031"/>
        <w:gridCol w:w="7011"/>
        <w:gridCol w:w="1304"/>
      </w:tblGrid>
      <w:tr w:rsidR="00C4563F" w:rsidRPr="00C4563F" w14:paraId="68AE7AE2" w14:textId="77777777" w:rsidTr="00C4563F">
        <w:tc>
          <w:tcPr>
            <w:tcW w:w="1067"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center"/>
            <w:hideMark/>
          </w:tcPr>
          <w:p w14:paraId="49F54CCD" w14:textId="77777777" w:rsidR="00C4563F" w:rsidRPr="00C4563F" w:rsidRDefault="00C4563F" w:rsidP="00C4563F">
            <w:pPr>
              <w:spacing w:after="0" w:line="360" w:lineRule="auto"/>
              <w:jc w:val="center"/>
              <w:rPr>
                <w:rFonts w:eastAsia="Times New Roman" w:cs="Times New Roman"/>
                <w:kern w:val="0"/>
                <w:szCs w:val="24"/>
                <w:lang w:eastAsia="es-CO"/>
                <w14:ligatures w14:val="none"/>
              </w:rPr>
            </w:pPr>
            <w:r w:rsidRPr="00C4563F">
              <w:rPr>
                <w:rFonts w:eastAsia="Times New Roman" w:cs="Times New Roman"/>
                <w:b/>
                <w:bCs/>
                <w:kern w:val="0"/>
                <w:szCs w:val="24"/>
                <w:lang w:eastAsia="es-CO"/>
                <w14:ligatures w14:val="none"/>
              </w:rPr>
              <w:t>No.</w:t>
            </w:r>
          </w:p>
        </w:tc>
        <w:tc>
          <w:tcPr>
            <w:tcW w:w="7660"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bottom"/>
            <w:hideMark/>
          </w:tcPr>
          <w:p w14:paraId="629023E5" w14:textId="77777777" w:rsidR="00C4563F" w:rsidRPr="00C4563F" w:rsidRDefault="00C4563F" w:rsidP="00C4563F">
            <w:pPr>
              <w:spacing w:after="0" w:line="360" w:lineRule="auto"/>
              <w:jc w:val="center"/>
              <w:rPr>
                <w:rFonts w:eastAsia="Times New Roman" w:cs="Times New Roman"/>
                <w:kern w:val="0"/>
                <w:szCs w:val="24"/>
                <w:lang w:eastAsia="es-CO"/>
                <w14:ligatures w14:val="none"/>
              </w:rPr>
            </w:pPr>
            <w:r w:rsidRPr="00C4563F">
              <w:rPr>
                <w:rFonts w:eastAsia="Times New Roman" w:cs="Times New Roman"/>
                <w:b/>
                <w:bCs/>
                <w:kern w:val="0"/>
                <w:szCs w:val="24"/>
                <w:lang w:eastAsia="es-CO"/>
                <w14:ligatures w14:val="none"/>
              </w:rPr>
              <w:t>CONCEPTO</w:t>
            </w:r>
          </w:p>
        </w:tc>
        <w:tc>
          <w:tcPr>
            <w:tcW w:w="1235" w:type="dxa"/>
            <w:tcBorders>
              <w:top w:val="single" w:sz="4" w:space="0" w:color="000000"/>
              <w:left w:val="single" w:sz="4" w:space="0" w:color="000000"/>
              <w:bottom w:val="single" w:sz="4" w:space="0" w:color="000000"/>
              <w:right w:val="single" w:sz="4" w:space="0" w:color="000000"/>
            </w:tcBorders>
            <w:shd w:val="clear" w:color="auto" w:fill="A6CAEC"/>
            <w:tcMar>
              <w:top w:w="0" w:type="dxa"/>
              <w:left w:w="105" w:type="dxa"/>
              <w:bottom w:w="0" w:type="dxa"/>
              <w:right w:w="105" w:type="dxa"/>
            </w:tcMar>
            <w:vAlign w:val="bottom"/>
            <w:hideMark/>
          </w:tcPr>
          <w:p w14:paraId="4EBDF6B6" w14:textId="77777777" w:rsidR="00C4563F" w:rsidRPr="00C4563F" w:rsidRDefault="00C4563F" w:rsidP="00C4563F">
            <w:pPr>
              <w:spacing w:after="0" w:line="360" w:lineRule="auto"/>
              <w:jc w:val="center"/>
              <w:rPr>
                <w:rFonts w:eastAsia="Times New Roman" w:cs="Times New Roman"/>
                <w:kern w:val="0"/>
                <w:szCs w:val="24"/>
                <w:lang w:eastAsia="es-CO"/>
                <w14:ligatures w14:val="none"/>
              </w:rPr>
            </w:pPr>
            <w:r w:rsidRPr="00C4563F">
              <w:rPr>
                <w:rFonts w:eastAsia="Times New Roman" w:cs="Times New Roman"/>
                <w:b/>
                <w:bCs/>
                <w:kern w:val="0"/>
                <w:szCs w:val="24"/>
                <w:lang w:eastAsia="es-CO"/>
                <w14:ligatures w14:val="none"/>
              </w:rPr>
              <w:t>FECHA</w:t>
            </w:r>
          </w:p>
        </w:tc>
      </w:tr>
      <w:tr w:rsidR="00C4563F" w:rsidRPr="00C4563F" w14:paraId="6CD438A9"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8AD16FB"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2014-042</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3575DB8"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RESERVA LEGAL, INVENTARIOS Y AJUSTE POR DIFERENCIA EN CAMBIO NIIF</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9B34112"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21/02/2014</w:t>
            </w:r>
          </w:p>
        </w:tc>
      </w:tr>
      <w:tr w:rsidR="00C4563F" w:rsidRPr="00C4563F" w14:paraId="048E7743"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48EA59B"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2015-1031</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F73E8AE"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CAPITALIZACIÓN DE LA DIFERENCIA EN CAMBIO</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CB2059E"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7/12/2015</w:t>
            </w:r>
          </w:p>
        </w:tc>
      </w:tr>
      <w:tr w:rsidR="00C4563F" w:rsidRPr="00C4563F" w14:paraId="37937E77"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881F85D"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lastRenderedPageBreak/>
              <w:t>2017-053</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D21FC5F"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DIFERENCIA EN CAMBIO EN RELACIÓN CON EL D.R. 1819</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BDBBAA0"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7/04/2017</w:t>
            </w:r>
          </w:p>
        </w:tc>
      </w:tr>
      <w:tr w:rsidR="00C4563F" w:rsidRPr="00C4563F" w14:paraId="2E1CA86B"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0677C44"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2017-538</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D16F8CD"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DIFERENCIA EN CAMBIO PARA IVA Y RETENCIÓN EN LA FUENTE</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5537783"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25/07/2017</w:t>
            </w:r>
          </w:p>
        </w:tc>
      </w:tr>
      <w:tr w:rsidR="00C4563F" w:rsidRPr="00C4563F" w14:paraId="506E2E93"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C75E3D2"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2017-625</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1B1A5AF"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DIFERENCIA EN CAMBIO - LEY 1819 DE 2016</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72E25D5"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25/09/2017</w:t>
            </w:r>
          </w:p>
        </w:tc>
      </w:tr>
      <w:tr w:rsidR="00C4563F" w:rsidRPr="00C4563F" w14:paraId="21094AEE"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DFDA135"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2018-973</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1E45FE"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DIFERENCIA EN CAMBIO</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701604"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5/12/2018</w:t>
            </w:r>
          </w:p>
        </w:tc>
      </w:tr>
      <w:tr w:rsidR="00C4563F" w:rsidRPr="00C4563F" w14:paraId="39413970"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C8C5E22"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2019-0638</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0042EBF"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RECLASIFICACIÓN DE INGRESOS Y GASTOS POR DIFERENCIA EN CAMBIO EN ESTADOS FINANCIEROS</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B821A8C"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29/07/2019</w:t>
            </w:r>
          </w:p>
        </w:tc>
      </w:tr>
      <w:tr w:rsidR="00C4563F" w:rsidRPr="00C4563F" w14:paraId="04BC239A"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6454998"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2019-0788</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24FFC4"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RECONOCIMIENTO DE LA DIFERENCIA EN CAMBIO</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5750135"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12/09/2019</w:t>
            </w:r>
          </w:p>
        </w:tc>
      </w:tr>
      <w:tr w:rsidR="00C4563F" w:rsidRPr="00C4563F" w14:paraId="73603826"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0AE7A27"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2019-0891</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90EE48"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DIFERENCIA EN CAMBIO</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311F7E7"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15/10/2019</w:t>
            </w:r>
          </w:p>
        </w:tc>
      </w:tr>
      <w:tr w:rsidR="00C4563F" w:rsidRPr="00C4563F" w14:paraId="33A8B890"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D57104D"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2019-1005</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019359D"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DIFERENCIA EN CAMBIO</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2A8122"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15/11/2019</w:t>
            </w:r>
          </w:p>
        </w:tc>
      </w:tr>
      <w:tr w:rsidR="00C4563F" w:rsidRPr="00C4563F" w14:paraId="3BD517C6"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ABD4387"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2020-0707</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D4935E"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INTERESES Y DIFERENCIA EN CAMBIO EN INVENTARIOS</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266A9E"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7/09/2020</w:t>
            </w:r>
          </w:p>
        </w:tc>
      </w:tr>
      <w:tr w:rsidR="00C4563F" w:rsidRPr="00C4563F" w14:paraId="3747EA4A"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8FDE1D1"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2021-0056</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ECCF56E"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Diferencia en cambio en anticipos de importación</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F04305"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19/02/2021</w:t>
            </w:r>
          </w:p>
        </w:tc>
      </w:tr>
      <w:tr w:rsidR="00C4563F" w:rsidRPr="00C4563F" w14:paraId="297BDD7E"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CF3D9B2"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2021-0058</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F36014"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Diferencia en cambio en cuentas de compensación</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0B98DA6"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29/03/2021</w:t>
            </w:r>
          </w:p>
        </w:tc>
      </w:tr>
      <w:tr w:rsidR="00C4563F" w:rsidRPr="00C4563F" w14:paraId="50E69144"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FECE97E"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2021-0206</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C63B87"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Diferencia en Cambio en Operaciones Internas</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5E658B9"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18/05/2021</w:t>
            </w:r>
          </w:p>
        </w:tc>
      </w:tr>
      <w:tr w:rsidR="00C4563F" w:rsidRPr="00C4563F" w14:paraId="1C237B20"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85FB24C"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2021-0260</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47EA38"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Diferencia en cambio Tasa de referencia</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3F153AA"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10/06/2021</w:t>
            </w:r>
          </w:p>
        </w:tc>
      </w:tr>
      <w:tr w:rsidR="00C4563F" w:rsidRPr="00C4563F" w14:paraId="05A4D832"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837305A"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2021-0369</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846A93D"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Diferencia en cambio en pasivos no cancelados en el futuro previsible</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D75A01"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26/07/2021</w:t>
            </w:r>
          </w:p>
        </w:tc>
      </w:tr>
      <w:tr w:rsidR="00C4563F" w:rsidRPr="00C4563F" w14:paraId="60873F3B"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006A4FF"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2021-0547</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9F49245"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Diferencia en cambio en informes mensuales o de fin de ejercicio</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9C2D6A"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25/10/2021</w:t>
            </w:r>
          </w:p>
        </w:tc>
      </w:tr>
      <w:tr w:rsidR="00C4563F" w:rsidRPr="00C4563F" w14:paraId="77A27307" w14:textId="77777777" w:rsidTr="00C4563F">
        <w:tc>
          <w:tcPr>
            <w:tcW w:w="1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F91A0DC"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2022-0140</w:t>
            </w:r>
          </w:p>
        </w:tc>
        <w:tc>
          <w:tcPr>
            <w:tcW w:w="76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0D4FD60" w14:textId="77777777" w:rsidR="00C4563F" w:rsidRPr="00C4563F" w:rsidRDefault="00C4563F" w:rsidP="00C4563F">
            <w:pPr>
              <w:spacing w:after="0" w:line="360" w:lineRule="auto"/>
              <w:jc w:val="both"/>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Diferencia en cambio</w:t>
            </w:r>
          </w:p>
        </w:tc>
        <w:tc>
          <w:tcPr>
            <w:tcW w:w="12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092378" w14:textId="77777777" w:rsidR="00C4563F" w:rsidRPr="00C4563F" w:rsidRDefault="00C4563F" w:rsidP="00C4563F">
            <w:pPr>
              <w:spacing w:after="0" w:line="360" w:lineRule="auto"/>
              <w:jc w:val="right"/>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t>18/04/2022</w:t>
            </w:r>
          </w:p>
        </w:tc>
      </w:tr>
    </w:tbl>
    <w:p w14:paraId="2E23DBD7"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30B58A2B"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3F825CE7"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b/>
          <w:bCs/>
          <w:color w:val="000000"/>
          <w:kern w:val="0"/>
          <w:szCs w:val="24"/>
          <w:lang w:eastAsia="es-CO"/>
          <w14:ligatures w14:val="none"/>
        </w:rPr>
        <w:t>2.</w:t>
      </w:r>
      <w:r w:rsidRPr="00C4563F">
        <w:rPr>
          <w:rFonts w:eastAsia="Times New Roman" w:cs="Times New Roman"/>
          <w:color w:val="000000"/>
          <w:kern w:val="0"/>
          <w:szCs w:val="24"/>
          <w:lang w:eastAsia="es-CO"/>
          <w14:ligatures w14:val="none"/>
        </w:rPr>
        <w:t> </w:t>
      </w:r>
      <w:r w:rsidRPr="00C4563F">
        <w:rPr>
          <w:rFonts w:eastAsia="Times New Roman" w:cs="Times New Roman"/>
          <w:b/>
          <w:bCs/>
          <w:color w:val="000000"/>
          <w:kern w:val="0"/>
          <w:szCs w:val="24"/>
          <w:lang w:eastAsia="es-CO"/>
          <w14:ligatures w14:val="none"/>
        </w:rPr>
        <w:t>¿Los preparadores de información del Grupo 3, se encuentran sujetos a efectuar ajustes a valor razonable?</w:t>
      </w:r>
    </w:p>
    <w:p w14:paraId="0732D620"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444D32B0"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Se le recuerda que los lineamientos establecidos en el Anexo No. 3 del D.U.R. 2420 de 2015, en sus numerales 2.25 al 2.27, exponen lo siguiente:</w:t>
      </w:r>
    </w:p>
    <w:p w14:paraId="609E5217"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lastRenderedPageBreak/>
        <w:t> </w:t>
      </w:r>
    </w:p>
    <w:p w14:paraId="34C0397D"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i/>
          <w:iCs/>
          <w:color w:val="000000"/>
          <w:kern w:val="0"/>
          <w:szCs w:val="24"/>
          <w:lang w:eastAsia="es-CO"/>
          <w14:ligatures w14:val="none"/>
        </w:rPr>
        <w:t>“Medición de activos, pasivos, ingresos y gastos</w:t>
      </w:r>
    </w:p>
    <w:p w14:paraId="41543F25" w14:textId="77777777" w:rsidR="00C4563F" w:rsidRDefault="00C4563F" w:rsidP="00C4563F">
      <w:pPr>
        <w:spacing w:after="0" w:line="360" w:lineRule="auto"/>
        <w:ind w:left="284"/>
        <w:jc w:val="both"/>
        <w:rPr>
          <w:rFonts w:eastAsia="Times New Roman" w:cs="Times New Roman"/>
          <w:i/>
          <w:iCs/>
          <w:color w:val="000000"/>
          <w:kern w:val="0"/>
          <w:szCs w:val="24"/>
          <w:lang w:eastAsia="es-CO"/>
          <w14:ligatures w14:val="none"/>
        </w:rPr>
      </w:pPr>
    </w:p>
    <w:p w14:paraId="4D6A30EC" w14:textId="53460C5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i/>
          <w:iCs/>
          <w:color w:val="000000"/>
          <w:kern w:val="0"/>
          <w:szCs w:val="24"/>
          <w:lang w:eastAsia="es-CO"/>
          <w14:ligatures w14:val="none"/>
        </w:rPr>
        <w:t>2.25 Medición es el proceso de determinar cuantías o valores en los que una microempresa mide los activos, pasivos, ingresos y gastos en sus estados financieros. La medición involucra la selección de una base de medición.</w:t>
      </w:r>
    </w:p>
    <w:p w14:paraId="2AC5DFD2" w14:textId="77777777" w:rsidR="00C4563F" w:rsidRDefault="00C4563F" w:rsidP="00C4563F">
      <w:pPr>
        <w:spacing w:after="0" w:line="360" w:lineRule="auto"/>
        <w:ind w:left="284"/>
        <w:jc w:val="both"/>
        <w:rPr>
          <w:rFonts w:eastAsia="Times New Roman" w:cs="Times New Roman"/>
          <w:i/>
          <w:iCs/>
          <w:color w:val="000000"/>
          <w:kern w:val="0"/>
          <w:szCs w:val="24"/>
          <w:lang w:eastAsia="es-CO"/>
          <w14:ligatures w14:val="none"/>
        </w:rPr>
      </w:pPr>
    </w:p>
    <w:p w14:paraId="7DE3B6A1" w14:textId="58074A9A"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i/>
          <w:iCs/>
          <w:color w:val="000000"/>
          <w:kern w:val="0"/>
          <w:szCs w:val="24"/>
          <w:lang w:eastAsia="es-CO"/>
          <w14:ligatures w14:val="none"/>
        </w:rPr>
        <w:t>2.26 La base de medición para las microempresas, al preparar sus estados financieros, </w:t>
      </w:r>
      <w:r w:rsidRPr="00C4563F">
        <w:rPr>
          <w:rFonts w:eastAsia="Times New Roman" w:cs="Times New Roman"/>
          <w:i/>
          <w:iCs/>
          <w:color w:val="000000"/>
          <w:kern w:val="0"/>
          <w:szCs w:val="24"/>
          <w:u w:val="single"/>
          <w:lang w:eastAsia="es-CO"/>
          <w14:ligatures w14:val="none"/>
        </w:rPr>
        <w:t>será el costo histórico</w:t>
      </w:r>
      <w:r w:rsidRPr="00C4563F">
        <w:rPr>
          <w:rFonts w:eastAsia="Times New Roman" w:cs="Times New Roman"/>
          <w:i/>
          <w:iCs/>
          <w:color w:val="000000"/>
          <w:kern w:val="0"/>
          <w:szCs w:val="24"/>
          <w:lang w:eastAsia="es-CO"/>
          <w14:ligatures w14:val="none"/>
        </w:rPr>
        <w:t>.</w:t>
      </w:r>
    </w:p>
    <w:p w14:paraId="23E24A15"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3B40CA64"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i/>
          <w:iCs/>
          <w:color w:val="000000"/>
          <w:kern w:val="0"/>
          <w:szCs w:val="24"/>
          <w:lang w:eastAsia="es-CO"/>
          <w14:ligatures w14:val="none"/>
        </w:rPr>
        <w:t>2.27 </w:t>
      </w:r>
      <w:r w:rsidRPr="00C4563F">
        <w:rPr>
          <w:rFonts w:eastAsia="Times New Roman" w:cs="Times New Roman"/>
          <w:i/>
          <w:iCs/>
          <w:color w:val="000000"/>
          <w:kern w:val="0"/>
          <w:szCs w:val="24"/>
          <w:u w:val="single"/>
          <w:lang w:eastAsia="es-CO"/>
          <w14:ligatures w14:val="none"/>
        </w:rPr>
        <w:t>El costo histórico</w:t>
      </w:r>
      <w:r w:rsidRPr="00C4563F">
        <w:rPr>
          <w:rFonts w:eastAsia="Times New Roman" w:cs="Times New Roman"/>
          <w:i/>
          <w:iCs/>
          <w:color w:val="000000"/>
          <w:kern w:val="0"/>
          <w:szCs w:val="24"/>
          <w:lang w:eastAsia="es-CO"/>
          <w14:ligatures w14:val="none"/>
        </w:rPr>
        <w:t> es el que representa el monto original consumido u obtenido en efectivo, o en su equivalente, en el momento de realización de un hecho económico. El costo histórico está representado, en la mayoría de los casos, por el valor pagado más todos los costos y gastos directamente incurridos para colocar un activo en condiciones de utilización o venta”. (Subrayado fuera del texto)</w:t>
      </w:r>
    </w:p>
    <w:p w14:paraId="3FA13219"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260BC5C5"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De lo anterior, le será fácil concluir su inquietud.</w:t>
      </w:r>
    </w:p>
    <w:p w14:paraId="2CAEE47E"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4C808C04"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b/>
          <w:bCs/>
          <w:color w:val="000000"/>
          <w:kern w:val="0"/>
          <w:szCs w:val="24"/>
          <w:lang w:eastAsia="es-CO"/>
          <w14:ligatures w14:val="none"/>
        </w:rPr>
        <w:t>3.</w:t>
      </w:r>
      <w:r w:rsidRPr="00C4563F">
        <w:rPr>
          <w:rFonts w:eastAsia="Times New Roman" w:cs="Times New Roman"/>
          <w:color w:val="000000"/>
          <w:kern w:val="0"/>
          <w:szCs w:val="24"/>
          <w:lang w:eastAsia="es-CO"/>
          <w14:ligatures w14:val="none"/>
        </w:rPr>
        <w:t> </w:t>
      </w:r>
      <w:r w:rsidRPr="00C4563F">
        <w:rPr>
          <w:rFonts w:eastAsia="Times New Roman" w:cs="Times New Roman"/>
          <w:b/>
          <w:bCs/>
          <w:color w:val="000000"/>
          <w:kern w:val="0"/>
          <w:szCs w:val="24"/>
          <w:lang w:eastAsia="es-CO"/>
          <w14:ligatures w14:val="none"/>
        </w:rPr>
        <w:t>¿Los preparadores de información del Grupo 3, se encuentran sujetos a calcular impuesto diferido?</w:t>
      </w:r>
    </w:p>
    <w:p w14:paraId="7A8851E9"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5ABB5D64" w14:textId="77777777" w:rsidR="00C4563F" w:rsidRPr="00C4563F" w:rsidRDefault="00C4563F" w:rsidP="00C4563F">
      <w:pPr>
        <w:spacing w:after="0" w:line="360" w:lineRule="auto"/>
        <w:jc w:val="both"/>
        <w:rPr>
          <w:rFonts w:eastAsia="Times New Roman" w:cs="Times New Roman"/>
          <w:color w:val="000000"/>
          <w:kern w:val="0"/>
          <w:sz w:val="32"/>
          <w:szCs w:val="32"/>
          <w:lang w:eastAsia="es-CO"/>
          <w14:ligatures w14:val="none"/>
        </w:rPr>
      </w:pPr>
      <w:r w:rsidRPr="00C4563F">
        <w:rPr>
          <w:rFonts w:eastAsia="Times New Roman" w:cs="Times New Roman"/>
          <w:color w:val="000000"/>
          <w:kern w:val="0"/>
          <w:szCs w:val="24"/>
          <w:lang w:eastAsia="es-CO"/>
          <w14:ligatures w14:val="none"/>
        </w:rPr>
        <w:t xml:space="preserve">El cálculo del impuesto diferido es un requerimiento aplicable para las empresas que aplican los marcos técnicos normativos incorporados en los Anexos No. 1 y No. 2 del D.U.R. 2420 de 2015. </w:t>
      </w:r>
      <w:r w:rsidRPr="00C4563F">
        <w:rPr>
          <w:rFonts w:eastAsia="Times New Roman" w:cs="Times New Roman"/>
          <w:color w:val="000000"/>
          <w:kern w:val="0"/>
          <w:sz w:val="32"/>
          <w:szCs w:val="32"/>
          <w:highlight w:val="yellow"/>
          <w:lang w:eastAsia="es-CO"/>
          <w14:ligatures w14:val="none"/>
        </w:rPr>
        <w:t xml:space="preserve">De donde cualquier contador concluye que las únicas entidades </w:t>
      </w:r>
      <w:r w:rsidRPr="00C4563F">
        <w:rPr>
          <w:rFonts w:eastAsia="Times New Roman" w:cs="Times New Roman"/>
          <w:b/>
          <w:bCs/>
          <w:color w:val="000000"/>
          <w:kern w:val="0"/>
          <w:sz w:val="32"/>
          <w:szCs w:val="32"/>
          <w:highlight w:val="yellow"/>
          <w:u w:val="single"/>
          <w:lang w:eastAsia="es-CO"/>
          <w14:ligatures w14:val="none"/>
        </w:rPr>
        <w:t>no obligadas a calcular el impuesto diferido</w:t>
      </w:r>
      <w:r w:rsidRPr="00C4563F">
        <w:rPr>
          <w:rFonts w:eastAsia="Times New Roman" w:cs="Times New Roman"/>
          <w:color w:val="000000"/>
          <w:kern w:val="0"/>
          <w:sz w:val="32"/>
          <w:szCs w:val="32"/>
          <w:highlight w:val="yellow"/>
          <w:lang w:eastAsia="es-CO"/>
          <w14:ligatures w14:val="none"/>
        </w:rPr>
        <w:t xml:space="preserve"> son aquellas clasificadas en el grupo 3 por tratarse de un sistema simplificado de contabilidad.</w:t>
      </w:r>
    </w:p>
    <w:p w14:paraId="60FAA802"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0B0C3709"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b/>
          <w:bCs/>
          <w:color w:val="000000"/>
          <w:kern w:val="0"/>
          <w:szCs w:val="24"/>
          <w:lang w:eastAsia="es-CO"/>
          <w14:ligatures w14:val="none"/>
        </w:rPr>
        <w:t>4. ¿Una sociedad ya existente que migre al Grupo 3 (en cumplimiento de los requisitos), que tiempo deberá permanecer en dicho grupo, si con posterioridad deja de cumplir los mencionados requisitos?... 3 años como sucede con las nuevas sociedades?... Las nuevas entidades que se constituyan podrán permanecer en el grupo 3 y aplicar la norma de información financiera del anexo 3 de este Decreto, hasta por un período de 3 años, aún en el evento de no cumplir los requisitos estipulados en el presente artículo.</w:t>
      </w:r>
    </w:p>
    <w:p w14:paraId="6EA813BB"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4109E75E"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highlight w:val="yellow"/>
          <w:lang w:eastAsia="es-CO"/>
          <w14:ligatures w14:val="none"/>
        </w:rPr>
        <w:t xml:space="preserve">Acerca de la 4° pregunta, se deberán cumplir los tiempos definidos dentro del parágrafo del artículo 1.1.3.1. Marco Técnico Normativo de Información Financiera denominado Normas de Información Financiera para entidades pertenecientes al Grupo 3, incorporado en el Decreto </w:t>
      </w:r>
      <w:r w:rsidRPr="00C4563F">
        <w:rPr>
          <w:rFonts w:eastAsia="Times New Roman" w:cs="Times New Roman"/>
          <w:b/>
          <w:bCs/>
          <w:color w:val="000000"/>
          <w:kern w:val="0"/>
          <w:szCs w:val="24"/>
          <w:highlight w:val="yellow"/>
          <w:lang w:eastAsia="es-CO"/>
          <w14:ligatures w14:val="none"/>
        </w:rPr>
        <w:t>Reglamentario 1670 de 2021, que expresa lo siguiente:</w:t>
      </w:r>
    </w:p>
    <w:p w14:paraId="33FDD37F"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2BA77A84" w14:textId="77777777" w:rsidR="00C4563F" w:rsidRPr="00C4563F" w:rsidRDefault="00C4563F" w:rsidP="00C4563F">
      <w:pPr>
        <w:spacing w:after="0" w:line="360" w:lineRule="auto"/>
        <w:ind w:left="284"/>
        <w:jc w:val="both"/>
        <w:rPr>
          <w:rFonts w:eastAsia="Times New Roman" w:cs="Times New Roman"/>
          <w:color w:val="000000"/>
          <w:kern w:val="0"/>
          <w:szCs w:val="24"/>
          <w:lang w:eastAsia="es-CO"/>
          <w14:ligatures w14:val="none"/>
        </w:rPr>
      </w:pPr>
      <w:r w:rsidRPr="00C4563F">
        <w:rPr>
          <w:rFonts w:eastAsia="Times New Roman" w:cs="Times New Roman"/>
          <w:i/>
          <w:iCs/>
          <w:color w:val="000000"/>
          <w:kern w:val="0"/>
          <w:szCs w:val="24"/>
          <w:lang w:eastAsia="es-CO"/>
          <w14:ligatures w14:val="none"/>
        </w:rPr>
        <w:lastRenderedPageBreak/>
        <w:t>“PARÁGRAFO. Las nuevas entidades que se constituyan podrán permanecer en el grupo 3 y aplicar la norma de información financiera del anexo 3 de este Decreto, hasta por un período de 3 años, aún en el evento de no cumplir los requisitos estipulados en el presente artículo.”</w:t>
      </w:r>
    </w:p>
    <w:p w14:paraId="5313E974"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3DEFD644"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34FBC15A"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39355A95"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Cordialmente,</w:t>
      </w:r>
    </w:p>
    <w:p w14:paraId="4EE0EB82"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25B7AADA"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122231C2"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b/>
          <w:bCs/>
          <w:color w:val="000000"/>
          <w:kern w:val="0"/>
          <w:szCs w:val="24"/>
          <w:lang w:eastAsia="es-CO"/>
          <w14:ligatures w14:val="none"/>
        </w:rPr>
        <w:t>JESÚS MARÍA PEÑA BERMÚDEZ</w:t>
      </w:r>
    </w:p>
    <w:p w14:paraId="44DB9AAC"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Consejero - CTCP</w:t>
      </w:r>
    </w:p>
    <w:p w14:paraId="37C97EFE" w14:textId="77777777" w:rsidR="00C4563F" w:rsidRPr="00C4563F" w:rsidRDefault="00C4563F" w:rsidP="00C4563F">
      <w:pPr>
        <w:spacing w:after="0" w:line="360" w:lineRule="auto"/>
        <w:jc w:val="both"/>
        <w:rPr>
          <w:rFonts w:eastAsia="Times New Roman" w:cs="Times New Roman"/>
          <w:color w:val="000000"/>
          <w:kern w:val="0"/>
          <w:szCs w:val="24"/>
          <w:lang w:eastAsia="es-CO"/>
          <w14:ligatures w14:val="none"/>
        </w:rPr>
      </w:pPr>
      <w:r w:rsidRPr="00C4563F">
        <w:rPr>
          <w:rFonts w:eastAsia="Times New Roman" w:cs="Times New Roman"/>
          <w:color w:val="000000"/>
          <w:kern w:val="0"/>
          <w:szCs w:val="24"/>
          <w:lang w:eastAsia="es-CO"/>
          <w14:ligatures w14:val="none"/>
        </w:rPr>
        <w:t> </w:t>
      </w:r>
    </w:p>
    <w:p w14:paraId="4819AD31" w14:textId="77777777" w:rsidR="00C4563F" w:rsidRPr="00C4563F" w:rsidRDefault="00C4563F" w:rsidP="00C4563F">
      <w:pPr>
        <w:spacing w:after="285" w:line="360" w:lineRule="auto"/>
        <w:jc w:val="both"/>
        <w:outlineLvl w:val="2"/>
        <w:rPr>
          <w:rFonts w:eastAsia="Times New Roman" w:cs="Times New Roman"/>
          <w:b/>
          <w:bCs/>
          <w:color w:val="000000"/>
          <w:kern w:val="0"/>
          <w:szCs w:val="24"/>
          <w:lang w:eastAsia="es-CO"/>
          <w14:ligatures w14:val="none"/>
        </w:rPr>
      </w:pPr>
      <w:r w:rsidRPr="00C4563F">
        <w:rPr>
          <w:rFonts w:eastAsia="Times New Roman" w:cs="Times New Roman"/>
          <w:b/>
          <w:bCs/>
          <w:color w:val="000000"/>
          <w:kern w:val="0"/>
          <w:szCs w:val="24"/>
          <w:lang w:eastAsia="es-CO"/>
          <w14:ligatures w14:val="none"/>
        </w:rPr>
        <w:t>Notas al pie</w:t>
      </w:r>
    </w:p>
    <w:p w14:paraId="1C15FF41" w14:textId="77777777" w:rsidR="00C4563F" w:rsidRPr="00C4563F" w:rsidRDefault="00C4563F" w:rsidP="00C4563F">
      <w:pPr>
        <w:spacing w:after="0" w:line="360" w:lineRule="auto"/>
        <w:rPr>
          <w:rFonts w:eastAsia="Times New Roman" w:cs="Times New Roman"/>
          <w:kern w:val="0"/>
          <w:szCs w:val="24"/>
          <w:lang w:eastAsia="es-CO"/>
          <w14:ligatures w14:val="none"/>
        </w:rPr>
      </w:pPr>
      <w:r w:rsidRPr="00C4563F">
        <w:rPr>
          <w:rFonts w:eastAsia="Times New Roman" w:cs="Times New Roman"/>
          <w:kern w:val="0"/>
          <w:szCs w:val="24"/>
          <w:lang w:eastAsia="es-CO"/>
          <w14:ligatures w14:val="none"/>
        </w:rPr>
        <w:pict w14:anchorId="539B0591">
          <v:rect id="_x0000_i1025" style="width:0;height:1.5pt" o:hralign="left" o:hrstd="t" o:hrnoshade="t" o:hr="t" fillcolor="black" stroked="f"/>
        </w:pict>
      </w:r>
    </w:p>
    <w:p w14:paraId="12EE1AE9" w14:textId="77777777" w:rsidR="00C4563F" w:rsidRPr="00C4563F" w:rsidRDefault="00C4563F" w:rsidP="00C4563F">
      <w:pPr>
        <w:numPr>
          <w:ilvl w:val="1"/>
          <w:numId w:val="1"/>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12" w:anchor="cite_ref-1" w:tooltip="Volver arriba" w:history="1">
        <w:r w:rsidRPr="00C4563F">
          <w:rPr>
            <w:rFonts w:eastAsia="Times New Roman" w:cs="Times New Roman"/>
            <w:color w:val="0645AD"/>
            <w:kern w:val="0"/>
            <w:szCs w:val="24"/>
            <w:lang w:eastAsia="es-CO"/>
            <w14:ligatures w14:val="none"/>
          </w:rPr>
          <w:t>↑</w:t>
        </w:r>
      </w:hyperlink>
      <w:r w:rsidRPr="00C4563F">
        <w:rPr>
          <w:rFonts w:eastAsia="Times New Roman" w:cs="Times New Roman"/>
          <w:color w:val="000000"/>
          <w:kern w:val="0"/>
          <w:szCs w:val="24"/>
          <w:lang w:eastAsia="es-CO"/>
          <w14:ligatures w14:val="none"/>
        </w:rPr>
        <w:t> La moneda extranjera es cualquier moneda diferente a la moneda funcional.</w:t>
      </w:r>
    </w:p>
    <w:p w14:paraId="538B1C42" w14:textId="77777777" w:rsidR="00C4563F" w:rsidRPr="00C4563F" w:rsidRDefault="00C4563F" w:rsidP="00C4563F">
      <w:pPr>
        <w:numPr>
          <w:ilvl w:val="1"/>
          <w:numId w:val="1"/>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13" w:anchor="cite_ref-2" w:tooltip="Volver arriba" w:history="1">
        <w:r w:rsidRPr="00C4563F">
          <w:rPr>
            <w:rFonts w:eastAsia="Times New Roman" w:cs="Times New Roman"/>
            <w:color w:val="0645AD"/>
            <w:kern w:val="0"/>
            <w:szCs w:val="24"/>
            <w:lang w:eastAsia="es-CO"/>
            <w14:ligatures w14:val="none"/>
          </w:rPr>
          <w:t>↑</w:t>
        </w:r>
      </w:hyperlink>
      <w:r w:rsidRPr="00C4563F">
        <w:rPr>
          <w:rFonts w:eastAsia="Times New Roman" w:cs="Times New Roman"/>
          <w:color w:val="000000"/>
          <w:kern w:val="0"/>
          <w:szCs w:val="24"/>
          <w:lang w:eastAsia="es-CO"/>
          <w14:ligatures w14:val="none"/>
        </w:rPr>
        <w:t> Tomado del anexo 1 del Decreto 2420 de 2015 y sus modificatorios, párrafo 16 de la NIC 21</w:t>
      </w:r>
    </w:p>
    <w:p w14:paraId="1AC7F1FC" w14:textId="77777777" w:rsidR="00C4563F" w:rsidRPr="00C4563F" w:rsidRDefault="00C4563F" w:rsidP="00C4563F">
      <w:pPr>
        <w:numPr>
          <w:ilvl w:val="1"/>
          <w:numId w:val="1"/>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14" w:anchor="cite_ref-3" w:tooltip="Volver arriba" w:history="1">
        <w:r w:rsidRPr="00C4563F">
          <w:rPr>
            <w:rFonts w:eastAsia="Times New Roman" w:cs="Times New Roman"/>
            <w:color w:val="0645AD"/>
            <w:kern w:val="0"/>
            <w:szCs w:val="24"/>
            <w:lang w:eastAsia="es-CO"/>
            <w14:ligatures w14:val="none"/>
          </w:rPr>
          <w:t>↑</w:t>
        </w:r>
      </w:hyperlink>
      <w:r w:rsidRPr="00C4563F">
        <w:rPr>
          <w:rFonts w:eastAsia="Times New Roman" w:cs="Times New Roman"/>
          <w:color w:val="000000"/>
          <w:kern w:val="0"/>
          <w:szCs w:val="24"/>
          <w:lang w:eastAsia="es-CO"/>
          <w14:ligatures w14:val="none"/>
        </w:rPr>
        <w:t> Ver literal a), del párrafo 23 de la NIC 21.</w:t>
      </w:r>
    </w:p>
    <w:p w14:paraId="039B1A81" w14:textId="77777777" w:rsidR="00C4563F" w:rsidRPr="00C4563F" w:rsidRDefault="00C4563F" w:rsidP="00C4563F">
      <w:pPr>
        <w:numPr>
          <w:ilvl w:val="1"/>
          <w:numId w:val="1"/>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15" w:anchor="cite_ref-4" w:tooltip="Volver arriba" w:history="1">
        <w:r w:rsidRPr="00C4563F">
          <w:rPr>
            <w:rFonts w:eastAsia="Times New Roman" w:cs="Times New Roman"/>
            <w:color w:val="0645AD"/>
            <w:kern w:val="0"/>
            <w:szCs w:val="24"/>
            <w:lang w:eastAsia="es-CO"/>
            <w14:ligatures w14:val="none"/>
          </w:rPr>
          <w:t>↑</w:t>
        </w:r>
      </w:hyperlink>
      <w:r w:rsidRPr="00C4563F">
        <w:rPr>
          <w:rFonts w:eastAsia="Times New Roman" w:cs="Times New Roman"/>
          <w:color w:val="000000"/>
          <w:kern w:val="0"/>
          <w:szCs w:val="24"/>
          <w:lang w:eastAsia="es-CO"/>
          <w14:ligatures w14:val="none"/>
        </w:rPr>
        <w:t> Ver párrafos 28 y 29 de la NIC 21</w:t>
      </w:r>
    </w:p>
    <w:p w14:paraId="7054850D" w14:textId="77777777" w:rsidR="00C4563F" w:rsidRPr="00C4563F" w:rsidRDefault="00C4563F" w:rsidP="00C4563F">
      <w:pPr>
        <w:numPr>
          <w:ilvl w:val="1"/>
          <w:numId w:val="1"/>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16" w:anchor="cite_ref-5" w:tooltip="Volver arriba" w:history="1">
        <w:r w:rsidRPr="00C4563F">
          <w:rPr>
            <w:rFonts w:eastAsia="Times New Roman" w:cs="Times New Roman"/>
            <w:color w:val="0645AD"/>
            <w:kern w:val="0"/>
            <w:szCs w:val="24"/>
            <w:lang w:eastAsia="es-CO"/>
            <w14:ligatures w14:val="none"/>
          </w:rPr>
          <w:t>↑</w:t>
        </w:r>
      </w:hyperlink>
      <w:r w:rsidRPr="00C4563F">
        <w:rPr>
          <w:rFonts w:eastAsia="Times New Roman" w:cs="Times New Roman"/>
          <w:color w:val="000000"/>
          <w:kern w:val="0"/>
          <w:szCs w:val="24"/>
          <w:lang w:eastAsia="es-CO"/>
          <w14:ligatures w14:val="none"/>
        </w:rPr>
        <w:t> Ver párrafo 27 de la NIC 21</w:t>
      </w:r>
    </w:p>
    <w:p w14:paraId="75813AC8" w14:textId="77777777" w:rsidR="00C4563F" w:rsidRPr="00C4563F" w:rsidRDefault="00C4563F" w:rsidP="00C4563F">
      <w:pPr>
        <w:numPr>
          <w:ilvl w:val="1"/>
          <w:numId w:val="1"/>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17" w:anchor="cite_ref-6" w:tooltip="Volver arriba" w:history="1">
        <w:r w:rsidRPr="00C4563F">
          <w:rPr>
            <w:rFonts w:eastAsia="Times New Roman" w:cs="Times New Roman"/>
            <w:color w:val="0645AD"/>
            <w:kern w:val="0"/>
            <w:szCs w:val="24"/>
            <w:lang w:eastAsia="es-CO"/>
            <w14:ligatures w14:val="none"/>
          </w:rPr>
          <w:t>↑</w:t>
        </w:r>
      </w:hyperlink>
      <w:r w:rsidRPr="00C4563F">
        <w:rPr>
          <w:rFonts w:eastAsia="Times New Roman" w:cs="Times New Roman"/>
          <w:color w:val="000000"/>
          <w:kern w:val="0"/>
          <w:szCs w:val="24"/>
          <w:lang w:eastAsia="es-CO"/>
          <w14:ligatures w14:val="none"/>
        </w:rPr>
        <w:t> Ver párrafos 32 al 34, de la NIC 21</w:t>
      </w:r>
    </w:p>
    <w:p w14:paraId="0A687DD2" w14:textId="77777777" w:rsidR="007F5CC8" w:rsidRPr="00C4563F" w:rsidRDefault="007F5CC8" w:rsidP="00C4563F">
      <w:pPr>
        <w:spacing w:line="360" w:lineRule="auto"/>
        <w:rPr>
          <w:rFonts w:cs="Times New Roman"/>
          <w:szCs w:val="24"/>
        </w:rPr>
      </w:pPr>
    </w:p>
    <w:sectPr w:rsidR="007F5CC8" w:rsidRPr="00C4563F" w:rsidSect="00EA4F9F">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4ED7"/>
    <w:multiLevelType w:val="multilevel"/>
    <w:tmpl w:val="912CB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460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3F"/>
    <w:rsid w:val="000F3837"/>
    <w:rsid w:val="001E311E"/>
    <w:rsid w:val="00434AE6"/>
    <w:rsid w:val="005D25EE"/>
    <w:rsid w:val="007F5CC8"/>
    <w:rsid w:val="008779BE"/>
    <w:rsid w:val="008C2E57"/>
    <w:rsid w:val="00C4563F"/>
    <w:rsid w:val="00EA4F9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4E40"/>
  <w15:chartTrackingRefBased/>
  <w15:docId w15:val="{D7C04C08-8FE4-4ADC-BB03-8F694DDC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45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5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56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56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C4563F"/>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C456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C4563F"/>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C4563F"/>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C4563F"/>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563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563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563F"/>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563F"/>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C4563F"/>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C4563F"/>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C4563F"/>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C4563F"/>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C4563F"/>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C45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56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563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563F"/>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C4563F"/>
    <w:pPr>
      <w:spacing w:before="160"/>
      <w:jc w:val="center"/>
    </w:pPr>
    <w:rPr>
      <w:i/>
      <w:iCs/>
      <w:color w:val="404040" w:themeColor="text1" w:themeTint="BF"/>
    </w:rPr>
  </w:style>
  <w:style w:type="character" w:customStyle="1" w:styleId="CitaCar">
    <w:name w:val="Cita Car"/>
    <w:basedOn w:val="Fuentedeprrafopredeter"/>
    <w:link w:val="Cita"/>
    <w:uiPriority w:val="29"/>
    <w:rsid w:val="00C4563F"/>
    <w:rPr>
      <w:i/>
      <w:iCs/>
      <w:color w:val="404040" w:themeColor="text1" w:themeTint="BF"/>
    </w:rPr>
  </w:style>
  <w:style w:type="paragraph" w:styleId="Prrafodelista">
    <w:name w:val="List Paragraph"/>
    <w:basedOn w:val="Normal"/>
    <w:uiPriority w:val="34"/>
    <w:qFormat/>
    <w:rsid w:val="00C4563F"/>
    <w:pPr>
      <w:ind w:left="720"/>
      <w:contextualSpacing/>
    </w:pPr>
  </w:style>
  <w:style w:type="character" w:styleId="nfasisintenso">
    <w:name w:val="Intense Emphasis"/>
    <w:basedOn w:val="Fuentedeprrafopredeter"/>
    <w:uiPriority w:val="21"/>
    <w:qFormat/>
    <w:rsid w:val="00C4563F"/>
    <w:rPr>
      <w:i/>
      <w:iCs/>
      <w:color w:val="0F4761" w:themeColor="accent1" w:themeShade="BF"/>
    </w:rPr>
  </w:style>
  <w:style w:type="paragraph" w:styleId="Citadestacada">
    <w:name w:val="Intense Quote"/>
    <w:basedOn w:val="Normal"/>
    <w:next w:val="Normal"/>
    <w:link w:val="CitadestacadaCar"/>
    <w:uiPriority w:val="30"/>
    <w:qFormat/>
    <w:rsid w:val="00C45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563F"/>
    <w:rPr>
      <w:i/>
      <w:iCs/>
      <w:color w:val="0F4761" w:themeColor="accent1" w:themeShade="BF"/>
    </w:rPr>
  </w:style>
  <w:style w:type="character" w:styleId="Referenciaintensa">
    <w:name w:val="Intense Reference"/>
    <w:basedOn w:val="Fuentedeprrafopredeter"/>
    <w:uiPriority w:val="32"/>
    <w:qFormat/>
    <w:rsid w:val="00C456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36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0872" TargetMode="External"/><Relationship Id="rId13" Type="http://schemas.openxmlformats.org/officeDocument/2006/relationships/hyperlink" Target="https://www.ceta.org.co/html/vista_de_un_documento.asp?DocumentoID=508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org.co/html/vista_de_un_documento.asp?DocumentoID=50872" TargetMode="External"/><Relationship Id="rId12" Type="http://schemas.openxmlformats.org/officeDocument/2006/relationships/hyperlink" Target="https://www.ceta.org.co/html/vista_de_un_documento.asp?DocumentoID=50872" TargetMode="External"/><Relationship Id="rId17" Type="http://schemas.openxmlformats.org/officeDocument/2006/relationships/hyperlink" Target="https://www.ceta.org.co/html/vista_de_un_documento.asp?DocumentoID=50872"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50872"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0872" TargetMode="External"/><Relationship Id="rId11" Type="http://schemas.openxmlformats.org/officeDocument/2006/relationships/hyperlink" Target="https://www.ctcp.gov.co/conceptos/2023" TargetMode="External"/><Relationship Id="rId5" Type="http://schemas.openxmlformats.org/officeDocument/2006/relationships/hyperlink" Target="https://www.ceta.org.co/html/vista_de_un_documento.asp?DocumentoID=50872" TargetMode="External"/><Relationship Id="rId15" Type="http://schemas.openxmlformats.org/officeDocument/2006/relationships/hyperlink" Target="https://www.ceta.org.co/html/vista_de_un_documento.asp?DocumentoID=50872" TargetMode="External"/><Relationship Id="rId10" Type="http://schemas.openxmlformats.org/officeDocument/2006/relationships/hyperlink" Target="https://www.ceta.org.co/html/vista_de_un_documento.asp?DocumentoID=5087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documento.asp?DocumentoID=50872" TargetMode="External"/><Relationship Id="rId14" Type="http://schemas.openxmlformats.org/officeDocument/2006/relationships/hyperlink" Target="https://www.ceta.org.co/html/vista_de_un_documento.asp?DocumentoID=508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1535</Words>
  <Characters>8448</Characters>
  <Application>Microsoft Office Word</Application>
  <DocSecurity>0</DocSecurity>
  <Lines>70</Lines>
  <Paragraphs>19</Paragraphs>
  <ScaleCrop>false</ScaleCrop>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2024-02-01T15:15:00Z</dcterms:created>
  <dcterms:modified xsi:type="dcterms:W3CDTF">2024-02-01T15:19:00Z</dcterms:modified>
</cp:coreProperties>
</file>