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5DF95" w14:textId="77777777" w:rsidR="002D46E2" w:rsidRDefault="002D46E2"/>
    <w:p w14:paraId="01E5D676" w14:textId="77777777" w:rsidR="002D46E2" w:rsidRPr="002D46E2" w:rsidRDefault="002D46E2" w:rsidP="002D46E2">
      <w:pPr>
        <w:spacing w:after="0" w:line="240" w:lineRule="auto"/>
        <w:jc w:val="center"/>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b/>
          <w:bCs/>
          <w:color w:val="000000"/>
          <w:kern w:val="0"/>
          <w:sz w:val="21"/>
          <w:szCs w:val="21"/>
          <w:lang w:eastAsia="es-CO"/>
          <w14:ligatures w14:val="none"/>
        </w:rPr>
        <w:t xml:space="preserve">Concepto </w:t>
      </w:r>
      <w:proofErr w:type="spellStart"/>
      <w:r w:rsidRPr="002D46E2">
        <w:rPr>
          <w:rFonts w:ascii="Segoe UI" w:eastAsia="Times New Roman" w:hAnsi="Segoe UI" w:cs="Segoe UI"/>
          <w:b/>
          <w:bCs/>
          <w:color w:val="000000"/>
          <w:kern w:val="0"/>
          <w:sz w:val="21"/>
          <w:szCs w:val="21"/>
          <w:lang w:eastAsia="es-CO"/>
          <w14:ligatures w14:val="none"/>
        </w:rPr>
        <w:t>Nº</w:t>
      </w:r>
      <w:proofErr w:type="spellEnd"/>
      <w:r w:rsidRPr="002D46E2">
        <w:rPr>
          <w:rFonts w:ascii="Segoe UI" w:eastAsia="Times New Roman" w:hAnsi="Segoe UI" w:cs="Segoe UI"/>
          <w:b/>
          <w:bCs/>
          <w:color w:val="000000"/>
          <w:kern w:val="0"/>
          <w:sz w:val="21"/>
          <w:szCs w:val="21"/>
          <w:lang w:eastAsia="es-CO"/>
          <w14:ligatures w14:val="none"/>
        </w:rPr>
        <w:t xml:space="preserve"> 0098</w:t>
      </w:r>
    </w:p>
    <w:p w14:paraId="696110D5" w14:textId="77777777" w:rsidR="002D46E2" w:rsidRPr="002D46E2" w:rsidRDefault="002D46E2" w:rsidP="002D46E2">
      <w:pPr>
        <w:spacing w:after="0" w:line="240" w:lineRule="auto"/>
        <w:jc w:val="center"/>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b/>
          <w:bCs/>
          <w:color w:val="000000"/>
          <w:kern w:val="0"/>
          <w:sz w:val="21"/>
          <w:szCs w:val="21"/>
          <w:lang w:eastAsia="es-CO"/>
          <w14:ligatures w14:val="none"/>
        </w:rPr>
        <w:t>27-05-2024</w:t>
      </w:r>
    </w:p>
    <w:p w14:paraId="4BCF9C6A" w14:textId="77777777" w:rsidR="002D46E2" w:rsidRPr="002D46E2" w:rsidRDefault="002D46E2" w:rsidP="002D46E2">
      <w:pPr>
        <w:spacing w:after="0" w:line="240" w:lineRule="auto"/>
        <w:jc w:val="center"/>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b/>
          <w:bCs/>
          <w:color w:val="000000"/>
          <w:kern w:val="0"/>
          <w:sz w:val="21"/>
          <w:szCs w:val="21"/>
          <w:lang w:eastAsia="es-CO"/>
          <w14:ligatures w14:val="none"/>
        </w:rPr>
        <w:t>Consejo Técnico de la Contaduría Pública</w:t>
      </w:r>
    </w:p>
    <w:p w14:paraId="76B0619A"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p w14:paraId="679D3BA4"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p w14:paraId="1605F599"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Bogotá, D.C.,</w:t>
      </w:r>
    </w:p>
    <w:p w14:paraId="7DAB9B16"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661"/>
        <w:gridCol w:w="2830"/>
      </w:tblGrid>
      <w:tr w:rsidR="002D46E2" w:rsidRPr="002D46E2" w14:paraId="74C9DAE7" w14:textId="77777777" w:rsidTr="002D46E2">
        <w:tc>
          <w:tcPr>
            <w:tcW w:w="2661" w:type="dxa"/>
            <w:tcBorders>
              <w:top w:val="nil"/>
              <w:left w:val="nil"/>
              <w:bottom w:val="nil"/>
              <w:right w:val="nil"/>
            </w:tcBorders>
            <w:shd w:val="clear" w:color="auto" w:fill="BFBFBF"/>
            <w:tcMar>
              <w:top w:w="0" w:type="dxa"/>
              <w:left w:w="105" w:type="dxa"/>
              <w:bottom w:w="0" w:type="dxa"/>
              <w:right w:w="105" w:type="dxa"/>
            </w:tcMar>
            <w:hideMark/>
          </w:tcPr>
          <w:p w14:paraId="3B699726"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b/>
                <w:bCs/>
                <w:kern w:val="0"/>
                <w:sz w:val="21"/>
                <w:szCs w:val="21"/>
                <w:lang w:eastAsia="es-CO"/>
                <w14:ligatures w14:val="none"/>
              </w:rPr>
              <w:t>REFERENCIA:</w:t>
            </w:r>
          </w:p>
        </w:tc>
        <w:tc>
          <w:tcPr>
            <w:tcW w:w="2830" w:type="dxa"/>
            <w:tcBorders>
              <w:top w:val="nil"/>
              <w:left w:val="nil"/>
              <w:bottom w:val="nil"/>
              <w:right w:val="nil"/>
            </w:tcBorders>
            <w:shd w:val="clear" w:color="auto" w:fill="BFBFBF"/>
            <w:tcMar>
              <w:top w:w="0" w:type="dxa"/>
              <w:left w:w="105" w:type="dxa"/>
              <w:bottom w:w="0" w:type="dxa"/>
              <w:right w:w="105" w:type="dxa"/>
            </w:tcMar>
            <w:hideMark/>
          </w:tcPr>
          <w:p w14:paraId="5CD865E5"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 </w:t>
            </w:r>
          </w:p>
        </w:tc>
      </w:tr>
      <w:tr w:rsidR="002D46E2" w:rsidRPr="002D46E2" w14:paraId="5B26F4A9" w14:textId="77777777" w:rsidTr="002D46E2">
        <w:tc>
          <w:tcPr>
            <w:tcW w:w="2661" w:type="dxa"/>
            <w:tcBorders>
              <w:top w:val="nil"/>
              <w:left w:val="nil"/>
              <w:bottom w:val="nil"/>
              <w:right w:val="nil"/>
            </w:tcBorders>
            <w:tcMar>
              <w:top w:w="0" w:type="dxa"/>
              <w:left w:w="105" w:type="dxa"/>
              <w:bottom w:w="0" w:type="dxa"/>
              <w:right w:w="105" w:type="dxa"/>
            </w:tcMar>
            <w:hideMark/>
          </w:tcPr>
          <w:p w14:paraId="7EDFD284"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No. del Radicado</w:t>
            </w:r>
          </w:p>
        </w:tc>
        <w:tc>
          <w:tcPr>
            <w:tcW w:w="2830" w:type="dxa"/>
            <w:tcBorders>
              <w:top w:val="nil"/>
              <w:left w:val="nil"/>
              <w:bottom w:val="nil"/>
              <w:right w:val="nil"/>
            </w:tcBorders>
            <w:tcMar>
              <w:top w:w="0" w:type="dxa"/>
              <w:left w:w="105" w:type="dxa"/>
              <w:bottom w:w="0" w:type="dxa"/>
              <w:right w:w="105" w:type="dxa"/>
            </w:tcMar>
            <w:hideMark/>
          </w:tcPr>
          <w:p w14:paraId="6B9C02DE"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1-2024-008149</w:t>
            </w:r>
          </w:p>
        </w:tc>
      </w:tr>
      <w:tr w:rsidR="002D46E2" w:rsidRPr="002D46E2" w14:paraId="0874542D" w14:textId="77777777" w:rsidTr="002D46E2">
        <w:tc>
          <w:tcPr>
            <w:tcW w:w="2661" w:type="dxa"/>
            <w:tcBorders>
              <w:top w:val="nil"/>
              <w:left w:val="nil"/>
              <w:bottom w:val="nil"/>
              <w:right w:val="nil"/>
            </w:tcBorders>
            <w:tcMar>
              <w:top w:w="0" w:type="dxa"/>
              <w:left w:w="105" w:type="dxa"/>
              <w:bottom w:w="0" w:type="dxa"/>
              <w:right w:w="105" w:type="dxa"/>
            </w:tcMar>
            <w:hideMark/>
          </w:tcPr>
          <w:p w14:paraId="0084D489"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Fecha de Radicado</w:t>
            </w:r>
          </w:p>
        </w:tc>
        <w:tc>
          <w:tcPr>
            <w:tcW w:w="2830" w:type="dxa"/>
            <w:tcBorders>
              <w:top w:val="nil"/>
              <w:left w:val="nil"/>
              <w:bottom w:val="nil"/>
              <w:right w:val="nil"/>
            </w:tcBorders>
            <w:tcMar>
              <w:top w:w="0" w:type="dxa"/>
              <w:left w:w="105" w:type="dxa"/>
              <w:bottom w:w="0" w:type="dxa"/>
              <w:right w:w="105" w:type="dxa"/>
            </w:tcMar>
            <w:hideMark/>
          </w:tcPr>
          <w:p w14:paraId="02DA36C8"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29 de febrero de 2024</w:t>
            </w:r>
          </w:p>
        </w:tc>
      </w:tr>
      <w:tr w:rsidR="002D46E2" w:rsidRPr="002D46E2" w14:paraId="621B9B67" w14:textId="77777777" w:rsidTr="002D46E2">
        <w:tc>
          <w:tcPr>
            <w:tcW w:w="2661" w:type="dxa"/>
            <w:tcBorders>
              <w:top w:val="nil"/>
              <w:left w:val="nil"/>
              <w:bottom w:val="nil"/>
              <w:right w:val="nil"/>
            </w:tcBorders>
            <w:tcMar>
              <w:top w:w="0" w:type="dxa"/>
              <w:left w:w="105" w:type="dxa"/>
              <w:bottom w:w="0" w:type="dxa"/>
              <w:right w:w="105" w:type="dxa"/>
            </w:tcMar>
            <w:hideMark/>
          </w:tcPr>
          <w:p w14:paraId="71CE0631"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proofErr w:type="spellStart"/>
            <w:r w:rsidRPr="002D46E2">
              <w:rPr>
                <w:rFonts w:ascii="Segoe UI" w:eastAsia="Times New Roman" w:hAnsi="Segoe UI" w:cs="Segoe UI"/>
                <w:kern w:val="0"/>
                <w:sz w:val="21"/>
                <w:szCs w:val="21"/>
                <w:lang w:eastAsia="es-CO"/>
                <w14:ligatures w14:val="none"/>
              </w:rPr>
              <w:t>Nº</w:t>
            </w:r>
            <w:proofErr w:type="spellEnd"/>
            <w:r w:rsidRPr="002D46E2">
              <w:rPr>
                <w:rFonts w:ascii="Segoe UI" w:eastAsia="Times New Roman" w:hAnsi="Segoe UI" w:cs="Segoe UI"/>
                <w:kern w:val="0"/>
                <w:sz w:val="21"/>
                <w:szCs w:val="21"/>
                <w:lang w:eastAsia="es-CO"/>
                <w14:ligatures w14:val="none"/>
              </w:rPr>
              <w:t xml:space="preserve"> de Radicación CTCP</w:t>
            </w:r>
          </w:p>
        </w:tc>
        <w:tc>
          <w:tcPr>
            <w:tcW w:w="2830" w:type="dxa"/>
            <w:tcBorders>
              <w:top w:val="nil"/>
              <w:left w:val="nil"/>
              <w:bottom w:val="nil"/>
              <w:right w:val="nil"/>
            </w:tcBorders>
            <w:tcMar>
              <w:top w:w="0" w:type="dxa"/>
              <w:left w:w="105" w:type="dxa"/>
              <w:bottom w:w="0" w:type="dxa"/>
              <w:right w:w="105" w:type="dxa"/>
            </w:tcMar>
            <w:hideMark/>
          </w:tcPr>
          <w:p w14:paraId="07D06E14"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2024-0098</w:t>
            </w:r>
          </w:p>
        </w:tc>
      </w:tr>
      <w:tr w:rsidR="002D46E2" w:rsidRPr="002D46E2" w14:paraId="0E163339" w14:textId="77777777" w:rsidTr="002D46E2">
        <w:tc>
          <w:tcPr>
            <w:tcW w:w="2661" w:type="dxa"/>
            <w:tcBorders>
              <w:top w:val="nil"/>
              <w:left w:val="nil"/>
              <w:bottom w:val="nil"/>
              <w:right w:val="nil"/>
            </w:tcBorders>
            <w:tcMar>
              <w:top w:w="0" w:type="dxa"/>
              <w:left w:w="105" w:type="dxa"/>
              <w:bottom w:w="0" w:type="dxa"/>
              <w:right w:w="105" w:type="dxa"/>
            </w:tcMar>
            <w:hideMark/>
          </w:tcPr>
          <w:p w14:paraId="5825A9B7"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Tema</w:t>
            </w:r>
          </w:p>
        </w:tc>
        <w:tc>
          <w:tcPr>
            <w:tcW w:w="2830" w:type="dxa"/>
            <w:tcBorders>
              <w:top w:val="nil"/>
              <w:left w:val="nil"/>
              <w:bottom w:val="nil"/>
              <w:right w:val="nil"/>
            </w:tcBorders>
            <w:tcMar>
              <w:top w:w="0" w:type="dxa"/>
              <w:left w:w="105" w:type="dxa"/>
              <w:bottom w:w="0" w:type="dxa"/>
              <w:right w:w="105" w:type="dxa"/>
            </w:tcMar>
            <w:hideMark/>
          </w:tcPr>
          <w:p w14:paraId="37ECAF84"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Devolución en compras</w:t>
            </w:r>
          </w:p>
        </w:tc>
      </w:tr>
    </w:tbl>
    <w:p w14:paraId="04B7C423"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p w14:paraId="18EC2F8F"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p w14:paraId="37E9474F"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b/>
          <w:bCs/>
          <w:color w:val="000000"/>
          <w:kern w:val="0"/>
          <w:sz w:val="21"/>
          <w:szCs w:val="21"/>
          <w:lang w:eastAsia="es-CO"/>
          <w14:ligatures w14:val="none"/>
        </w:rPr>
        <w:t>CONSULTA (TEXTUAL)</w:t>
      </w:r>
    </w:p>
    <w:p w14:paraId="0B616AAF"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p w14:paraId="33466BE7" w14:textId="77777777" w:rsidR="002D46E2" w:rsidRPr="002D46E2" w:rsidRDefault="002D46E2" w:rsidP="002D46E2">
      <w:pPr>
        <w:spacing w:after="0" w:line="240" w:lineRule="auto"/>
        <w:ind w:left="284"/>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i/>
          <w:iCs/>
          <w:color w:val="000000"/>
          <w:kern w:val="0"/>
          <w:sz w:val="21"/>
          <w:szCs w:val="21"/>
          <w:lang w:eastAsia="es-CO"/>
          <w14:ligatures w14:val="none"/>
        </w:rPr>
        <w:t xml:space="preserve">“1. </w:t>
      </w:r>
      <w:proofErr w:type="gramStart"/>
      <w:r w:rsidRPr="002D46E2">
        <w:rPr>
          <w:rFonts w:ascii="Segoe UI" w:eastAsia="Times New Roman" w:hAnsi="Segoe UI" w:cs="Segoe UI"/>
          <w:i/>
          <w:iCs/>
          <w:color w:val="000000"/>
          <w:kern w:val="0"/>
          <w:sz w:val="21"/>
          <w:szCs w:val="21"/>
          <w:lang w:eastAsia="es-CO"/>
          <w14:ligatures w14:val="none"/>
        </w:rPr>
        <w:t>Cuando se realiza la compra de un bien o un servicio, y, por alguna razón el proveedor realiza una nota crédito parcial o total de la factura electrónica, dicha operación se registra reversando en la misma cuenta del gasto la operación registrada con la factura electrónica, es decir, acreditar la cuenta 5 que haya sido debitada inicialmente o las cuentas 5 no pueden tener movimientos créditos?</w:t>
      </w:r>
      <w:proofErr w:type="gramEnd"/>
    </w:p>
    <w:p w14:paraId="2FA65CD4" w14:textId="77777777" w:rsidR="002D46E2" w:rsidRPr="002D46E2" w:rsidRDefault="002D46E2" w:rsidP="002D46E2">
      <w:pPr>
        <w:spacing w:after="0" w:line="240" w:lineRule="auto"/>
        <w:ind w:left="284"/>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i/>
          <w:iCs/>
          <w:color w:val="000000"/>
          <w:kern w:val="0"/>
          <w:sz w:val="21"/>
          <w:szCs w:val="21"/>
          <w:lang w:eastAsia="es-CO"/>
          <w14:ligatures w14:val="none"/>
        </w:rPr>
        <w:t xml:space="preserve">2. </w:t>
      </w:r>
      <w:proofErr w:type="gramStart"/>
      <w:r w:rsidRPr="002D46E2">
        <w:rPr>
          <w:rFonts w:ascii="Segoe UI" w:eastAsia="Times New Roman" w:hAnsi="Segoe UI" w:cs="Segoe UI"/>
          <w:i/>
          <w:iCs/>
          <w:color w:val="000000"/>
          <w:kern w:val="0"/>
          <w:sz w:val="21"/>
          <w:szCs w:val="21"/>
          <w:lang w:eastAsia="es-CO"/>
          <w14:ligatures w14:val="none"/>
        </w:rPr>
        <w:t>La cuenta 425050 Reintegro de otros costos y gastos, es entonces la cuenta apropiada para registrar las devoluciones en compras y gastos que se tengan en la entidad?</w:t>
      </w:r>
      <w:proofErr w:type="gramEnd"/>
      <w:r w:rsidRPr="002D46E2">
        <w:rPr>
          <w:rFonts w:ascii="Segoe UI" w:eastAsia="Times New Roman" w:hAnsi="Segoe UI" w:cs="Segoe UI"/>
          <w:i/>
          <w:iCs/>
          <w:color w:val="000000"/>
          <w:kern w:val="0"/>
          <w:sz w:val="21"/>
          <w:szCs w:val="21"/>
          <w:lang w:eastAsia="es-CO"/>
          <w14:ligatures w14:val="none"/>
        </w:rPr>
        <w:t>”.</w:t>
      </w:r>
    </w:p>
    <w:p w14:paraId="1C43F7AD"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p w14:paraId="76816656"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b/>
          <w:bCs/>
          <w:color w:val="000000"/>
          <w:kern w:val="0"/>
          <w:sz w:val="21"/>
          <w:szCs w:val="21"/>
          <w:lang w:eastAsia="es-CO"/>
          <w14:ligatures w14:val="none"/>
        </w:rPr>
        <w:t>CONSIDERACIONES Y CONCEPTO</w:t>
      </w:r>
    </w:p>
    <w:p w14:paraId="5D3FDDD0"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p w14:paraId="762D560B"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El Consejo Técnico de la Contaduría Pública (CTCP) en su carácter de Organismo Orientador técnico- 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444AC9E6"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p w14:paraId="04305799"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Con respecto a su pregunta, el CTCP se ha pronunciado en diferentes ocasiones entorno a devoluciones, específicamente en consulta No. 2022-0511 este Consejo precisó:</w:t>
      </w:r>
    </w:p>
    <w:p w14:paraId="4D9D304B" w14:textId="77777777" w:rsidR="002D46E2" w:rsidRPr="002D46E2" w:rsidRDefault="002D46E2" w:rsidP="002D46E2">
      <w:pPr>
        <w:spacing w:after="0" w:line="240" w:lineRule="auto"/>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p w14:paraId="2252916D" w14:textId="77777777" w:rsidR="002D46E2" w:rsidRPr="002D46E2" w:rsidRDefault="002D46E2" w:rsidP="002D46E2">
      <w:pPr>
        <w:spacing w:after="0" w:line="240" w:lineRule="auto"/>
        <w:ind w:left="284"/>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i/>
          <w:iCs/>
          <w:color w:val="000000"/>
          <w:kern w:val="0"/>
          <w:sz w:val="21"/>
          <w:szCs w:val="21"/>
          <w:lang w:eastAsia="es-CO"/>
          <w14:ligatures w14:val="none"/>
        </w:rPr>
        <w:t>“En primer término, debemos aclarar que habiéndose emitido los decretos que ponen en vigencia los estándares de información financiera en Colombia, el tratamiento contable debe efectuarse teniendo en cuenta el marco técnico normativo que le corresponda a la entidad. Como no se indica en la consulta el grupo al que pertenece el consultante, este concepto se elabora teniendo como referente el Marco Técnico Normativo de NIIF para Pymes correspondiente al Grupo 2, contenido en el Decreto Único Reglamentario 2420 de 2015, anexo 2.</w:t>
      </w:r>
    </w:p>
    <w:p w14:paraId="54A1D6D1" w14:textId="77777777" w:rsidR="002D46E2" w:rsidRPr="002D46E2" w:rsidRDefault="002D46E2" w:rsidP="002D46E2">
      <w:pPr>
        <w:spacing w:after="0" w:line="240" w:lineRule="auto"/>
        <w:ind w:left="284"/>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p w14:paraId="5FBAF00F" w14:textId="77777777" w:rsidR="002D46E2" w:rsidRPr="002D46E2" w:rsidRDefault="002D46E2" w:rsidP="002D46E2">
      <w:pPr>
        <w:spacing w:after="0" w:line="240" w:lineRule="auto"/>
        <w:ind w:left="284"/>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i/>
          <w:iCs/>
          <w:color w:val="000000"/>
          <w:kern w:val="0"/>
          <w:sz w:val="21"/>
          <w:szCs w:val="21"/>
          <w:lang w:eastAsia="es-CO"/>
          <w14:ligatures w14:val="none"/>
        </w:rPr>
        <w:t>El reconocimiento en la adquisición de bienes y servicios como se enuncia en la consulta se encuentran en el párrafo 13.6 Inventarios, que señala:</w:t>
      </w:r>
    </w:p>
    <w:p w14:paraId="21984B04" w14:textId="77777777" w:rsidR="002D46E2" w:rsidRPr="002D46E2" w:rsidRDefault="002D46E2" w:rsidP="002D46E2">
      <w:pPr>
        <w:spacing w:after="0" w:line="240" w:lineRule="auto"/>
        <w:ind w:left="284"/>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color w:val="000000"/>
          <w:kern w:val="0"/>
          <w:sz w:val="21"/>
          <w:szCs w:val="21"/>
          <w:lang w:eastAsia="es-CO"/>
          <w14:ligatures w14:val="none"/>
        </w:rPr>
        <w:t> </w:t>
      </w:r>
    </w:p>
    <w:p w14:paraId="6A828A94" w14:textId="77777777" w:rsidR="002D46E2" w:rsidRPr="002D46E2" w:rsidRDefault="002D46E2" w:rsidP="002D46E2">
      <w:pPr>
        <w:spacing w:after="0" w:line="240" w:lineRule="auto"/>
        <w:ind w:left="284"/>
        <w:jc w:val="both"/>
        <w:rPr>
          <w:rFonts w:ascii="Segoe UI" w:eastAsia="Times New Roman" w:hAnsi="Segoe UI" w:cs="Segoe UI"/>
          <w:color w:val="000000"/>
          <w:kern w:val="0"/>
          <w:sz w:val="21"/>
          <w:szCs w:val="21"/>
          <w:lang w:eastAsia="es-CO"/>
          <w14:ligatures w14:val="none"/>
        </w:rPr>
      </w:pPr>
      <w:r w:rsidRPr="002D46E2">
        <w:rPr>
          <w:rFonts w:ascii="Segoe UI" w:eastAsia="Times New Roman" w:hAnsi="Segoe UI" w:cs="Segoe UI"/>
          <w:i/>
          <w:iCs/>
          <w:color w:val="000000"/>
          <w:kern w:val="0"/>
          <w:sz w:val="21"/>
          <w:szCs w:val="21"/>
          <w:lang w:eastAsia="es-CO"/>
          <w14:ligatures w14:val="none"/>
        </w:rPr>
        <w:t xml:space="preserve">“El costo de adquisición de los inventarios comprenderá el precio de compra, los aranceles de importación y otros impuestos (que no sean recuperables posteriormente de las autoridades </w:t>
      </w:r>
      <w:proofErr w:type="gramStart"/>
      <w:r w:rsidRPr="002D46E2">
        <w:rPr>
          <w:rFonts w:ascii="Segoe UI" w:eastAsia="Times New Roman" w:hAnsi="Segoe UI" w:cs="Segoe UI"/>
          <w:i/>
          <w:iCs/>
          <w:color w:val="000000"/>
          <w:kern w:val="0"/>
          <w:sz w:val="21"/>
          <w:szCs w:val="21"/>
          <w:lang w:eastAsia="es-CO"/>
          <w14:ligatures w14:val="none"/>
        </w:rPr>
        <w:t>fiscales)y</w:t>
      </w:r>
      <w:proofErr w:type="gramEnd"/>
      <w:r w:rsidRPr="002D46E2">
        <w:rPr>
          <w:rFonts w:ascii="Segoe UI" w:eastAsia="Times New Roman" w:hAnsi="Segoe UI" w:cs="Segoe UI"/>
          <w:i/>
          <w:iCs/>
          <w:color w:val="000000"/>
          <w:kern w:val="0"/>
          <w:sz w:val="21"/>
          <w:szCs w:val="21"/>
          <w:lang w:eastAsia="es-CO"/>
          <w14:ligatures w14:val="none"/>
        </w:rPr>
        <w:t xml:space="preserve"> transporte, manejo y otros costos directamente atribuibles a la adquisición de mercaderías, materiales y servicios. Los descuentos comerciales, las rebajas y </w:t>
      </w:r>
      <w:r w:rsidRPr="002D46E2">
        <w:rPr>
          <w:rFonts w:ascii="Segoe UI" w:eastAsia="Times New Roman" w:hAnsi="Segoe UI" w:cs="Segoe UI"/>
          <w:i/>
          <w:iCs/>
          <w:color w:val="000000"/>
          <w:kern w:val="0"/>
          <w:sz w:val="21"/>
          <w:szCs w:val="21"/>
          <w:u w:val="single"/>
          <w:lang w:eastAsia="es-CO"/>
          <w14:ligatures w14:val="none"/>
        </w:rPr>
        <w:t>otras partidas similares se deducirán para determinar el costo de adquisición</w:t>
      </w:r>
      <w:r w:rsidRPr="002D46E2">
        <w:rPr>
          <w:rFonts w:ascii="Segoe UI" w:eastAsia="Times New Roman" w:hAnsi="Segoe UI" w:cs="Segoe UI"/>
          <w:i/>
          <w:iCs/>
          <w:color w:val="000000"/>
          <w:kern w:val="0"/>
          <w:sz w:val="21"/>
          <w:szCs w:val="21"/>
          <w:lang w:eastAsia="es-CO"/>
          <w14:ligatures w14:val="none"/>
        </w:rPr>
        <w:t>.” Negrita fuera de texto.</w:t>
      </w:r>
    </w:p>
    <w:p w14:paraId="5640DA16" w14:textId="77777777" w:rsidR="002D46E2" w:rsidRDefault="002D46E2"/>
    <w:p w14:paraId="2D91D4C8" w14:textId="77777777" w:rsidR="002D46E2" w:rsidRDefault="002D46E2" w:rsidP="002D46E2">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En consecuencia, </w:t>
      </w:r>
      <w:r>
        <w:rPr>
          <w:rFonts w:ascii="Segoe UI" w:hAnsi="Segoe UI" w:cs="Segoe UI"/>
          <w:b/>
          <w:bCs/>
          <w:i/>
          <w:iCs/>
          <w:color w:val="000000"/>
          <w:sz w:val="21"/>
          <w:szCs w:val="21"/>
        </w:rPr>
        <w:t>toda vez que el comprador tiene el derecho de realizar devoluciones </w:t>
      </w:r>
      <w:r>
        <w:rPr>
          <w:rFonts w:ascii="Segoe UI" w:hAnsi="Segoe UI" w:cs="Segoe UI"/>
          <w:i/>
          <w:iCs/>
          <w:color w:val="000000"/>
          <w:sz w:val="21"/>
          <w:szCs w:val="21"/>
        </w:rPr>
        <w:t>o reembolsos </w:t>
      </w:r>
      <w:r>
        <w:rPr>
          <w:rFonts w:ascii="Segoe UI" w:hAnsi="Segoe UI" w:cs="Segoe UI"/>
          <w:b/>
          <w:bCs/>
          <w:i/>
          <w:iCs/>
          <w:color w:val="000000"/>
          <w:sz w:val="21"/>
          <w:szCs w:val="21"/>
        </w:rPr>
        <w:t xml:space="preserve">en las condiciones que haya acordado con el vendedor; no reconocer la devolución afectando las cuentas correspondientes (inventarios, pasivos, costos o gastos, según sea el caso) en la contabilidad de la compra que dieron origen a la transacción podrían originar un error al cierre del ejercicio sobre el cual se está </w:t>
      </w:r>
      <w:proofErr w:type="gramStart"/>
      <w:r>
        <w:rPr>
          <w:rFonts w:ascii="Segoe UI" w:hAnsi="Segoe UI" w:cs="Segoe UI"/>
          <w:b/>
          <w:bCs/>
          <w:i/>
          <w:iCs/>
          <w:color w:val="000000"/>
          <w:sz w:val="21"/>
          <w:szCs w:val="21"/>
        </w:rPr>
        <w:t>informando,(</w:t>
      </w:r>
      <w:proofErr w:type="gramEnd"/>
      <w:r>
        <w:rPr>
          <w:rFonts w:ascii="Segoe UI" w:hAnsi="Segoe UI" w:cs="Segoe UI"/>
          <w:b/>
          <w:bCs/>
          <w:i/>
          <w:iCs/>
          <w:color w:val="000000"/>
          <w:sz w:val="21"/>
          <w:szCs w:val="21"/>
        </w:rPr>
        <w:t>…)”</w:t>
      </w:r>
      <w:r>
        <w:rPr>
          <w:rFonts w:ascii="Segoe UI" w:hAnsi="Segoe UI" w:cs="Segoe UI"/>
          <w:i/>
          <w:iCs/>
          <w:color w:val="000000"/>
          <w:sz w:val="21"/>
          <w:szCs w:val="21"/>
        </w:rPr>
        <w:t> Destacado fuera de texto.</w:t>
      </w:r>
    </w:p>
    <w:p w14:paraId="4E9CC0B1" w14:textId="77777777" w:rsidR="002D46E2" w:rsidRDefault="002D46E2" w:rsidP="002D46E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 </w:t>
      </w:r>
    </w:p>
    <w:p w14:paraId="6E991D71" w14:textId="77777777" w:rsidR="002D46E2" w:rsidRDefault="002D46E2" w:rsidP="002D46E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cuanto a los gastos o costos involucrados, estos pueden tener movimientos de naturaleza crédito, especialmente cuando se emite una nota crédito parcial o total de una factura electrónica por parte del proveedor. Sin embargo, es importante diferenciar esto de los requisitos tributarios, los cuales se encuentran previstos en la legislación correspondiente.</w:t>
      </w:r>
    </w:p>
    <w:p w14:paraId="77CC65BE" w14:textId="77777777" w:rsidR="002D46E2" w:rsidRDefault="002D46E2" w:rsidP="002D46E2">
      <w:pPr>
        <w:pStyle w:val="NormalWeb"/>
        <w:spacing w:before="0" w:beforeAutospacing="0" w:after="0" w:afterAutospacing="0"/>
        <w:jc w:val="both"/>
        <w:rPr>
          <w:rFonts w:ascii="Segoe UI" w:hAnsi="Segoe UI" w:cs="Segoe UI"/>
          <w:color w:val="000000"/>
          <w:sz w:val="21"/>
          <w:szCs w:val="21"/>
        </w:rPr>
      </w:pPr>
    </w:p>
    <w:p w14:paraId="48043C06" w14:textId="116F5995" w:rsidR="002D46E2" w:rsidRDefault="002D46E2" w:rsidP="002D46E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conclusión, para registrar la reversión total o parcial del asiento original, se acreditaría la cuenta del gasto o costo que fue debitada inicialmente. Esto permite ajustar el registro original y reflejar en los registros contables los “cambios en los recursos económicos y en los derechos de los acreedores que reflejan el rendimiento financiero”</w:t>
      </w:r>
      <w:hyperlink r:id="rId5" w:anchor="cite_note-1" w:history="1">
        <w:r>
          <w:rPr>
            <w:rStyle w:val="Hipervnculo"/>
            <w:rFonts w:ascii="Segoe UI" w:eastAsiaTheme="majorEastAsia" w:hAnsi="Segoe UI" w:cs="Segoe UI"/>
            <w:color w:val="0645AD"/>
            <w:sz w:val="21"/>
            <w:szCs w:val="21"/>
            <w:vertAlign w:val="superscript"/>
          </w:rPr>
          <w:t>1</w:t>
        </w:r>
      </w:hyperlink>
      <w:r>
        <w:rPr>
          <w:rFonts w:ascii="Segoe UI" w:hAnsi="Segoe UI" w:cs="Segoe UI"/>
          <w:color w:val="000000"/>
          <w:sz w:val="21"/>
          <w:szCs w:val="21"/>
        </w:rPr>
        <w:t> de este elemento de los estados financieros.</w:t>
      </w:r>
    </w:p>
    <w:p w14:paraId="657F82BA" w14:textId="77777777" w:rsidR="002D46E2" w:rsidRDefault="002D46E2" w:rsidP="002D46E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7C6FD86" w14:textId="77777777" w:rsidR="002D46E2" w:rsidRDefault="002D46E2" w:rsidP="002D46E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57F8E35B" w14:textId="77777777" w:rsidR="002D46E2" w:rsidRDefault="002D46E2" w:rsidP="002D46E2">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533C694" w14:textId="77777777" w:rsidR="002D46E2" w:rsidRDefault="002D46E2"/>
    <w:tbl>
      <w:tblPr>
        <w:tblW w:w="0" w:type="auto"/>
        <w:tblCellSpacing w:w="0" w:type="dxa"/>
        <w:tblCellMar>
          <w:left w:w="0" w:type="dxa"/>
          <w:right w:w="0" w:type="dxa"/>
        </w:tblCellMar>
        <w:tblLook w:val="04A0" w:firstRow="1" w:lastRow="0" w:firstColumn="1" w:lastColumn="0" w:noHBand="0" w:noVBand="1"/>
      </w:tblPr>
      <w:tblGrid>
        <w:gridCol w:w="9356"/>
      </w:tblGrid>
      <w:tr w:rsidR="002D46E2" w:rsidRPr="002D46E2" w14:paraId="6CFE276B" w14:textId="77777777" w:rsidTr="002D46E2">
        <w:trPr>
          <w:tblCellSpacing w:w="0" w:type="dxa"/>
        </w:trPr>
        <w:tc>
          <w:tcPr>
            <w:tcW w:w="14355" w:type="dxa"/>
            <w:hideMark/>
          </w:tcPr>
          <w:tbl>
            <w:tblPr>
              <w:tblW w:w="14355" w:type="dxa"/>
              <w:tblCellSpacing w:w="0" w:type="dxa"/>
              <w:tblCellMar>
                <w:left w:w="0" w:type="dxa"/>
                <w:right w:w="0" w:type="dxa"/>
              </w:tblCellMar>
              <w:tblLook w:val="04A0" w:firstRow="1" w:lastRow="0" w:firstColumn="1" w:lastColumn="0" w:noHBand="0" w:noVBand="1"/>
            </w:tblPr>
            <w:tblGrid>
              <w:gridCol w:w="14355"/>
            </w:tblGrid>
            <w:tr w:rsidR="002D46E2" w:rsidRPr="002D46E2" w14:paraId="243E0C3D" w14:textId="77777777">
              <w:trPr>
                <w:tblCellSpacing w:w="0" w:type="dxa"/>
              </w:trPr>
              <w:tc>
                <w:tcPr>
                  <w:tcW w:w="0" w:type="auto"/>
                  <w:shd w:val="clear" w:color="auto" w:fill="FFFFFF"/>
                  <w:tcMar>
                    <w:top w:w="30" w:type="dxa"/>
                    <w:left w:w="30" w:type="dxa"/>
                    <w:bottom w:w="30" w:type="dxa"/>
                    <w:right w:w="30" w:type="dxa"/>
                  </w:tcMar>
                  <w:vAlign w:val="center"/>
                  <w:hideMark/>
                </w:tcPr>
                <w:p w14:paraId="1E228F14"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Cordialmente,</w:t>
                  </w:r>
                </w:p>
                <w:p w14:paraId="2ED7A18C"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 </w:t>
                  </w:r>
                </w:p>
                <w:p w14:paraId="215D42F1"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 </w:t>
                  </w:r>
                </w:p>
                <w:p w14:paraId="11DDCB2E"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b/>
                      <w:bCs/>
                      <w:kern w:val="0"/>
                      <w:sz w:val="21"/>
                      <w:szCs w:val="21"/>
                      <w:lang w:eastAsia="es-CO"/>
                      <w14:ligatures w14:val="none"/>
                    </w:rPr>
                    <w:t>JOHN ALEXANDER ÁLVAREZ DÁVILA</w:t>
                  </w:r>
                </w:p>
                <w:p w14:paraId="04C85CF6"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Consejero CTCP</w:t>
                  </w:r>
                </w:p>
                <w:p w14:paraId="15A2F427" w14:textId="77777777" w:rsidR="002D46E2" w:rsidRPr="002D46E2" w:rsidRDefault="002D46E2" w:rsidP="002D46E2">
                  <w:pPr>
                    <w:spacing w:after="0" w:line="240" w:lineRule="auto"/>
                    <w:jc w:val="both"/>
                    <w:rPr>
                      <w:rFonts w:ascii="Segoe UI" w:eastAsia="Times New Roman" w:hAnsi="Segoe UI" w:cs="Segoe UI"/>
                      <w:kern w:val="0"/>
                      <w:sz w:val="21"/>
                      <w:szCs w:val="21"/>
                      <w:lang w:eastAsia="es-CO"/>
                      <w14:ligatures w14:val="none"/>
                    </w:rPr>
                  </w:pPr>
                  <w:r w:rsidRPr="002D46E2">
                    <w:rPr>
                      <w:rFonts w:ascii="Segoe UI" w:eastAsia="Times New Roman" w:hAnsi="Segoe UI" w:cs="Segoe UI"/>
                      <w:kern w:val="0"/>
                      <w:sz w:val="21"/>
                      <w:szCs w:val="21"/>
                      <w:lang w:eastAsia="es-CO"/>
                      <w14:ligatures w14:val="none"/>
                    </w:rPr>
                    <w:t> </w:t>
                  </w:r>
                </w:p>
                <w:p w14:paraId="277D4B25" w14:textId="77777777" w:rsidR="002D46E2" w:rsidRPr="002D46E2" w:rsidRDefault="002D46E2" w:rsidP="002D46E2">
                  <w:pPr>
                    <w:spacing w:after="285" w:line="240" w:lineRule="auto"/>
                    <w:jc w:val="both"/>
                    <w:outlineLvl w:val="2"/>
                    <w:rPr>
                      <w:rFonts w:ascii="Segoe UI" w:eastAsia="Times New Roman" w:hAnsi="Segoe UI" w:cs="Segoe UI"/>
                      <w:b/>
                      <w:bCs/>
                      <w:kern w:val="0"/>
                      <w:sz w:val="21"/>
                      <w:szCs w:val="21"/>
                      <w:lang w:eastAsia="es-CO"/>
                      <w14:ligatures w14:val="none"/>
                    </w:rPr>
                  </w:pPr>
                  <w:r w:rsidRPr="002D46E2">
                    <w:rPr>
                      <w:rFonts w:ascii="Segoe UI" w:eastAsia="Times New Roman" w:hAnsi="Segoe UI" w:cs="Segoe UI"/>
                      <w:b/>
                      <w:bCs/>
                      <w:kern w:val="0"/>
                      <w:sz w:val="21"/>
                      <w:szCs w:val="21"/>
                      <w:lang w:eastAsia="es-CO"/>
                      <w14:ligatures w14:val="none"/>
                    </w:rPr>
                    <w:t>Notas al pie</w:t>
                  </w:r>
                </w:p>
                <w:p w14:paraId="0CB88F27" w14:textId="2CAC1A52" w:rsidR="002D46E2" w:rsidRPr="002D46E2" w:rsidRDefault="002D46E2" w:rsidP="002D46E2">
                  <w:pPr>
                    <w:spacing w:after="0" w:line="240" w:lineRule="auto"/>
                    <w:rPr>
                      <w:rFonts w:ascii="Segoe UI" w:eastAsia="Times New Roman" w:hAnsi="Segoe UI" w:cs="Segoe UI"/>
                      <w:kern w:val="0"/>
                      <w:sz w:val="21"/>
                      <w:szCs w:val="21"/>
                      <w:lang w:eastAsia="es-CO"/>
                      <w14:ligatures w14:val="none"/>
                    </w:rPr>
                  </w:pPr>
                  <w:r>
                    <w:rPr>
                      <w:rFonts w:eastAsia="Times New Roman" w:cs="Times New Roman"/>
                      <w:kern w:val="0"/>
                      <w:szCs w:val="24"/>
                      <w:lang w:eastAsia="es-CO"/>
                      <w14:ligatures w14:val="none"/>
                    </w:rPr>
                    <w:t>_____________________________________________</w:t>
                  </w:r>
                </w:p>
                <w:p w14:paraId="1F58944D" w14:textId="77777777" w:rsidR="002D46E2" w:rsidRPr="002D46E2" w:rsidRDefault="002D46E2" w:rsidP="002D46E2">
                  <w:pPr>
                    <w:numPr>
                      <w:ilvl w:val="1"/>
                      <w:numId w:val="2"/>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6" w:anchor="cite_ref-1" w:tooltip="Volver arriba" w:history="1">
                    <w:r w:rsidRPr="002D46E2">
                      <w:rPr>
                        <w:rFonts w:ascii="Segoe UI" w:eastAsia="Times New Roman" w:hAnsi="Segoe UI" w:cs="Segoe UI"/>
                        <w:color w:val="0645AD"/>
                        <w:kern w:val="0"/>
                        <w:sz w:val="21"/>
                        <w:szCs w:val="21"/>
                        <w:u w:val="single"/>
                        <w:lang w:eastAsia="es-CO"/>
                        <w14:ligatures w14:val="none"/>
                      </w:rPr>
                      <w:t>↑</w:t>
                    </w:r>
                  </w:hyperlink>
                  <w:r w:rsidRPr="002D46E2">
                    <w:rPr>
                      <w:rFonts w:ascii="Segoe UI" w:eastAsia="Times New Roman" w:hAnsi="Segoe UI" w:cs="Segoe UI"/>
                      <w:kern w:val="0"/>
                      <w:sz w:val="21"/>
                      <w:szCs w:val="21"/>
                      <w:lang w:eastAsia="es-CO"/>
                      <w14:ligatures w14:val="none"/>
                    </w:rPr>
                    <w:t> Tomado del DUR 2420 de 2015, anexo 1, Marco Conceptual para la Información Financiera, Capítulo 4-los elementos de los estados financieros, párrafo 4.2.</w:t>
                  </w:r>
                </w:p>
              </w:tc>
            </w:tr>
          </w:tbl>
          <w:p w14:paraId="7B6857D3" w14:textId="77777777" w:rsidR="002D46E2" w:rsidRPr="002D46E2" w:rsidRDefault="002D46E2" w:rsidP="002D46E2">
            <w:pPr>
              <w:spacing w:after="0" w:line="240" w:lineRule="auto"/>
              <w:rPr>
                <w:rFonts w:eastAsia="Times New Roman" w:cs="Times New Roman"/>
                <w:kern w:val="0"/>
                <w:szCs w:val="24"/>
                <w:lang w:eastAsia="es-CO"/>
                <w14:ligatures w14:val="none"/>
              </w:rPr>
            </w:pPr>
          </w:p>
        </w:tc>
      </w:tr>
    </w:tbl>
    <w:p w14:paraId="6D3B381E" w14:textId="77777777" w:rsidR="002D46E2" w:rsidRPr="002D46E2" w:rsidRDefault="002D46E2" w:rsidP="002D46E2">
      <w:pPr>
        <w:spacing w:after="0" w:line="240" w:lineRule="auto"/>
        <w:rPr>
          <w:rFonts w:eastAsia="Times New Roman" w:cs="Times New Roman"/>
          <w:vanish/>
          <w:kern w:val="0"/>
          <w:szCs w:val="24"/>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2D46E2" w:rsidRPr="002D46E2" w14:paraId="290F4CAF" w14:textId="77777777" w:rsidTr="002D46E2">
        <w:trPr>
          <w:trHeight w:val="444"/>
          <w:tblCellSpacing w:w="0" w:type="dxa"/>
        </w:trPr>
        <w:tc>
          <w:tcPr>
            <w:tcW w:w="120" w:type="dxa"/>
            <w:shd w:val="clear" w:color="auto" w:fill="FFFFFF"/>
            <w:hideMark/>
          </w:tcPr>
          <w:p w14:paraId="13E4C7AB" w14:textId="77777777" w:rsidR="002D46E2" w:rsidRPr="002D46E2" w:rsidRDefault="002D46E2" w:rsidP="002D46E2">
            <w:pPr>
              <w:spacing w:after="0" w:line="240" w:lineRule="auto"/>
              <w:rPr>
                <w:rFonts w:ascii="Segoe UI" w:eastAsia="Times New Roman" w:hAnsi="Segoe UI" w:cs="Segoe UI"/>
                <w:color w:val="000000"/>
                <w:kern w:val="0"/>
                <w:sz w:val="27"/>
                <w:szCs w:val="27"/>
                <w:lang w:eastAsia="es-CO"/>
                <w14:ligatures w14:val="none"/>
              </w:rPr>
            </w:pPr>
            <w:r w:rsidRPr="002D46E2">
              <w:rPr>
                <w:rFonts w:ascii="Segoe UI" w:eastAsia="Times New Roman" w:hAnsi="Segoe UI" w:cs="Segoe UI"/>
                <w:noProof/>
                <w:color w:val="000000"/>
                <w:kern w:val="0"/>
                <w:sz w:val="27"/>
                <w:szCs w:val="27"/>
                <w:lang w:eastAsia="es-CO"/>
                <w14:ligatures w14:val="none"/>
              </w:rPr>
              <w:drawing>
                <wp:inline distT="0" distB="0" distL="0" distR="0" wp14:anchorId="4AFD9F3A" wp14:editId="7ED2631C">
                  <wp:extent cx="76200" cy="762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4ACCACD5" w14:textId="77777777" w:rsidR="002D46E2" w:rsidRPr="002D46E2" w:rsidRDefault="002D46E2" w:rsidP="002D46E2">
            <w:pPr>
              <w:spacing w:after="0" w:line="240" w:lineRule="auto"/>
              <w:rPr>
                <w:rFonts w:eastAsia="Times New Roman" w:cs="Times New Roman"/>
                <w:kern w:val="0"/>
                <w:szCs w:val="24"/>
                <w:lang w:eastAsia="es-CO"/>
                <w14:ligatures w14:val="none"/>
              </w:rPr>
            </w:pPr>
            <w:r w:rsidRPr="002D46E2">
              <w:rPr>
                <w:rFonts w:eastAsia="Times New Roman" w:cs="Times New Roman"/>
                <w:kern w:val="0"/>
                <w:szCs w:val="24"/>
                <w:lang w:eastAsia="es-CO"/>
                <w14:ligatures w14:val="none"/>
              </w:rPr>
              <w:br/>
            </w:r>
          </w:p>
        </w:tc>
      </w:tr>
    </w:tbl>
    <w:p w14:paraId="602CAA77" w14:textId="77777777" w:rsidR="002D46E2" w:rsidRDefault="002D46E2"/>
    <w:sectPr w:rsidR="002D46E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36293"/>
    <w:multiLevelType w:val="multilevel"/>
    <w:tmpl w:val="F1A04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FC07B7"/>
    <w:multiLevelType w:val="multilevel"/>
    <w:tmpl w:val="4D2AA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9973299">
    <w:abstractNumId w:val="1"/>
  </w:num>
  <w:num w:numId="2" w16cid:durableId="212194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E2"/>
    <w:rsid w:val="000F3837"/>
    <w:rsid w:val="001E311E"/>
    <w:rsid w:val="002D46E2"/>
    <w:rsid w:val="00434AE6"/>
    <w:rsid w:val="005D25EE"/>
    <w:rsid w:val="007F5CC8"/>
    <w:rsid w:val="008779BE"/>
    <w:rsid w:val="008C2E57"/>
    <w:rsid w:val="009663B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0B52"/>
  <w15:chartTrackingRefBased/>
  <w15:docId w15:val="{13AD5082-E2E5-43BC-9FC8-F7DD35E5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4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4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D46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46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2D46E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2D46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D46E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D46E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D46E2"/>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46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46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46E2"/>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46E2"/>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2D46E2"/>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2D46E2"/>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2D46E2"/>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2D46E2"/>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2D46E2"/>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2D4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46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46E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46E2"/>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2D46E2"/>
    <w:pPr>
      <w:spacing w:before="160"/>
      <w:jc w:val="center"/>
    </w:pPr>
    <w:rPr>
      <w:i/>
      <w:iCs/>
      <w:color w:val="404040" w:themeColor="text1" w:themeTint="BF"/>
    </w:rPr>
  </w:style>
  <w:style w:type="character" w:customStyle="1" w:styleId="CitaCar">
    <w:name w:val="Cita Car"/>
    <w:basedOn w:val="Fuentedeprrafopredeter"/>
    <w:link w:val="Cita"/>
    <w:uiPriority w:val="29"/>
    <w:rsid w:val="002D46E2"/>
    <w:rPr>
      <w:i/>
      <w:iCs/>
      <w:color w:val="404040" w:themeColor="text1" w:themeTint="BF"/>
    </w:rPr>
  </w:style>
  <w:style w:type="paragraph" w:styleId="Prrafodelista">
    <w:name w:val="List Paragraph"/>
    <w:basedOn w:val="Normal"/>
    <w:uiPriority w:val="34"/>
    <w:qFormat/>
    <w:rsid w:val="002D46E2"/>
    <w:pPr>
      <w:ind w:left="720"/>
      <w:contextualSpacing/>
    </w:pPr>
  </w:style>
  <w:style w:type="character" w:styleId="nfasisintenso">
    <w:name w:val="Intense Emphasis"/>
    <w:basedOn w:val="Fuentedeprrafopredeter"/>
    <w:uiPriority w:val="21"/>
    <w:qFormat/>
    <w:rsid w:val="002D46E2"/>
    <w:rPr>
      <w:i/>
      <w:iCs/>
      <w:color w:val="0F4761" w:themeColor="accent1" w:themeShade="BF"/>
    </w:rPr>
  </w:style>
  <w:style w:type="paragraph" w:styleId="Citadestacada">
    <w:name w:val="Intense Quote"/>
    <w:basedOn w:val="Normal"/>
    <w:next w:val="Normal"/>
    <w:link w:val="CitadestacadaCar"/>
    <w:uiPriority w:val="30"/>
    <w:qFormat/>
    <w:rsid w:val="002D4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46E2"/>
    <w:rPr>
      <w:i/>
      <w:iCs/>
      <w:color w:val="0F4761" w:themeColor="accent1" w:themeShade="BF"/>
    </w:rPr>
  </w:style>
  <w:style w:type="character" w:styleId="Referenciaintensa">
    <w:name w:val="Intense Reference"/>
    <w:basedOn w:val="Fuentedeprrafopredeter"/>
    <w:uiPriority w:val="32"/>
    <w:qFormat/>
    <w:rsid w:val="002D46E2"/>
    <w:rPr>
      <w:b/>
      <w:bCs/>
      <w:smallCaps/>
      <w:color w:val="0F4761" w:themeColor="accent1" w:themeShade="BF"/>
      <w:spacing w:val="5"/>
    </w:rPr>
  </w:style>
  <w:style w:type="paragraph" w:styleId="NormalWeb">
    <w:name w:val="Normal (Web)"/>
    <w:basedOn w:val="Normal"/>
    <w:uiPriority w:val="99"/>
    <w:semiHidden/>
    <w:unhideWhenUsed/>
    <w:rsid w:val="002D46E2"/>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2D4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1227">
      <w:bodyDiv w:val="1"/>
      <w:marLeft w:val="0"/>
      <w:marRight w:val="0"/>
      <w:marTop w:val="0"/>
      <w:marBottom w:val="0"/>
      <w:divBdr>
        <w:top w:val="none" w:sz="0" w:space="0" w:color="auto"/>
        <w:left w:val="none" w:sz="0" w:space="0" w:color="auto"/>
        <w:bottom w:val="none" w:sz="0" w:space="0" w:color="auto"/>
        <w:right w:val="none" w:sz="0" w:space="0" w:color="auto"/>
      </w:divBdr>
    </w:div>
    <w:div w:id="815151622">
      <w:bodyDiv w:val="1"/>
      <w:marLeft w:val="0"/>
      <w:marRight w:val="0"/>
      <w:marTop w:val="0"/>
      <w:marBottom w:val="0"/>
      <w:divBdr>
        <w:top w:val="none" w:sz="0" w:space="0" w:color="auto"/>
        <w:left w:val="none" w:sz="0" w:space="0" w:color="auto"/>
        <w:bottom w:val="none" w:sz="0" w:space="0" w:color="auto"/>
        <w:right w:val="none" w:sz="0" w:space="0" w:color="auto"/>
      </w:divBdr>
    </w:div>
    <w:div w:id="897009608">
      <w:bodyDiv w:val="1"/>
      <w:marLeft w:val="0"/>
      <w:marRight w:val="0"/>
      <w:marTop w:val="0"/>
      <w:marBottom w:val="0"/>
      <w:divBdr>
        <w:top w:val="none" w:sz="0" w:space="0" w:color="auto"/>
        <w:left w:val="none" w:sz="0" w:space="0" w:color="auto"/>
        <w:bottom w:val="none" w:sz="0" w:space="0" w:color="auto"/>
        <w:right w:val="none" w:sz="0" w:space="0" w:color="auto"/>
      </w:divBdr>
    </w:div>
    <w:div w:id="937952625">
      <w:bodyDiv w:val="1"/>
      <w:marLeft w:val="0"/>
      <w:marRight w:val="0"/>
      <w:marTop w:val="0"/>
      <w:marBottom w:val="0"/>
      <w:divBdr>
        <w:top w:val="none" w:sz="0" w:space="0" w:color="auto"/>
        <w:left w:val="none" w:sz="0" w:space="0" w:color="auto"/>
        <w:bottom w:val="none" w:sz="0" w:space="0" w:color="auto"/>
        <w:right w:val="none" w:sz="0" w:space="0" w:color="auto"/>
      </w:divBdr>
    </w:div>
    <w:div w:id="1075976262">
      <w:bodyDiv w:val="1"/>
      <w:marLeft w:val="0"/>
      <w:marRight w:val="0"/>
      <w:marTop w:val="0"/>
      <w:marBottom w:val="0"/>
      <w:divBdr>
        <w:top w:val="none" w:sz="0" w:space="0" w:color="auto"/>
        <w:left w:val="none" w:sz="0" w:space="0" w:color="auto"/>
        <w:bottom w:val="none" w:sz="0" w:space="0" w:color="auto"/>
        <w:right w:val="none" w:sz="0" w:space="0" w:color="auto"/>
      </w:divBdr>
    </w:div>
    <w:div w:id="124133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documento.asp?DocumentoID=51724" TargetMode="External"/><Relationship Id="rId5" Type="http://schemas.openxmlformats.org/officeDocument/2006/relationships/hyperlink" Target="https://www.ceta.org.co/html/vista_de_un_documento.asp?DocumentoID=517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729</Words>
  <Characters>4012</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2024-06-25T23:01:00Z</dcterms:created>
  <dcterms:modified xsi:type="dcterms:W3CDTF">2024-06-25T23:05:00Z</dcterms:modified>
</cp:coreProperties>
</file>