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014F" w14:textId="77777777" w:rsid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p>
    <w:p w14:paraId="0D0ABD68" w14:textId="77777777" w:rsid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p>
    <w:p w14:paraId="5766A5E9" w14:textId="77777777" w:rsid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p>
    <w:p w14:paraId="1880BF1D" w14:textId="77777777" w:rsid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p>
    <w:p w14:paraId="5DC199AF" w14:textId="77777777" w:rsidR="00503F42" w:rsidRPr="00503F42" w:rsidRDefault="00503F42" w:rsidP="00503F42">
      <w:pPr>
        <w:spacing w:after="0" w:line="240" w:lineRule="auto"/>
        <w:jc w:val="center"/>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color w:val="000000"/>
          <w:kern w:val="0"/>
          <w:sz w:val="21"/>
          <w:szCs w:val="21"/>
          <w:lang w:eastAsia="es-CO"/>
          <w14:ligatures w14:val="none"/>
        </w:rPr>
        <w:t xml:space="preserve">Concepto </w:t>
      </w:r>
      <w:proofErr w:type="spellStart"/>
      <w:r w:rsidRPr="00503F42">
        <w:rPr>
          <w:rFonts w:ascii="Segoe UI" w:eastAsia="Times New Roman" w:hAnsi="Segoe UI" w:cs="Segoe UI"/>
          <w:b/>
          <w:bCs/>
          <w:color w:val="000000"/>
          <w:kern w:val="0"/>
          <w:sz w:val="21"/>
          <w:szCs w:val="21"/>
          <w:lang w:eastAsia="es-CO"/>
          <w14:ligatures w14:val="none"/>
        </w:rPr>
        <w:t>Nº</w:t>
      </w:r>
      <w:proofErr w:type="spellEnd"/>
      <w:r w:rsidRPr="00503F42">
        <w:rPr>
          <w:rFonts w:ascii="Segoe UI" w:eastAsia="Times New Roman" w:hAnsi="Segoe UI" w:cs="Segoe UI"/>
          <w:b/>
          <w:bCs/>
          <w:color w:val="000000"/>
          <w:kern w:val="0"/>
          <w:sz w:val="21"/>
          <w:szCs w:val="21"/>
          <w:lang w:eastAsia="es-CO"/>
          <w14:ligatures w14:val="none"/>
        </w:rPr>
        <w:t xml:space="preserve"> 0022</w:t>
      </w:r>
    </w:p>
    <w:p w14:paraId="6731A6D6" w14:textId="77777777" w:rsidR="00503F42" w:rsidRPr="00503F42" w:rsidRDefault="00503F42" w:rsidP="00503F42">
      <w:pPr>
        <w:spacing w:after="0" w:line="240" w:lineRule="auto"/>
        <w:jc w:val="center"/>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color w:val="000000"/>
          <w:kern w:val="0"/>
          <w:sz w:val="21"/>
          <w:szCs w:val="21"/>
          <w:lang w:eastAsia="es-CO"/>
          <w14:ligatures w14:val="none"/>
        </w:rPr>
        <w:t>11-03-2024</w:t>
      </w:r>
    </w:p>
    <w:p w14:paraId="76DA5EE4" w14:textId="77777777" w:rsidR="00503F42" w:rsidRPr="00503F42" w:rsidRDefault="00503F42" w:rsidP="00503F42">
      <w:pPr>
        <w:spacing w:after="0" w:line="240" w:lineRule="auto"/>
        <w:jc w:val="center"/>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color w:val="000000"/>
          <w:kern w:val="0"/>
          <w:sz w:val="21"/>
          <w:szCs w:val="21"/>
          <w:lang w:eastAsia="es-CO"/>
          <w14:ligatures w14:val="none"/>
        </w:rPr>
        <w:t>Consejo Técnico de la Contaduría Pública</w:t>
      </w:r>
    </w:p>
    <w:p w14:paraId="32775A66"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27D3C16A"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01AFC87E"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Bogotá, D.C.,</w:t>
      </w:r>
    </w:p>
    <w:p w14:paraId="4FAB3A1A"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639"/>
        <w:gridCol w:w="6199"/>
      </w:tblGrid>
      <w:tr w:rsidR="00503F42" w:rsidRPr="00503F42" w14:paraId="210CBDC8" w14:textId="77777777" w:rsidTr="00503F42">
        <w:tc>
          <w:tcPr>
            <w:tcW w:w="2676" w:type="dxa"/>
            <w:tcBorders>
              <w:top w:val="nil"/>
              <w:left w:val="nil"/>
              <w:bottom w:val="nil"/>
              <w:right w:val="nil"/>
            </w:tcBorders>
            <w:shd w:val="clear" w:color="auto" w:fill="BFBFBF"/>
            <w:tcMar>
              <w:top w:w="0" w:type="dxa"/>
              <w:left w:w="105" w:type="dxa"/>
              <w:bottom w:w="0" w:type="dxa"/>
              <w:right w:w="105" w:type="dxa"/>
            </w:tcMar>
            <w:hideMark/>
          </w:tcPr>
          <w:p w14:paraId="76E0D75A"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b/>
                <w:bCs/>
                <w:kern w:val="0"/>
                <w:sz w:val="21"/>
                <w:szCs w:val="21"/>
                <w:lang w:eastAsia="es-CO"/>
                <w14:ligatures w14:val="none"/>
              </w:rPr>
              <w:t>REFERENCIA:</w:t>
            </w:r>
          </w:p>
        </w:tc>
        <w:tc>
          <w:tcPr>
            <w:tcW w:w="6343" w:type="dxa"/>
            <w:tcBorders>
              <w:top w:val="nil"/>
              <w:left w:val="nil"/>
              <w:bottom w:val="nil"/>
              <w:right w:val="nil"/>
            </w:tcBorders>
            <w:shd w:val="clear" w:color="auto" w:fill="BFBFBF"/>
            <w:tcMar>
              <w:top w:w="0" w:type="dxa"/>
              <w:left w:w="105" w:type="dxa"/>
              <w:bottom w:w="0" w:type="dxa"/>
              <w:right w:w="105" w:type="dxa"/>
            </w:tcMar>
            <w:hideMark/>
          </w:tcPr>
          <w:p w14:paraId="2AB29BB8"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 </w:t>
            </w:r>
          </w:p>
        </w:tc>
      </w:tr>
      <w:tr w:rsidR="00503F42" w:rsidRPr="00503F42" w14:paraId="2FA363B3" w14:textId="77777777" w:rsidTr="00503F42">
        <w:tc>
          <w:tcPr>
            <w:tcW w:w="2676" w:type="dxa"/>
            <w:tcBorders>
              <w:top w:val="nil"/>
              <w:left w:val="nil"/>
              <w:bottom w:val="nil"/>
              <w:right w:val="nil"/>
            </w:tcBorders>
            <w:tcMar>
              <w:top w:w="0" w:type="dxa"/>
              <w:left w:w="105" w:type="dxa"/>
              <w:bottom w:w="0" w:type="dxa"/>
              <w:right w:w="105" w:type="dxa"/>
            </w:tcMar>
            <w:hideMark/>
          </w:tcPr>
          <w:p w14:paraId="00D976A1"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No. del Radicado</w:t>
            </w:r>
          </w:p>
        </w:tc>
        <w:tc>
          <w:tcPr>
            <w:tcW w:w="6343" w:type="dxa"/>
            <w:tcBorders>
              <w:top w:val="nil"/>
              <w:left w:val="nil"/>
              <w:bottom w:val="nil"/>
              <w:right w:val="nil"/>
            </w:tcBorders>
            <w:tcMar>
              <w:top w:w="0" w:type="dxa"/>
              <w:left w:w="105" w:type="dxa"/>
              <w:bottom w:w="0" w:type="dxa"/>
              <w:right w:w="105" w:type="dxa"/>
            </w:tcMar>
            <w:hideMark/>
          </w:tcPr>
          <w:p w14:paraId="31A8B137"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1-2024-002078</w:t>
            </w:r>
          </w:p>
        </w:tc>
      </w:tr>
      <w:tr w:rsidR="00503F42" w:rsidRPr="00503F42" w14:paraId="49F80EE0" w14:textId="77777777" w:rsidTr="00503F42">
        <w:tc>
          <w:tcPr>
            <w:tcW w:w="2676" w:type="dxa"/>
            <w:tcBorders>
              <w:top w:val="nil"/>
              <w:left w:val="nil"/>
              <w:bottom w:val="nil"/>
              <w:right w:val="nil"/>
            </w:tcBorders>
            <w:tcMar>
              <w:top w:w="0" w:type="dxa"/>
              <w:left w:w="105" w:type="dxa"/>
              <w:bottom w:w="0" w:type="dxa"/>
              <w:right w:w="105" w:type="dxa"/>
            </w:tcMar>
            <w:hideMark/>
          </w:tcPr>
          <w:p w14:paraId="2A348B67"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Fecha de Radicado</w:t>
            </w:r>
          </w:p>
        </w:tc>
        <w:tc>
          <w:tcPr>
            <w:tcW w:w="6343" w:type="dxa"/>
            <w:tcBorders>
              <w:top w:val="nil"/>
              <w:left w:val="nil"/>
              <w:bottom w:val="nil"/>
              <w:right w:val="nil"/>
            </w:tcBorders>
            <w:tcMar>
              <w:top w:w="0" w:type="dxa"/>
              <w:left w:w="105" w:type="dxa"/>
              <w:bottom w:w="0" w:type="dxa"/>
              <w:right w:w="105" w:type="dxa"/>
            </w:tcMar>
            <w:hideMark/>
          </w:tcPr>
          <w:p w14:paraId="3CD4C78C"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19 de enero del 2024</w:t>
            </w:r>
          </w:p>
        </w:tc>
      </w:tr>
      <w:tr w:rsidR="00503F42" w:rsidRPr="00503F42" w14:paraId="38099185" w14:textId="77777777" w:rsidTr="00503F42">
        <w:tc>
          <w:tcPr>
            <w:tcW w:w="2676" w:type="dxa"/>
            <w:tcBorders>
              <w:top w:val="nil"/>
              <w:left w:val="nil"/>
              <w:bottom w:val="nil"/>
              <w:right w:val="nil"/>
            </w:tcBorders>
            <w:tcMar>
              <w:top w:w="0" w:type="dxa"/>
              <w:left w:w="105" w:type="dxa"/>
              <w:bottom w:w="0" w:type="dxa"/>
              <w:right w:w="105" w:type="dxa"/>
            </w:tcMar>
            <w:hideMark/>
          </w:tcPr>
          <w:p w14:paraId="4C5F94C5"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proofErr w:type="spellStart"/>
            <w:r w:rsidRPr="00503F42">
              <w:rPr>
                <w:rFonts w:ascii="Segoe UI" w:eastAsia="Times New Roman" w:hAnsi="Segoe UI" w:cs="Segoe UI"/>
                <w:kern w:val="0"/>
                <w:sz w:val="21"/>
                <w:szCs w:val="21"/>
                <w:lang w:eastAsia="es-CO"/>
                <w14:ligatures w14:val="none"/>
              </w:rPr>
              <w:t>Nº</w:t>
            </w:r>
            <w:proofErr w:type="spellEnd"/>
            <w:r w:rsidRPr="00503F42">
              <w:rPr>
                <w:rFonts w:ascii="Segoe UI" w:eastAsia="Times New Roman" w:hAnsi="Segoe UI" w:cs="Segoe UI"/>
                <w:kern w:val="0"/>
                <w:sz w:val="21"/>
                <w:szCs w:val="21"/>
                <w:lang w:eastAsia="es-CO"/>
                <w14:ligatures w14:val="none"/>
              </w:rPr>
              <w:t xml:space="preserve"> de Radicación CTCP</w:t>
            </w:r>
          </w:p>
        </w:tc>
        <w:tc>
          <w:tcPr>
            <w:tcW w:w="6343" w:type="dxa"/>
            <w:tcBorders>
              <w:top w:val="nil"/>
              <w:left w:val="nil"/>
              <w:bottom w:val="nil"/>
              <w:right w:val="nil"/>
            </w:tcBorders>
            <w:tcMar>
              <w:top w:w="0" w:type="dxa"/>
              <w:left w:w="105" w:type="dxa"/>
              <w:bottom w:w="0" w:type="dxa"/>
              <w:right w:w="105" w:type="dxa"/>
            </w:tcMar>
            <w:hideMark/>
          </w:tcPr>
          <w:p w14:paraId="09DB2AE7"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2024-0022</w:t>
            </w:r>
          </w:p>
        </w:tc>
      </w:tr>
      <w:tr w:rsidR="00503F42" w:rsidRPr="00503F42" w14:paraId="4F4F2F81" w14:textId="77777777" w:rsidTr="00503F42">
        <w:tc>
          <w:tcPr>
            <w:tcW w:w="2676" w:type="dxa"/>
            <w:tcBorders>
              <w:top w:val="nil"/>
              <w:left w:val="nil"/>
              <w:bottom w:val="nil"/>
              <w:right w:val="nil"/>
            </w:tcBorders>
            <w:tcMar>
              <w:top w:w="0" w:type="dxa"/>
              <w:left w:w="105" w:type="dxa"/>
              <w:bottom w:w="0" w:type="dxa"/>
              <w:right w:w="105" w:type="dxa"/>
            </w:tcMar>
            <w:hideMark/>
          </w:tcPr>
          <w:p w14:paraId="62207E98"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Tema</w:t>
            </w:r>
          </w:p>
        </w:tc>
        <w:tc>
          <w:tcPr>
            <w:tcW w:w="6343" w:type="dxa"/>
            <w:tcBorders>
              <w:top w:val="nil"/>
              <w:left w:val="nil"/>
              <w:bottom w:val="nil"/>
              <w:right w:val="nil"/>
            </w:tcBorders>
            <w:tcMar>
              <w:top w:w="0" w:type="dxa"/>
              <w:left w:w="105" w:type="dxa"/>
              <w:bottom w:w="0" w:type="dxa"/>
              <w:right w:w="105" w:type="dxa"/>
            </w:tcMar>
            <w:hideMark/>
          </w:tcPr>
          <w:p w14:paraId="13A580E9" w14:textId="77777777" w:rsidR="00503F42" w:rsidRPr="00503F42" w:rsidRDefault="00503F42" w:rsidP="00503F42">
            <w:pPr>
              <w:spacing w:after="0" w:line="240" w:lineRule="auto"/>
              <w:jc w:val="both"/>
              <w:rPr>
                <w:rFonts w:ascii="Segoe UI" w:eastAsia="Times New Roman" w:hAnsi="Segoe UI" w:cs="Segoe UI"/>
                <w:kern w:val="0"/>
                <w:sz w:val="21"/>
                <w:szCs w:val="21"/>
                <w:lang w:eastAsia="es-CO"/>
                <w14:ligatures w14:val="none"/>
              </w:rPr>
            </w:pPr>
            <w:r w:rsidRPr="00503F42">
              <w:rPr>
                <w:rFonts w:ascii="Segoe UI" w:eastAsia="Times New Roman" w:hAnsi="Segoe UI" w:cs="Segoe UI"/>
                <w:kern w:val="0"/>
                <w:sz w:val="21"/>
                <w:szCs w:val="21"/>
                <w:lang w:eastAsia="es-CO"/>
                <w14:ligatures w14:val="none"/>
              </w:rPr>
              <w:t>Propiedades de inversión – Reconocimiento y medición</w:t>
            </w:r>
          </w:p>
        </w:tc>
      </w:tr>
    </w:tbl>
    <w:p w14:paraId="2BDE3EEE"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08210CDA"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76F6B93F"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color w:val="000000"/>
          <w:kern w:val="0"/>
          <w:sz w:val="21"/>
          <w:szCs w:val="21"/>
          <w:lang w:eastAsia="es-CO"/>
          <w14:ligatures w14:val="none"/>
        </w:rPr>
        <w:t>CONSULTA (TEXTUAL)</w:t>
      </w:r>
    </w:p>
    <w:p w14:paraId="722D8C9C"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58783E12"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 Soy Revisor Fiscal de una Entidad que entre sus activos tiene varios bienes inmuebles, de los cuales, cuatro (4) utiliza para el desarrollo de sus actividades y 21 inmuebles arrienda a terceros mediante arrendamiento operativo.</w:t>
      </w:r>
    </w:p>
    <w:p w14:paraId="17F22D0E"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40B736DF"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Las preguntas son las siguientes:</w:t>
      </w:r>
    </w:p>
    <w:p w14:paraId="4FC0D91C"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3455E7AE"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1. Los bienes inmuebles que se arriendan se deben tratar como propiedades, planta y equipo?</w:t>
      </w:r>
    </w:p>
    <w:p w14:paraId="5EA5D640"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 xml:space="preserve">2. </w:t>
      </w:r>
      <w:proofErr w:type="gramStart"/>
      <w:r w:rsidRPr="00503F42">
        <w:rPr>
          <w:rFonts w:ascii="Segoe UI" w:eastAsia="Times New Roman" w:hAnsi="Segoe UI" w:cs="Segoe UI"/>
          <w:i/>
          <w:iCs/>
          <w:color w:val="000000"/>
          <w:kern w:val="0"/>
          <w:sz w:val="21"/>
          <w:szCs w:val="21"/>
          <w:lang w:eastAsia="es-CO"/>
          <w14:ligatures w14:val="none"/>
        </w:rPr>
        <w:t>Si la Administración decide tratar estos inmuebles como propiedades de inversión, debe registrar en resultados la variación del valor razonable, es decir, dentro del resultado del ejercicio del periodo que informa y no en otro resultado integral?</w:t>
      </w:r>
      <w:proofErr w:type="gramEnd"/>
    </w:p>
    <w:p w14:paraId="1B193F80"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 xml:space="preserve">3. Se pueden tratar como propiedades de inversión y el mayor valor razonable registrarlo incrementando el valor de estas en débito y como contrapartida incrementar el patrimonio, para no registrar en el resultado el incremento del valor </w:t>
      </w:r>
      <w:proofErr w:type="gramStart"/>
      <w:r w:rsidRPr="00503F42">
        <w:rPr>
          <w:rFonts w:ascii="Segoe UI" w:eastAsia="Times New Roman" w:hAnsi="Segoe UI" w:cs="Segoe UI"/>
          <w:i/>
          <w:iCs/>
          <w:color w:val="000000"/>
          <w:kern w:val="0"/>
          <w:sz w:val="21"/>
          <w:szCs w:val="21"/>
          <w:lang w:eastAsia="es-CO"/>
          <w14:ligatures w14:val="none"/>
        </w:rPr>
        <w:t>razonable ?</w:t>
      </w:r>
      <w:proofErr w:type="gramEnd"/>
      <w:r w:rsidRPr="00503F42">
        <w:rPr>
          <w:rFonts w:ascii="Segoe UI" w:eastAsia="Times New Roman" w:hAnsi="Segoe UI" w:cs="Segoe UI"/>
          <w:i/>
          <w:iCs/>
          <w:color w:val="000000"/>
          <w:kern w:val="0"/>
          <w:sz w:val="21"/>
          <w:szCs w:val="21"/>
          <w:lang w:eastAsia="es-CO"/>
          <w14:ligatures w14:val="none"/>
        </w:rPr>
        <w:t>”</w:t>
      </w:r>
    </w:p>
    <w:p w14:paraId="32A5DAB5"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1FC416FD"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color w:val="000000"/>
          <w:kern w:val="0"/>
          <w:sz w:val="21"/>
          <w:szCs w:val="21"/>
          <w:lang w:eastAsia="es-CO"/>
          <w14:ligatures w14:val="none"/>
        </w:rPr>
        <w:t>CONSIDERACIONES Y CONCEPTO</w:t>
      </w:r>
    </w:p>
    <w:p w14:paraId="40B2BB75"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23CE3F4A"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3A5EADCF"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5D3EB351"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xml:space="preserve">En primer lugar, es importante aclarar que una vez emitidos los decretos que ponen en vigencia los estándares de contabilidad e información financiera en Colombia, el tratamiento contable debe realizarse conforme al marco técnico normativo aplicable a cada entidad. Dado que la </w:t>
      </w:r>
      <w:r w:rsidRPr="00503F42">
        <w:rPr>
          <w:rFonts w:ascii="Segoe UI" w:eastAsia="Times New Roman" w:hAnsi="Segoe UI" w:cs="Segoe UI"/>
          <w:color w:val="000000"/>
          <w:kern w:val="0"/>
          <w:sz w:val="21"/>
          <w:szCs w:val="21"/>
          <w:lang w:eastAsia="es-CO"/>
          <w14:ligatures w14:val="none"/>
        </w:rPr>
        <w:lastRenderedPageBreak/>
        <w:t>consulta no especifica a qué grupo pertenece la entidad en cuestión, este concepto se desarrolla teniendo como referencia el Marco Técnico Normativo de la NIIF para las Pymes correspondiente al Grupo 2, que se encuentra contenido en el Anexo 2 del Decreto Único Reglamentario 2420 de 2015.</w:t>
      </w:r>
    </w:p>
    <w:p w14:paraId="49721174"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38145F9D"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En orden a los planteamientos e inquietudes del consultante, nos permitimos señalar:</w:t>
      </w:r>
    </w:p>
    <w:p w14:paraId="00A4E706"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513F949D"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i/>
          <w:iCs/>
          <w:color w:val="000000"/>
          <w:kern w:val="0"/>
          <w:sz w:val="21"/>
          <w:szCs w:val="21"/>
          <w:lang w:eastAsia="es-CO"/>
          <w14:ligatures w14:val="none"/>
        </w:rPr>
        <w:t>1. ¿Los bienes inmuebles que se arriendan se deben tratar como propiedades, planta y equipo?</w:t>
      </w:r>
    </w:p>
    <w:p w14:paraId="0F353729"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0791E2F6"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El reconocimiento de los bienes inmuebles bajo la NIIF para las Pymes, que están sujetos a contratos de arrendamiento operativo, debe llevarse a cabo de acuerdo con la Sección 16 – Propiedades de inversión, siempre y cuando cumplan con los siguientes requisitos:</w:t>
      </w:r>
    </w:p>
    <w:p w14:paraId="02BC9A4A"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1877AEB9"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“16.2 Las propiedades de inversión son propiedades (terrenos o edificios, o partes de un edificio, o ambos) que se mantienen por el dueño o el arrendatario bajo un </w:t>
      </w:r>
      <w:r w:rsidRPr="00503F42">
        <w:rPr>
          <w:rFonts w:ascii="Segoe UI" w:eastAsia="Times New Roman" w:hAnsi="Segoe UI" w:cs="Segoe UI"/>
          <w:b/>
          <w:bCs/>
          <w:i/>
          <w:iCs/>
          <w:color w:val="000000"/>
          <w:kern w:val="0"/>
          <w:sz w:val="21"/>
          <w:szCs w:val="21"/>
          <w:lang w:eastAsia="es-CO"/>
          <w14:ligatures w14:val="none"/>
        </w:rPr>
        <w:t>arrendamiento financiero </w:t>
      </w:r>
      <w:r w:rsidRPr="00503F42">
        <w:rPr>
          <w:rFonts w:ascii="Segoe UI" w:eastAsia="Times New Roman" w:hAnsi="Segoe UI" w:cs="Segoe UI"/>
          <w:i/>
          <w:iCs/>
          <w:color w:val="000000"/>
          <w:kern w:val="0"/>
          <w:sz w:val="21"/>
          <w:szCs w:val="21"/>
          <w:lang w:eastAsia="es-CO"/>
          <w14:ligatures w14:val="none"/>
        </w:rPr>
        <w:t>para obtener rentas, plusvalías o ambas, y no para:</w:t>
      </w:r>
    </w:p>
    <w:p w14:paraId="4276BEA2"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(a) su uso en la producción o suministro de bienes o servicios, o para fines administrativos; o</w:t>
      </w:r>
    </w:p>
    <w:p w14:paraId="607C2C02"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(b) su venta en el curso ordinario de las operaciones. (…)”</w:t>
      </w:r>
    </w:p>
    <w:p w14:paraId="16B13CCB"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2875F916"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i/>
          <w:iCs/>
          <w:color w:val="000000"/>
          <w:kern w:val="0"/>
          <w:sz w:val="21"/>
          <w:szCs w:val="21"/>
          <w:lang w:eastAsia="es-CO"/>
          <w14:ligatures w14:val="none"/>
        </w:rPr>
        <w:t xml:space="preserve">2. </w:t>
      </w:r>
      <w:proofErr w:type="gramStart"/>
      <w:r w:rsidRPr="00503F42">
        <w:rPr>
          <w:rFonts w:ascii="Segoe UI" w:eastAsia="Times New Roman" w:hAnsi="Segoe UI" w:cs="Segoe UI"/>
          <w:b/>
          <w:bCs/>
          <w:i/>
          <w:iCs/>
          <w:color w:val="000000"/>
          <w:kern w:val="0"/>
          <w:sz w:val="21"/>
          <w:szCs w:val="21"/>
          <w:lang w:eastAsia="es-CO"/>
          <w14:ligatures w14:val="none"/>
        </w:rPr>
        <w:t>Si la Administración decide tratar estos inmuebles como propiedades de inversión, debe registrar en resultados la variación del valor razonable, es decir, dentro del resultado del ejercicio del periodo que informa y no en otro resultado integral?</w:t>
      </w:r>
      <w:proofErr w:type="gramEnd"/>
    </w:p>
    <w:p w14:paraId="50E18374"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767CD766"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Las propiedades reconocidas como propiedades de inversión deben medirse posteriormente a su valor razonable, según lo establecido en el siguiente párrafo:</w:t>
      </w:r>
    </w:p>
    <w:p w14:paraId="2E60513A"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4018EA93"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i/>
          <w:iCs/>
          <w:color w:val="000000"/>
          <w:kern w:val="0"/>
          <w:sz w:val="21"/>
          <w:szCs w:val="21"/>
          <w:lang w:eastAsia="es-CO"/>
          <w14:ligatures w14:val="none"/>
        </w:rPr>
        <w:t>“16.7 Las propiedades de inversión cuyo valor razonable se puede medir de manera fiable sin costo o esfuerzo desproporcionado, se medirán al valor razonable en cada </w:t>
      </w:r>
      <w:r w:rsidRPr="00503F42">
        <w:rPr>
          <w:rFonts w:ascii="Segoe UI" w:eastAsia="Times New Roman" w:hAnsi="Segoe UI" w:cs="Segoe UI"/>
          <w:b/>
          <w:bCs/>
          <w:i/>
          <w:iCs/>
          <w:color w:val="000000"/>
          <w:kern w:val="0"/>
          <w:sz w:val="21"/>
          <w:szCs w:val="21"/>
          <w:lang w:eastAsia="es-CO"/>
          <w14:ligatures w14:val="none"/>
        </w:rPr>
        <w:t>fecha sobre la que se informa</w:t>
      </w:r>
      <w:r w:rsidRPr="00503F42">
        <w:rPr>
          <w:rFonts w:ascii="Segoe UI" w:eastAsia="Times New Roman" w:hAnsi="Segoe UI" w:cs="Segoe UI"/>
          <w:i/>
          <w:iCs/>
          <w:color w:val="000000"/>
          <w:kern w:val="0"/>
          <w:sz w:val="21"/>
          <w:szCs w:val="21"/>
          <w:lang w:eastAsia="es-CO"/>
          <w14:ligatures w14:val="none"/>
        </w:rPr>
        <w:t>, </w:t>
      </w:r>
      <w:r w:rsidRPr="00503F42">
        <w:rPr>
          <w:rFonts w:ascii="Segoe UI" w:eastAsia="Times New Roman" w:hAnsi="Segoe UI" w:cs="Segoe UI"/>
          <w:i/>
          <w:iCs/>
          <w:color w:val="000000"/>
          <w:kern w:val="0"/>
          <w:sz w:val="21"/>
          <w:szCs w:val="21"/>
          <w:u w:val="single"/>
          <w:lang w:eastAsia="es-CO"/>
          <w14:ligatures w14:val="none"/>
        </w:rPr>
        <w:t>reconociendo en resultados los cambios en el valor razonable</w:t>
      </w:r>
      <w:r w:rsidRPr="00503F42">
        <w:rPr>
          <w:rFonts w:ascii="Segoe UI" w:eastAsia="Times New Roman" w:hAnsi="Segoe UI" w:cs="Segoe UI"/>
          <w:i/>
          <w:iCs/>
          <w:color w:val="000000"/>
          <w:kern w:val="0"/>
          <w:sz w:val="21"/>
          <w:szCs w:val="21"/>
          <w:lang w:eastAsia="es-CO"/>
          <w14:ligatures w14:val="none"/>
        </w:rPr>
        <w:t>. (…)” Subrayado fuera de texto.</w:t>
      </w:r>
    </w:p>
    <w:p w14:paraId="16EBCE57"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6F579746" w14:textId="77777777" w:rsidR="00503F42" w:rsidRPr="00503F42" w:rsidRDefault="00503F42" w:rsidP="00503F42">
      <w:pPr>
        <w:spacing w:after="0" w:line="240" w:lineRule="auto"/>
        <w:ind w:left="284"/>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i/>
          <w:iCs/>
          <w:color w:val="000000"/>
          <w:kern w:val="0"/>
          <w:sz w:val="21"/>
          <w:szCs w:val="21"/>
          <w:lang w:eastAsia="es-CO"/>
          <w14:ligatures w14:val="none"/>
        </w:rPr>
        <w:t xml:space="preserve">3. </w:t>
      </w:r>
      <w:proofErr w:type="gramStart"/>
      <w:r w:rsidRPr="00503F42">
        <w:rPr>
          <w:rFonts w:ascii="Segoe UI" w:eastAsia="Times New Roman" w:hAnsi="Segoe UI" w:cs="Segoe UI"/>
          <w:b/>
          <w:bCs/>
          <w:i/>
          <w:iCs/>
          <w:color w:val="000000"/>
          <w:kern w:val="0"/>
          <w:sz w:val="21"/>
          <w:szCs w:val="21"/>
          <w:lang w:eastAsia="es-CO"/>
          <w14:ligatures w14:val="none"/>
        </w:rPr>
        <w:t>Se pueden tratar como propiedades de inversión y el mayor valor razonable registrarlo incrementando el valor de estas en débito y como contrapartida incrementar el patrimonio, para no registrar en el resultado el incremento del valor razonable?</w:t>
      </w:r>
      <w:proofErr w:type="gramEnd"/>
      <w:r w:rsidRPr="00503F42">
        <w:rPr>
          <w:rFonts w:ascii="Segoe UI" w:eastAsia="Times New Roman" w:hAnsi="Segoe UI" w:cs="Segoe UI"/>
          <w:b/>
          <w:bCs/>
          <w:i/>
          <w:iCs/>
          <w:color w:val="000000"/>
          <w:kern w:val="0"/>
          <w:sz w:val="21"/>
          <w:szCs w:val="21"/>
          <w:lang w:eastAsia="es-CO"/>
          <w14:ligatures w14:val="none"/>
        </w:rPr>
        <w:t>”</w:t>
      </w:r>
    </w:p>
    <w:p w14:paraId="0E535710"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2E3FB364" w14:textId="77777777" w:rsidR="00503F42" w:rsidRPr="001C17B9" w:rsidRDefault="00503F42" w:rsidP="00503F42">
      <w:pPr>
        <w:spacing w:after="0" w:line="240" w:lineRule="auto"/>
        <w:jc w:val="both"/>
        <w:rPr>
          <w:rFonts w:ascii="Segoe UI" w:eastAsia="Times New Roman" w:hAnsi="Segoe UI" w:cs="Segoe UI"/>
          <w:color w:val="FF0000"/>
          <w:kern w:val="0"/>
          <w:sz w:val="21"/>
          <w:szCs w:val="21"/>
          <w:lang w:eastAsia="es-CO"/>
          <w14:ligatures w14:val="none"/>
        </w:rPr>
      </w:pPr>
      <w:r w:rsidRPr="00503F42">
        <w:rPr>
          <w:rFonts w:ascii="Segoe UI" w:eastAsia="Times New Roman" w:hAnsi="Segoe UI" w:cs="Segoe UI"/>
          <w:color w:val="000000"/>
          <w:kern w:val="0"/>
          <w:sz w:val="21"/>
          <w:szCs w:val="21"/>
          <w:highlight w:val="yellow"/>
          <w:lang w:eastAsia="es-CO"/>
          <w14:ligatures w14:val="none"/>
        </w:rPr>
        <w:t xml:space="preserve">Técnicamente, como se indicó en la respuesta a la pregunta anterior, la variación del valor razonable de una propiedad de </w:t>
      </w:r>
      <w:proofErr w:type="gramStart"/>
      <w:r w:rsidRPr="00503F42">
        <w:rPr>
          <w:rFonts w:ascii="Segoe UI" w:eastAsia="Times New Roman" w:hAnsi="Segoe UI" w:cs="Segoe UI"/>
          <w:color w:val="000000"/>
          <w:kern w:val="0"/>
          <w:sz w:val="21"/>
          <w:szCs w:val="21"/>
          <w:highlight w:val="yellow"/>
          <w:lang w:eastAsia="es-CO"/>
          <w14:ligatures w14:val="none"/>
        </w:rPr>
        <w:t>inversión,</w:t>
      </w:r>
      <w:proofErr w:type="gramEnd"/>
      <w:r w:rsidRPr="00503F42">
        <w:rPr>
          <w:rFonts w:ascii="Segoe UI" w:eastAsia="Times New Roman" w:hAnsi="Segoe UI" w:cs="Segoe UI"/>
          <w:color w:val="000000"/>
          <w:kern w:val="0"/>
          <w:sz w:val="21"/>
          <w:szCs w:val="21"/>
          <w:highlight w:val="yellow"/>
          <w:lang w:eastAsia="es-CO"/>
          <w14:ligatures w14:val="none"/>
        </w:rPr>
        <w:t xml:space="preserve"> se debe reconocer directamente en los resultados del ejercicio</w:t>
      </w:r>
      <w:r w:rsidRPr="00503F42">
        <w:rPr>
          <w:rFonts w:ascii="Segoe UI" w:eastAsia="Times New Roman" w:hAnsi="Segoe UI" w:cs="Segoe UI"/>
          <w:color w:val="000000"/>
          <w:kern w:val="0"/>
          <w:sz w:val="21"/>
          <w:szCs w:val="21"/>
          <w:highlight w:val="cyan"/>
          <w:lang w:eastAsia="es-CO"/>
          <w14:ligatures w14:val="none"/>
        </w:rPr>
        <w:t xml:space="preserve">. Es importante no confundir el tratamiento contable de una propiedad de inversión </w:t>
      </w:r>
      <w:r w:rsidRPr="001C17B9">
        <w:rPr>
          <w:rFonts w:ascii="Segoe UI" w:eastAsia="Times New Roman" w:hAnsi="Segoe UI" w:cs="Segoe UI"/>
          <w:color w:val="FF0000"/>
          <w:kern w:val="0"/>
          <w:sz w:val="21"/>
          <w:szCs w:val="21"/>
          <w:highlight w:val="yellow"/>
          <w:lang w:eastAsia="es-CO"/>
          <w14:ligatures w14:val="none"/>
        </w:rPr>
        <w:t>con el de una propiedad, planta y equipo medida posteriormente por el modelo de revaluación</w:t>
      </w:r>
      <w:r w:rsidRPr="00503F42">
        <w:rPr>
          <w:rFonts w:ascii="Segoe UI" w:eastAsia="Times New Roman" w:hAnsi="Segoe UI" w:cs="Segoe UI"/>
          <w:color w:val="000000"/>
          <w:kern w:val="0"/>
          <w:sz w:val="21"/>
          <w:szCs w:val="21"/>
          <w:highlight w:val="cyan"/>
          <w:lang w:eastAsia="es-CO"/>
          <w14:ligatures w14:val="none"/>
        </w:rPr>
        <w:t>, en donde, frente al incremento en su valor revaluado</w:t>
      </w:r>
      <w:r w:rsidRPr="001C17B9">
        <w:rPr>
          <w:rFonts w:ascii="Segoe UI" w:eastAsia="Times New Roman" w:hAnsi="Segoe UI" w:cs="Segoe UI"/>
          <w:color w:val="FF0000"/>
          <w:kern w:val="0"/>
          <w:sz w:val="21"/>
          <w:szCs w:val="21"/>
          <w:highlight w:val="cyan"/>
          <w:lang w:eastAsia="es-CO"/>
          <w14:ligatures w14:val="none"/>
        </w:rPr>
        <w:t>, este aumento se reconoce directamente en </w:t>
      </w:r>
      <w:r w:rsidRPr="001C17B9">
        <w:rPr>
          <w:rFonts w:ascii="Segoe UI" w:eastAsia="Times New Roman" w:hAnsi="Segoe UI" w:cs="Segoe UI"/>
          <w:b/>
          <w:bCs/>
          <w:color w:val="FF0000"/>
          <w:kern w:val="0"/>
          <w:sz w:val="21"/>
          <w:szCs w:val="21"/>
          <w:highlight w:val="cyan"/>
          <w:lang w:eastAsia="es-CO"/>
          <w14:ligatures w14:val="none"/>
        </w:rPr>
        <w:t>otro resultado integral </w:t>
      </w:r>
      <w:r w:rsidRPr="001C17B9">
        <w:rPr>
          <w:rFonts w:ascii="Segoe UI" w:eastAsia="Times New Roman" w:hAnsi="Segoe UI" w:cs="Segoe UI"/>
          <w:color w:val="FF0000"/>
          <w:kern w:val="0"/>
          <w:sz w:val="21"/>
          <w:szCs w:val="21"/>
          <w:highlight w:val="cyan"/>
          <w:lang w:eastAsia="es-CO"/>
          <w14:ligatures w14:val="none"/>
        </w:rPr>
        <w:t>y se acumula en el </w:t>
      </w:r>
      <w:r w:rsidRPr="001C17B9">
        <w:rPr>
          <w:rFonts w:ascii="Segoe UI" w:eastAsia="Times New Roman" w:hAnsi="Segoe UI" w:cs="Segoe UI"/>
          <w:b/>
          <w:bCs/>
          <w:color w:val="FF0000"/>
          <w:kern w:val="0"/>
          <w:sz w:val="21"/>
          <w:szCs w:val="21"/>
          <w:highlight w:val="cyan"/>
          <w:lang w:eastAsia="es-CO"/>
          <w14:ligatures w14:val="none"/>
        </w:rPr>
        <w:t>patrimonio</w:t>
      </w:r>
      <w:r w:rsidRPr="001C17B9">
        <w:rPr>
          <w:rFonts w:ascii="Segoe UI" w:eastAsia="Times New Roman" w:hAnsi="Segoe UI" w:cs="Segoe UI"/>
          <w:color w:val="FF0000"/>
          <w:kern w:val="0"/>
          <w:sz w:val="21"/>
          <w:szCs w:val="21"/>
          <w:highlight w:val="cyan"/>
          <w:lang w:eastAsia="es-CO"/>
          <w14:ligatures w14:val="none"/>
        </w:rPr>
        <w:t>, bajo el encabezamiento de superávit de revaluación</w:t>
      </w:r>
      <w:hyperlink r:id="rId5" w:anchor="cite_note-1" w:history="1">
        <w:r w:rsidRPr="001C17B9">
          <w:rPr>
            <w:rFonts w:ascii="Segoe UI" w:eastAsia="Times New Roman" w:hAnsi="Segoe UI" w:cs="Segoe UI"/>
            <w:color w:val="FF0000"/>
            <w:kern w:val="0"/>
            <w:sz w:val="21"/>
            <w:szCs w:val="21"/>
            <w:highlight w:val="cyan"/>
            <w:u w:val="single"/>
            <w:vertAlign w:val="superscript"/>
            <w:lang w:eastAsia="es-CO"/>
            <w14:ligatures w14:val="none"/>
          </w:rPr>
          <w:t>1</w:t>
        </w:r>
      </w:hyperlink>
      <w:r w:rsidRPr="001C17B9">
        <w:rPr>
          <w:rFonts w:ascii="Segoe UI" w:eastAsia="Times New Roman" w:hAnsi="Segoe UI" w:cs="Segoe UI"/>
          <w:color w:val="FF0000"/>
          <w:kern w:val="0"/>
          <w:sz w:val="21"/>
          <w:szCs w:val="21"/>
          <w:highlight w:val="cyan"/>
          <w:lang w:eastAsia="es-CO"/>
          <w14:ligatures w14:val="none"/>
        </w:rPr>
        <w:t>.</w:t>
      </w:r>
    </w:p>
    <w:p w14:paraId="5CD1CE1B"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77DCC649"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highlight w:val="yellow"/>
          <w:lang w:eastAsia="es-CO"/>
          <w14:ligatures w14:val="none"/>
        </w:rPr>
        <w:t xml:space="preserve">Finalmente, es importante destacar que este tratamiento contable se fundamenta en el hecho de que las propiedades de inversión generan flujos de efectivo que son en gran medida </w:t>
      </w:r>
      <w:r w:rsidRPr="00503F42">
        <w:rPr>
          <w:rFonts w:ascii="Segoe UI" w:eastAsia="Times New Roman" w:hAnsi="Segoe UI" w:cs="Segoe UI"/>
          <w:color w:val="000000"/>
          <w:kern w:val="0"/>
          <w:sz w:val="21"/>
          <w:szCs w:val="21"/>
          <w:highlight w:val="yellow"/>
          <w:lang w:eastAsia="es-CO"/>
          <w14:ligatures w14:val="none"/>
        </w:rPr>
        <w:lastRenderedPageBreak/>
        <w:t>independientes de los procedentes de otros activos poseídos por la entidad. Esta distinción es clave para diferenciar las propiedades de inversión de aquellas que son ocupadas por el propietario</w:t>
      </w:r>
      <w:r w:rsidRPr="00503F42">
        <w:rPr>
          <w:rFonts w:ascii="Segoe UI" w:eastAsia="Times New Roman" w:hAnsi="Segoe UI" w:cs="Segoe UI"/>
          <w:color w:val="000000"/>
          <w:kern w:val="0"/>
          <w:sz w:val="21"/>
          <w:szCs w:val="21"/>
          <w:lang w:eastAsia="es-CO"/>
          <w14:ligatures w14:val="none"/>
        </w:rPr>
        <w:t>.</w:t>
      </w:r>
    </w:p>
    <w:p w14:paraId="449B06B1" w14:textId="77777777" w:rsid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p>
    <w:p w14:paraId="1AAC196D" w14:textId="77777777" w:rsid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p>
    <w:p w14:paraId="1269230E" w14:textId="0A5C86CD"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667282BC"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520E5E68"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Cordialmente</w:t>
      </w:r>
    </w:p>
    <w:p w14:paraId="0C489C24"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589ADB2E"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47D76634"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b/>
          <w:bCs/>
          <w:color w:val="000000"/>
          <w:kern w:val="0"/>
          <w:sz w:val="21"/>
          <w:szCs w:val="21"/>
          <w:lang w:eastAsia="es-CO"/>
          <w14:ligatures w14:val="none"/>
        </w:rPr>
        <w:t>JAIRO ENRIQUE CERVERA RODRÍGUEZ</w:t>
      </w:r>
    </w:p>
    <w:p w14:paraId="2D78A159"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Consejero – CTCP</w:t>
      </w:r>
    </w:p>
    <w:p w14:paraId="07D29F9D" w14:textId="77777777" w:rsidR="00503F42" w:rsidRPr="00503F42" w:rsidRDefault="00503F42" w:rsidP="00503F42">
      <w:pPr>
        <w:spacing w:after="0" w:line="240" w:lineRule="auto"/>
        <w:jc w:val="both"/>
        <w:rPr>
          <w:rFonts w:ascii="Segoe UI" w:eastAsia="Times New Roman" w:hAnsi="Segoe UI" w:cs="Segoe UI"/>
          <w:color w:val="000000"/>
          <w:kern w:val="0"/>
          <w:sz w:val="21"/>
          <w:szCs w:val="21"/>
          <w:lang w:eastAsia="es-CO"/>
          <w14:ligatures w14:val="none"/>
        </w:rPr>
      </w:pPr>
      <w:r w:rsidRPr="00503F42">
        <w:rPr>
          <w:rFonts w:ascii="Segoe UI" w:eastAsia="Times New Roman" w:hAnsi="Segoe UI" w:cs="Segoe UI"/>
          <w:color w:val="000000"/>
          <w:kern w:val="0"/>
          <w:sz w:val="21"/>
          <w:szCs w:val="21"/>
          <w:lang w:eastAsia="es-CO"/>
          <w14:ligatures w14:val="none"/>
        </w:rPr>
        <w:t> </w:t>
      </w:r>
    </w:p>
    <w:p w14:paraId="3641FA11" w14:textId="77777777" w:rsidR="00503F42" w:rsidRPr="00503F42" w:rsidRDefault="00503F42" w:rsidP="00503F4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03F42">
        <w:rPr>
          <w:rFonts w:ascii="Segoe UI" w:eastAsia="Times New Roman" w:hAnsi="Segoe UI" w:cs="Segoe UI"/>
          <w:b/>
          <w:bCs/>
          <w:color w:val="000000"/>
          <w:kern w:val="0"/>
          <w:sz w:val="21"/>
          <w:szCs w:val="21"/>
          <w:lang w:eastAsia="es-CO"/>
          <w14:ligatures w14:val="none"/>
        </w:rPr>
        <w:t>Notas al pie</w:t>
      </w:r>
    </w:p>
    <w:p w14:paraId="1C232237" w14:textId="77777777" w:rsidR="00503F42" w:rsidRPr="00503F42" w:rsidRDefault="001C17B9" w:rsidP="00503F42">
      <w:pPr>
        <w:spacing w:after="0" w:line="240" w:lineRule="auto"/>
        <w:rPr>
          <w:rFonts w:ascii="Segoe UI" w:eastAsia="Times New Roman" w:hAnsi="Segoe UI" w:cs="Segoe UI"/>
          <w:kern w:val="0"/>
          <w:sz w:val="21"/>
          <w:szCs w:val="21"/>
          <w:lang w:eastAsia="es-CO"/>
          <w14:ligatures w14:val="none"/>
        </w:rPr>
      </w:pPr>
      <w:r>
        <w:rPr>
          <w:rFonts w:ascii="Times New Roman" w:eastAsia="Times New Roman" w:hAnsi="Times New Roman" w:cs="Times New Roman"/>
          <w:kern w:val="0"/>
          <w:lang w:eastAsia="es-CO"/>
          <w14:ligatures w14:val="none"/>
        </w:rPr>
        <w:pict w14:anchorId="3709EA2A">
          <v:rect id="_x0000_i1025" style="width:0;height:1.5pt" o:hrstd="t" o:hrnoshade="t" o:hr="t" fillcolor="black" stroked="f"/>
        </w:pict>
      </w:r>
    </w:p>
    <w:p w14:paraId="0AE448C3" w14:textId="77777777" w:rsidR="00503F42" w:rsidRPr="00503F42" w:rsidRDefault="001C17B9" w:rsidP="00503F42">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 w:anchor="cite_ref-1" w:tooltip="Volver arriba" w:history="1">
        <w:r w:rsidR="00503F42" w:rsidRPr="00503F42">
          <w:rPr>
            <w:rFonts w:ascii="Segoe UI" w:eastAsia="Times New Roman" w:hAnsi="Segoe UI" w:cs="Segoe UI"/>
            <w:color w:val="0645AD"/>
            <w:kern w:val="0"/>
            <w:sz w:val="21"/>
            <w:szCs w:val="21"/>
            <w:u w:val="single"/>
            <w:lang w:eastAsia="es-CO"/>
            <w14:ligatures w14:val="none"/>
          </w:rPr>
          <w:t>↑</w:t>
        </w:r>
      </w:hyperlink>
      <w:r w:rsidR="00503F42" w:rsidRPr="00503F42">
        <w:rPr>
          <w:rFonts w:ascii="Segoe UI" w:eastAsia="Times New Roman" w:hAnsi="Segoe UI" w:cs="Segoe UI"/>
          <w:color w:val="000000"/>
          <w:kern w:val="0"/>
          <w:sz w:val="21"/>
          <w:szCs w:val="21"/>
          <w:lang w:eastAsia="es-CO"/>
          <w14:ligatures w14:val="none"/>
        </w:rPr>
        <w:t> Tomado del DUR 2420 de 2015, Anexo 2 NIIF para Pymes, Sección 17 PPYE, párrafo 17.15C.</w:t>
      </w:r>
    </w:p>
    <w:p w14:paraId="0BBD6EB0" w14:textId="77777777" w:rsidR="0024761C" w:rsidRDefault="0024761C"/>
    <w:sectPr w:rsidR="002476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4AE"/>
    <w:multiLevelType w:val="multilevel"/>
    <w:tmpl w:val="A3046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33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42"/>
    <w:rsid w:val="001C17B9"/>
    <w:rsid w:val="0024761C"/>
    <w:rsid w:val="00503F42"/>
    <w:rsid w:val="005F62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DF4132"/>
  <w15:chartTrackingRefBased/>
  <w15:docId w15:val="{961E1E22-825E-4ADC-8A62-2BA0E119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3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3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3F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3F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03F4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03F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03F4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03F4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03F4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3F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3F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3F4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3F4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03F4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03F4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03F4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03F4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03F4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03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3F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3F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3F4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03F42"/>
    <w:pPr>
      <w:spacing w:before="160"/>
      <w:jc w:val="center"/>
    </w:pPr>
    <w:rPr>
      <w:i/>
      <w:iCs/>
      <w:color w:val="404040" w:themeColor="text1" w:themeTint="BF"/>
    </w:rPr>
  </w:style>
  <w:style w:type="character" w:customStyle="1" w:styleId="CitaCar">
    <w:name w:val="Cita Car"/>
    <w:basedOn w:val="Fuentedeprrafopredeter"/>
    <w:link w:val="Cita"/>
    <w:uiPriority w:val="29"/>
    <w:rsid w:val="00503F42"/>
    <w:rPr>
      <w:i/>
      <w:iCs/>
      <w:color w:val="404040" w:themeColor="text1" w:themeTint="BF"/>
    </w:rPr>
  </w:style>
  <w:style w:type="paragraph" w:styleId="Prrafodelista">
    <w:name w:val="List Paragraph"/>
    <w:basedOn w:val="Normal"/>
    <w:uiPriority w:val="34"/>
    <w:qFormat/>
    <w:rsid w:val="00503F42"/>
    <w:pPr>
      <w:ind w:left="720"/>
      <w:contextualSpacing/>
    </w:pPr>
  </w:style>
  <w:style w:type="character" w:styleId="nfasisintenso">
    <w:name w:val="Intense Emphasis"/>
    <w:basedOn w:val="Fuentedeprrafopredeter"/>
    <w:uiPriority w:val="21"/>
    <w:qFormat/>
    <w:rsid w:val="00503F42"/>
    <w:rPr>
      <w:i/>
      <w:iCs/>
      <w:color w:val="0F4761" w:themeColor="accent1" w:themeShade="BF"/>
    </w:rPr>
  </w:style>
  <w:style w:type="paragraph" w:styleId="Citadestacada">
    <w:name w:val="Intense Quote"/>
    <w:basedOn w:val="Normal"/>
    <w:next w:val="Normal"/>
    <w:link w:val="CitadestacadaCar"/>
    <w:uiPriority w:val="30"/>
    <w:qFormat/>
    <w:rsid w:val="00503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3F42"/>
    <w:rPr>
      <w:i/>
      <w:iCs/>
      <w:color w:val="0F4761" w:themeColor="accent1" w:themeShade="BF"/>
    </w:rPr>
  </w:style>
  <w:style w:type="character" w:styleId="Referenciaintensa">
    <w:name w:val="Intense Reference"/>
    <w:basedOn w:val="Fuentedeprrafopredeter"/>
    <w:uiPriority w:val="32"/>
    <w:qFormat/>
    <w:rsid w:val="00503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643222">
      <w:bodyDiv w:val="1"/>
      <w:marLeft w:val="0"/>
      <w:marRight w:val="0"/>
      <w:marTop w:val="0"/>
      <w:marBottom w:val="0"/>
      <w:divBdr>
        <w:top w:val="none" w:sz="0" w:space="0" w:color="auto"/>
        <w:left w:val="none" w:sz="0" w:space="0" w:color="auto"/>
        <w:bottom w:val="none" w:sz="0" w:space="0" w:color="auto"/>
        <w:right w:val="none" w:sz="0" w:space="0" w:color="auto"/>
      </w:divBdr>
    </w:div>
    <w:div w:id="18559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1260" TargetMode="External"/><Relationship Id="rId5" Type="http://schemas.openxmlformats.org/officeDocument/2006/relationships/hyperlink" Target="https://www.ceta.org.co/html/vista_de_un_documento.asp?DocumentoID=5126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4856</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3</cp:revision>
  <dcterms:created xsi:type="dcterms:W3CDTF">2024-04-16T22:15:00Z</dcterms:created>
  <dcterms:modified xsi:type="dcterms:W3CDTF">2024-04-16T22:31:00Z</dcterms:modified>
</cp:coreProperties>
</file>