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834D" w14:textId="77777777" w:rsidR="00CD63EB" w:rsidRPr="00CD63EB" w:rsidRDefault="00CD63EB" w:rsidP="00276A2E">
      <w:pPr>
        <w:jc w:val="center"/>
        <w:rPr>
          <w:rFonts w:ascii="Segoe UI" w:eastAsia="Times New Roman" w:hAnsi="Segoe UI" w:cs="Segoe UI"/>
          <w:b/>
          <w:bCs/>
          <w:color w:val="0000FF"/>
          <w:sz w:val="28"/>
          <w:lang w:val="es-CO" w:eastAsia="es-ES"/>
        </w:rPr>
      </w:pPr>
      <w:r w:rsidRPr="00CD63EB">
        <w:rPr>
          <w:rFonts w:ascii="Segoe UI" w:eastAsia="Times New Roman" w:hAnsi="Segoe UI" w:cs="Segoe UI"/>
          <w:b/>
          <w:bCs/>
          <w:color w:val="0000FF"/>
          <w:sz w:val="28"/>
          <w:lang w:val="es-CO" w:eastAsia="es-ES"/>
        </w:rPr>
        <w:t>CONSEJO DE ESTADO</w:t>
      </w:r>
    </w:p>
    <w:p w14:paraId="659E1170" w14:textId="77777777" w:rsidR="00CD63EB" w:rsidRPr="00CD63EB" w:rsidRDefault="00CD63EB" w:rsidP="00276A2E">
      <w:pPr>
        <w:jc w:val="center"/>
        <w:rPr>
          <w:rFonts w:ascii="Segoe UI" w:eastAsia="Times New Roman" w:hAnsi="Segoe UI" w:cs="Segoe UI"/>
          <w:b/>
          <w:bCs/>
          <w:color w:val="0000FF"/>
          <w:sz w:val="28"/>
          <w:lang w:val="es-CO" w:eastAsia="es-ES"/>
        </w:rPr>
      </w:pPr>
      <w:r w:rsidRPr="00CD63EB">
        <w:rPr>
          <w:rFonts w:ascii="Segoe UI" w:eastAsia="Times New Roman" w:hAnsi="Segoe UI" w:cs="Segoe UI"/>
          <w:b/>
          <w:bCs/>
          <w:color w:val="0000FF"/>
          <w:sz w:val="28"/>
          <w:lang w:val="es-CO" w:eastAsia="es-ES"/>
        </w:rPr>
        <w:t>SALA DE LO CONTENCIOSO ADMINISTRATIVO</w:t>
      </w:r>
    </w:p>
    <w:p w14:paraId="7C0FE82D" w14:textId="77777777" w:rsidR="00CD63EB" w:rsidRPr="00CD63EB" w:rsidRDefault="00CD63EB" w:rsidP="00276A2E">
      <w:pPr>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SECCIÓN CUARTA</w:t>
      </w:r>
    </w:p>
    <w:p w14:paraId="094AF52C" w14:textId="77777777" w:rsidR="00CD63EB" w:rsidRPr="00CD63EB" w:rsidRDefault="00CD63EB" w:rsidP="00276A2E">
      <w:pPr>
        <w:jc w:val="center"/>
        <w:rPr>
          <w:rFonts w:ascii="Segoe UI" w:eastAsia="Times New Roman" w:hAnsi="Segoe UI" w:cs="Segoe UI"/>
          <w:b/>
          <w:color w:val="0000FF"/>
          <w:sz w:val="28"/>
          <w:lang w:val="es-CO" w:eastAsia="es-ES"/>
        </w:rPr>
      </w:pPr>
    </w:p>
    <w:p w14:paraId="1BAC3EFA" w14:textId="77777777" w:rsidR="00CD63EB" w:rsidRPr="00CD63EB" w:rsidRDefault="00CD63EB" w:rsidP="00276A2E">
      <w:pPr>
        <w:widowControl w:val="0"/>
        <w:jc w:val="center"/>
        <w:rPr>
          <w:rFonts w:ascii="Segoe UI" w:eastAsia="Times New Roman" w:hAnsi="Segoe UI" w:cs="Segoe UI"/>
          <w:b/>
          <w:bCs/>
          <w:color w:val="0000FF"/>
          <w:sz w:val="28"/>
          <w:lang w:val="es-CO" w:eastAsia="es-ES"/>
        </w:rPr>
      </w:pPr>
      <w:r w:rsidRPr="00CD63EB">
        <w:rPr>
          <w:rFonts w:ascii="Segoe UI" w:eastAsia="Times New Roman" w:hAnsi="Segoe UI" w:cs="Segoe UI"/>
          <w:b/>
          <w:color w:val="0000FF"/>
          <w:sz w:val="28"/>
          <w:lang w:val="es-CO" w:eastAsia="es-ES"/>
        </w:rPr>
        <w:t>Consejero ponente: JULIO ROBERTO PIZA RODRÍGUEZ</w:t>
      </w:r>
    </w:p>
    <w:p w14:paraId="39F8B3D2"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Bogotá, D.C., veinte (20) de septiembre de dos mil dieciocho (2018)</w:t>
      </w:r>
    </w:p>
    <w:p w14:paraId="15173F35"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bCs/>
          <w:color w:val="0000FF"/>
          <w:sz w:val="28"/>
          <w:lang w:val="es-CO" w:eastAsia="es-ES"/>
        </w:rPr>
        <w:t xml:space="preserve">Radicación número: </w:t>
      </w:r>
      <w:r w:rsidRPr="00CD63EB">
        <w:rPr>
          <w:rFonts w:ascii="Segoe UI" w:eastAsia="Times New Roman" w:hAnsi="Segoe UI" w:cs="Segoe UI"/>
          <w:b/>
          <w:color w:val="0000FF"/>
          <w:sz w:val="28"/>
          <w:lang w:val="es-CO" w:eastAsia="es-ES"/>
        </w:rPr>
        <w:t>25000-23-37-000-2014-01213-01 (22489)</w:t>
      </w:r>
    </w:p>
    <w:p w14:paraId="37E08568"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Actor: IDT ELECTRIC LTDA.</w:t>
      </w:r>
    </w:p>
    <w:p w14:paraId="3B6AC69D"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Demandado: DIRECCIÓN DE IMPUESTOS Y ADUANAS NACIONALES-DIAN</w:t>
      </w:r>
    </w:p>
    <w:p w14:paraId="0A525B17"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p>
    <w:p w14:paraId="147D43F8" w14:textId="77777777" w:rsidR="00CD63EB" w:rsidRPr="00CD63EB" w:rsidRDefault="00CD63EB" w:rsidP="00276A2E">
      <w:pPr>
        <w:widowControl w:val="0"/>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FALLO</w:t>
      </w:r>
    </w:p>
    <w:p w14:paraId="24A546EE" w14:textId="77777777" w:rsidR="00CD63EB" w:rsidRPr="00CD63EB" w:rsidRDefault="00CD63EB" w:rsidP="00276A2E">
      <w:pPr>
        <w:widowControl w:val="0"/>
        <w:rPr>
          <w:rFonts w:ascii="Segoe UI" w:eastAsia="Times New Roman" w:hAnsi="Segoe UI" w:cs="Segoe UI"/>
          <w:b/>
          <w:color w:val="0000FF"/>
          <w:szCs w:val="24"/>
          <w:lang w:val="es-CO" w:eastAsia="es-ES"/>
        </w:rPr>
      </w:pPr>
    </w:p>
    <w:p w14:paraId="739ED706" w14:textId="77777777" w:rsidR="00CD63EB" w:rsidRPr="00CD63EB" w:rsidRDefault="00CD63EB" w:rsidP="00276A2E">
      <w:pPr>
        <w:widowControl w:val="0"/>
        <w:rPr>
          <w:rFonts w:ascii="Segoe UI" w:eastAsia="Times New Roman" w:hAnsi="Segoe UI" w:cs="Segoe UI"/>
          <w:b/>
          <w:color w:val="0000FF"/>
          <w:szCs w:val="24"/>
          <w:lang w:val="es-CO" w:eastAsia="es-ES"/>
        </w:rPr>
      </w:pPr>
    </w:p>
    <w:p w14:paraId="2FABF4B8" w14:textId="77777777" w:rsidR="00CD63EB" w:rsidRPr="00CD63EB" w:rsidRDefault="00CD63EB" w:rsidP="00276A2E">
      <w:pPr>
        <w:widowControl w:val="0"/>
        <w:rPr>
          <w:rFonts w:ascii="Segoe UI" w:eastAsia="Times New Roman" w:hAnsi="Segoe UI" w:cs="Segoe UI"/>
          <w:szCs w:val="24"/>
          <w:lang w:val="es-CO" w:eastAsia="es-ES"/>
        </w:rPr>
      </w:pPr>
      <w:r w:rsidRPr="00125E16">
        <w:rPr>
          <w:rFonts w:ascii="Segoe UI" w:eastAsia="Times New Roman" w:hAnsi="Segoe UI" w:cs="Segoe UI"/>
          <w:szCs w:val="24"/>
          <w:highlight w:val="yellow"/>
          <w:lang w:val="es-CO" w:eastAsia="es-ES"/>
        </w:rPr>
        <w:t>La Sala decide el recurso de apelación interpuesto por las partes contra la sentencia del 11 de febrero de 2016, proferida por el Tribunal Administrativo de Cundinamarca, Sección Cuarta, Subsección B, que decidió (f. 145):</w:t>
      </w:r>
    </w:p>
    <w:p w14:paraId="72D81447" w14:textId="77777777" w:rsidR="00CD63EB" w:rsidRPr="00CD63EB" w:rsidRDefault="00CD63EB" w:rsidP="00276A2E">
      <w:pPr>
        <w:widowControl w:val="0"/>
        <w:ind w:left="420"/>
        <w:rPr>
          <w:rFonts w:ascii="Segoe UI" w:eastAsia="Times New Roman" w:hAnsi="Segoe UI" w:cs="Segoe UI"/>
          <w:szCs w:val="24"/>
          <w:lang w:val="es-CO" w:eastAsia="es-ES"/>
        </w:rPr>
      </w:pPr>
    </w:p>
    <w:p w14:paraId="668ED509"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PRIMERO. </w:t>
      </w:r>
      <w:r w:rsidRPr="00125E16">
        <w:rPr>
          <w:rFonts w:ascii="Segoe UI" w:eastAsia="Times New Roman" w:hAnsi="Segoe UI" w:cs="Segoe UI"/>
          <w:szCs w:val="24"/>
          <w:highlight w:val="yellow"/>
          <w:lang w:val="es-CO" w:eastAsia="es-ES"/>
        </w:rPr>
        <w:t>Declarar la nulidad parcial de los actos administrativos contenidos en las Resoluciones Nos. 322412013000330 del 8 de mayo de 2013 y 900.132 del 26 de mayo de 2014, proferidas por la Dirección de Impuestos y Aduanas Nacionales, mediante las cuales se impuso una sanción por no enviar información del período 2009, a cargo de la sociedad IDT Electric Ltda., de conformidad con los argumentos expuestos en la parte motiva de esta providencia.</w:t>
      </w:r>
    </w:p>
    <w:p w14:paraId="108FB42E" w14:textId="77777777" w:rsidR="00CD63EB" w:rsidRPr="00CD63EB" w:rsidRDefault="00CD63EB" w:rsidP="00276A2E">
      <w:pPr>
        <w:widowControl w:val="0"/>
        <w:ind w:left="420"/>
        <w:rPr>
          <w:rFonts w:ascii="Segoe UI" w:eastAsia="Times New Roman" w:hAnsi="Segoe UI" w:cs="Segoe UI"/>
          <w:szCs w:val="24"/>
          <w:lang w:val="es-CO" w:eastAsia="es-ES"/>
        </w:rPr>
      </w:pPr>
    </w:p>
    <w:p w14:paraId="7400107D"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SEGUNDO. </w:t>
      </w:r>
      <w:r w:rsidRPr="00CD63EB">
        <w:rPr>
          <w:rFonts w:ascii="Segoe UI" w:eastAsia="Times New Roman" w:hAnsi="Segoe UI" w:cs="Segoe UI"/>
          <w:szCs w:val="24"/>
          <w:lang w:val="es-CO" w:eastAsia="es-ES"/>
        </w:rPr>
        <w:t>En consecuencia, a título de restablecimiento del derecho se ordena a la sociedad IDT Electric Ltda. pagar el saldo establecido en la liquidación realizada por esta Corporación en la parte motiva de la presente providencia, por concepto de sanción por no enviar información correspondiente al período 2009, fijado en la suma de ciento veintisiete millones ochocientos setenta y ocho mil pesos ($127.878.000).</w:t>
      </w:r>
    </w:p>
    <w:p w14:paraId="41858C10" w14:textId="77777777" w:rsidR="00CD63EB" w:rsidRPr="00CD63EB" w:rsidRDefault="00CD63EB" w:rsidP="00276A2E">
      <w:pPr>
        <w:widowControl w:val="0"/>
        <w:ind w:left="420"/>
        <w:rPr>
          <w:rFonts w:ascii="Segoe UI" w:eastAsia="Times New Roman" w:hAnsi="Segoe UI" w:cs="Segoe UI"/>
          <w:szCs w:val="24"/>
          <w:lang w:val="es-CO" w:eastAsia="es-ES"/>
        </w:rPr>
      </w:pPr>
    </w:p>
    <w:p w14:paraId="3B5B1702"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TERCERO. </w:t>
      </w:r>
      <w:r w:rsidRPr="00CD63EB">
        <w:rPr>
          <w:rFonts w:ascii="Segoe UI" w:eastAsia="Times New Roman" w:hAnsi="Segoe UI" w:cs="Segoe UI"/>
          <w:szCs w:val="24"/>
          <w:lang w:val="es-CO" w:eastAsia="es-ES"/>
        </w:rPr>
        <w:t>Negar las demás pretensiones de la demanda.</w:t>
      </w:r>
    </w:p>
    <w:p w14:paraId="308E6F5C" w14:textId="77777777" w:rsidR="00CD63EB" w:rsidRPr="00CD63EB" w:rsidRDefault="00CD63EB" w:rsidP="00276A2E">
      <w:pPr>
        <w:widowControl w:val="0"/>
        <w:jc w:val="center"/>
        <w:rPr>
          <w:rFonts w:ascii="Segoe UI" w:eastAsia="Times New Roman" w:hAnsi="Segoe UI" w:cs="Segoe UI"/>
          <w:szCs w:val="24"/>
          <w:lang w:val="es-CO" w:eastAsia="es-ES"/>
        </w:rPr>
      </w:pPr>
    </w:p>
    <w:p w14:paraId="6352E8C6"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ANTECEDENTES DE LA ACTUACIÓN ADMINISTRATIVA</w:t>
      </w:r>
    </w:p>
    <w:p w14:paraId="7EB8D149" w14:textId="77777777" w:rsidR="00CD63EB" w:rsidRPr="00CD63EB" w:rsidRDefault="00CD63EB" w:rsidP="00276A2E">
      <w:pPr>
        <w:widowControl w:val="0"/>
        <w:rPr>
          <w:rFonts w:ascii="Segoe UI" w:eastAsia="Times New Roman" w:hAnsi="Segoe UI" w:cs="Segoe UI"/>
          <w:szCs w:val="24"/>
          <w:lang w:val="es-CO" w:eastAsia="es-ES"/>
        </w:rPr>
      </w:pPr>
    </w:p>
    <w:p w14:paraId="1341EA2A"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Mediante el Pliego de Cargos nro. 322402012000375, del 26 de septiembre de 2012, la DIAN propuso sancionar a la demandante por no presentar la información exógena correspondiente al año 2009. Con fundamento en la letra a) del artículo 651 del ET, la sanción impuesta fue de $356.445.000, correspondiente al 5 % del valor de las sumas de la información no suministrada.</w:t>
      </w:r>
    </w:p>
    <w:p w14:paraId="62C0FE7C"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20EFC1DA"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 través de la Resolución 322412013000330, del 8 de mayo de 2013, la DIAN impuso la sanción propuesta en el pliego de cargos.</w:t>
      </w:r>
    </w:p>
    <w:p w14:paraId="28EC83C4"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1487B931"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medio de la Resolución 900.132, del 26 de mayo de 2014, la sanción señalada fue confirmada.</w:t>
      </w:r>
    </w:p>
    <w:p w14:paraId="35D84F1D"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465FDBDC"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Finalmente, el 1.º de septiembre de 2014, la demandante presentó la información exógena correspondiente al año gravable 2009.</w:t>
      </w:r>
    </w:p>
    <w:p w14:paraId="668255F8"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szCs w:val="24"/>
          <w:lang w:val="es-CO" w:eastAsia="es-ES"/>
        </w:rPr>
      </w:pPr>
    </w:p>
    <w:p w14:paraId="3128FD23"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ANTECEDENTES PROCESALES</w:t>
      </w:r>
    </w:p>
    <w:p w14:paraId="0C83ECBA" w14:textId="77777777" w:rsidR="00CD63EB" w:rsidRPr="00CD63EB" w:rsidRDefault="00CD63EB" w:rsidP="00276A2E">
      <w:pPr>
        <w:widowControl w:val="0"/>
        <w:rPr>
          <w:rFonts w:ascii="Segoe UI" w:eastAsia="Times New Roman" w:hAnsi="Segoe UI" w:cs="Segoe UI"/>
          <w:szCs w:val="24"/>
          <w:lang w:val="es-CO" w:eastAsia="es-ES"/>
        </w:rPr>
      </w:pPr>
    </w:p>
    <w:p w14:paraId="3C1D5A36"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Demanda</w:t>
      </w:r>
    </w:p>
    <w:p w14:paraId="4D1A9DC3" w14:textId="77777777" w:rsidR="00CD63EB" w:rsidRPr="00CD63EB" w:rsidRDefault="00CD63EB" w:rsidP="00276A2E">
      <w:pPr>
        <w:widowControl w:val="0"/>
        <w:rPr>
          <w:rFonts w:ascii="Segoe UI" w:eastAsia="Times New Roman" w:hAnsi="Segoe UI" w:cs="Segoe UI"/>
          <w:szCs w:val="24"/>
          <w:lang w:val="es-CO" w:eastAsia="es-ES"/>
        </w:rPr>
      </w:pPr>
    </w:p>
    <w:p w14:paraId="11231B02"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ejercicio del medio de control de nulidad y restablecimiento del derecho, IDT ELECTRIC LTDA. formuló las siguientes pretensiones (f. 3):</w:t>
      </w:r>
    </w:p>
    <w:p w14:paraId="0ACFD50D" w14:textId="77777777" w:rsidR="00CD63EB" w:rsidRPr="00CD63EB" w:rsidRDefault="00CD63EB" w:rsidP="00276A2E">
      <w:pPr>
        <w:widowControl w:val="0"/>
        <w:ind w:left="420"/>
        <w:rPr>
          <w:rFonts w:ascii="Segoe UI" w:eastAsia="Times New Roman" w:hAnsi="Segoe UI" w:cs="Segoe UI"/>
          <w:szCs w:val="24"/>
          <w:lang w:val="es-CO" w:eastAsia="es-ES"/>
        </w:rPr>
      </w:pPr>
    </w:p>
    <w:p w14:paraId="622D0579"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Primera:</w:t>
      </w:r>
      <w:r w:rsidRPr="00CD63EB">
        <w:rPr>
          <w:rFonts w:ascii="Segoe UI" w:eastAsia="Times New Roman" w:hAnsi="Segoe UI" w:cs="Segoe UI"/>
          <w:szCs w:val="24"/>
          <w:lang w:val="es-CO" w:eastAsia="es-ES"/>
        </w:rPr>
        <w:t xml:space="preserve"> se declare la nulidad de la Resolución Sanción No. 322412013000330 del 8 de mayo de 2013, mediante la cual se impuso sanción a mi poderdante por no enviar información por el monto de $356.445.000 de conformidad con el artículo 651 del Estatuto Tributario.</w:t>
      </w:r>
    </w:p>
    <w:p w14:paraId="7437E42C" w14:textId="77777777" w:rsidR="00CD63EB" w:rsidRPr="00CD63EB" w:rsidRDefault="00CD63EB" w:rsidP="00276A2E">
      <w:pPr>
        <w:widowControl w:val="0"/>
        <w:ind w:left="420"/>
        <w:rPr>
          <w:rFonts w:ascii="Segoe UI" w:eastAsia="Times New Roman" w:hAnsi="Segoe UI" w:cs="Segoe UI"/>
          <w:szCs w:val="24"/>
          <w:lang w:val="es-CO" w:eastAsia="es-ES"/>
        </w:rPr>
      </w:pPr>
    </w:p>
    <w:p w14:paraId="1F39576F"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Segunda: </w:t>
      </w:r>
      <w:r w:rsidRPr="00CD63EB">
        <w:rPr>
          <w:rFonts w:ascii="Segoe UI" w:eastAsia="Times New Roman" w:hAnsi="Segoe UI" w:cs="Segoe UI"/>
          <w:szCs w:val="24"/>
          <w:lang w:val="es-CO" w:eastAsia="es-ES"/>
        </w:rPr>
        <w:t>se declare la nulidad de la Resolución No. 900.132 del 26 de mayo de 2014, que resolvió el Recurso de Reconsideración interpuesto contra la Resolución Sanción No. 322412013000330 del 8 de mayo de 2014 (sic).</w:t>
      </w:r>
    </w:p>
    <w:p w14:paraId="75DC0314" w14:textId="77777777" w:rsidR="00CD63EB" w:rsidRPr="00CD63EB" w:rsidRDefault="00CD63EB" w:rsidP="00276A2E">
      <w:pPr>
        <w:widowControl w:val="0"/>
        <w:ind w:left="420"/>
        <w:rPr>
          <w:rFonts w:ascii="Segoe UI" w:eastAsia="Times New Roman" w:hAnsi="Segoe UI" w:cs="Segoe UI"/>
          <w:szCs w:val="24"/>
          <w:lang w:val="es-CO" w:eastAsia="es-ES"/>
        </w:rPr>
      </w:pPr>
    </w:p>
    <w:p w14:paraId="146F1A98"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lastRenderedPageBreak/>
        <w:t>Tercera:</w:t>
      </w:r>
      <w:r w:rsidRPr="00CD63EB">
        <w:rPr>
          <w:rFonts w:ascii="Segoe UI" w:eastAsia="Times New Roman" w:hAnsi="Segoe UI" w:cs="Segoe UI"/>
          <w:szCs w:val="24"/>
          <w:lang w:val="es-CO" w:eastAsia="es-ES"/>
        </w:rPr>
        <w:t xml:space="preserve"> como consecuencia de las nulidades anteriores y a título de restablecimiento del derecho, a favor del demandante se declare que no tiene obligación de pagar sanción alguna por no enviar información por el año gravable 2009.</w:t>
      </w:r>
    </w:p>
    <w:p w14:paraId="055BE44E" w14:textId="77777777" w:rsidR="00CD63EB" w:rsidRPr="00CD63EB" w:rsidRDefault="00CD63EB" w:rsidP="00276A2E">
      <w:pPr>
        <w:widowControl w:val="0"/>
        <w:ind w:left="420"/>
        <w:rPr>
          <w:rFonts w:ascii="Segoe UI" w:eastAsia="Times New Roman" w:hAnsi="Segoe UI" w:cs="Segoe UI"/>
          <w:szCs w:val="24"/>
          <w:lang w:val="es-CO" w:eastAsia="es-ES"/>
        </w:rPr>
      </w:pPr>
    </w:p>
    <w:p w14:paraId="315248D2"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Cuarta:</w:t>
      </w:r>
      <w:r w:rsidRPr="00CD63EB">
        <w:rPr>
          <w:rFonts w:ascii="Segoe UI" w:eastAsia="Times New Roman" w:hAnsi="Segoe UI" w:cs="Segoe UI"/>
          <w:szCs w:val="24"/>
          <w:lang w:val="es-CO" w:eastAsia="es-ES"/>
        </w:rPr>
        <w:t xml:space="preserve"> Que se condene en costas y agencias en derecho a la parte demandada.</w:t>
      </w:r>
    </w:p>
    <w:p w14:paraId="3CC07AE1" w14:textId="77777777" w:rsidR="00CD63EB" w:rsidRPr="00CD63EB" w:rsidRDefault="00CD63EB" w:rsidP="00276A2E">
      <w:pPr>
        <w:widowControl w:val="0"/>
        <w:rPr>
          <w:rFonts w:ascii="Segoe UI" w:eastAsia="Times New Roman" w:hAnsi="Segoe UI" w:cs="Segoe UI"/>
          <w:szCs w:val="24"/>
          <w:lang w:val="es-CO" w:eastAsia="es-ES"/>
        </w:rPr>
      </w:pPr>
    </w:p>
    <w:p w14:paraId="3F36D45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 los anteriores efectos, invocó como violados los artículos 2.º, 29, 95.6 y 363 de la Constitución; 87, 89, 138, 152, 156, 162 a 139 del CPACA; y 638, 651 y 683 del ET.</w:t>
      </w:r>
    </w:p>
    <w:p w14:paraId="357DF0B1"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3B878846" w14:textId="77777777" w:rsidR="00CD63EB" w:rsidRPr="00CD63EB" w:rsidRDefault="00CD63EB" w:rsidP="00276A2E">
      <w:pPr>
        <w:widowControl w:val="0"/>
        <w:rPr>
          <w:rFonts w:ascii="Segoe UI" w:eastAsia="Times New Roman" w:hAnsi="Segoe UI" w:cs="Segoe UI"/>
          <w:szCs w:val="24"/>
          <w:lang w:val="es-CO" w:eastAsia="es-CO"/>
        </w:rPr>
      </w:pPr>
      <w:r w:rsidRPr="00CD63EB">
        <w:rPr>
          <w:rFonts w:ascii="Segoe UI" w:eastAsia="Times New Roman" w:hAnsi="Segoe UI" w:cs="Segoe UI"/>
          <w:szCs w:val="24"/>
          <w:lang w:val="es-CO" w:eastAsia="es-CO"/>
        </w:rPr>
        <w:t>El concepto de la violación de esas disposiciones se resume así:</w:t>
      </w:r>
    </w:p>
    <w:p w14:paraId="5983B454" w14:textId="77777777" w:rsidR="00CD63EB" w:rsidRPr="00CD63EB" w:rsidRDefault="00CD63EB" w:rsidP="00276A2E">
      <w:pPr>
        <w:widowControl w:val="0"/>
        <w:rPr>
          <w:rFonts w:ascii="Segoe UI" w:eastAsia="Times New Roman" w:hAnsi="Segoe UI" w:cs="Segoe UI"/>
          <w:szCs w:val="24"/>
          <w:lang w:val="es-CO" w:eastAsia="es-ES"/>
        </w:rPr>
      </w:pPr>
    </w:p>
    <w:p w14:paraId="2CA9DE9F"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1. Violación del derecho de defensa</w:t>
      </w:r>
    </w:p>
    <w:p w14:paraId="0BCE4704" w14:textId="77777777" w:rsidR="00CD63EB" w:rsidRPr="00CD63EB" w:rsidRDefault="00CD63EB" w:rsidP="00276A2E">
      <w:pPr>
        <w:widowControl w:val="0"/>
        <w:rPr>
          <w:rFonts w:ascii="Segoe UI" w:eastAsia="Times New Roman" w:hAnsi="Segoe UI" w:cs="Segoe UI"/>
          <w:b/>
          <w:szCs w:val="24"/>
          <w:lang w:val="es-CO" w:eastAsia="es-ES"/>
        </w:rPr>
      </w:pPr>
    </w:p>
    <w:p w14:paraId="03872259"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Explicó que los actos objeto de impugnación no están motivados, porque no indicaron la conducta sancionable ni determinaron el daño que ese hecho causó a la Administración tributaria. En este sentido, señaló que, al no tener certeza sobre los supuestos fácticos y jurídicos que sustentaron la sanción, se vulneró el derecho de defensa y contradicción. Al respecto, invocó la sentencia del 30 de abril de 2009, proferida por esta Sección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16338), en la cual se precisó la necesidad de identificar la conducta reprochable, a fin de garantizar el derecho de defensa.</w:t>
      </w:r>
    </w:p>
    <w:p w14:paraId="723D6527" w14:textId="77777777" w:rsidR="00CD63EB" w:rsidRPr="00CD63EB" w:rsidRDefault="00CD63EB" w:rsidP="00276A2E">
      <w:pPr>
        <w:widowControl w:val="0"/>
        <w:rPr>
          <w:rFonts w:ascii="Segoe UI" w:eastAsia="Times New Roman" w:hAnsi="Segoe UI" w:cs="Segoe UI"/>
          <w:szCs w:val="24"/>
          <w:lang w:val="es-CO" w:eastAsia="es-ES"/>
        </w:rPr>
      </w:pPr>
    </w:p>
    <w:p w14:paraId="385E8B8B"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2. «</w:t>
      </w:r>
      <w:r w:rsidRPr="00CD63EB">
        <w:rPr>
          <w:rFonts w:ascii="Segoe UI" w:eastAsia="Times New Roman" w:hAnsi="Segoe UI" w:cs="Segoe UI"/>
          <w:b/>
          <w:i/>
          <w:szCs w:val="24"/>
          <w:lang w:val="es-CO" w:eastAsia="es-ES"/>
        </w:rPr>
        <w:t>Prescripción</w:t>
      </w:r>
      <w:r w:rsidRPr="00CD63EB">
        <w:rPr>
          <w:rFonts w:ascii="Segoe UI" w:eastAsia="Times New Roman" w:hAnsi="Segoe UI" w:cs="Segoe UI"/>
          <w:b/>
          <w:szCs w:val="24"/>
          <w:lang w:val="es-CO" w:eastAsia="es-ES"/>
        </w:rPr>
        <w:t>» de la facultad sancionadora</w:t>
      </w:r>
    </w:p>
    <w:p w14:paraId="1E1C2F6F" w14:textId="77777777" w:rsidR="00CD63EB" w:rsidRPr="00CD63EB" w:rsidRDefault="00CD63EB" w:rsidP="00276A2E">
      <w:pPr>
        <w:widowControl w:val="0"/>
        <w:rPr>
          <w:rFonts w:ascii="Segoe UI" w:eastAsia="Times New Roman" w:hAnsi="Segoe UI" w:cs="Segoe UI"/>
          <w:b/>
          <w:szCs w:val="24"/>
          <w:lang w:val="es-CO" w:eastAsia="es-ES"/>
        </w:rPr>
      </w:pPr>
    </w:p>
    <w:p w14:paraId="3A548A4B"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Indicó que prescribió la facultad de la Administración para sancionar por el no envío de información en medios magnéticos del año gravable 2009, conforme al plazo de dos años establecido en el artículo 638 del ET.</w:t>
      </w:r>
    </w:p>
    <w:p w14:paraId="584A3856" w14:textId="77777777" w:rsidR="00CD63EB" w:rsidRPr="00CD63EB" w:rsidRDefault="00CD63EB" w:rsidP="00276A2E">
      <w:pPr>
        <w:widowControl w:val="0"/>
        <w:rPr>
          <w:rFonts w:ascii="Segoe UI" w:eastAsia="Times New Roman" w:hAnsi="Segoe UI" w:cs="Segoe UI"/>
          <w:szCs w:val="24"/>
          <w:lang w:val="es-CO" w:eastAsia="es-ES"/>
        </w:rPr>
      </w:pPr>
    </w:p>
    <w:p w14:paraId="326013F5"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ese sentido, explicó que el término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debe contarse desde la presentación de la declaración de renta del año gravable 2009, por cuanto la información que se debía suministrar estaba asociada con esa vigencia fiscal. Por lo tanto, la fecha máxima para notificar el pliego de cargos venció el 20 de abril de 2012. Sin embargo, ello se hizo el 26 de septiembre del mismo año.</w:t>
      </w:r>
    </w:p>
    <w:p w14:paraId="2AEA7A3E" w14:textId="77777777" w:rsidR="00CD63EB" w:rsidRPr="00CD63EB" w:rsidRDefault="00CD63EB" w:rsidP="00276A2E">
      <w:pPr>
        <w:widowControl w:val="0"/>
        <w:rPr>
          <w:rFonts w:ascii="Segoe UI" w:eastAsia="Times New Roman" w:hAnsi="Segoe UI" w:cs="Segoe UI"/>
          <w:szCs w:val="24"/>
          <w:lang w:val="es-CO" w:eastAsia="es-ES"/>
        </w:rPr>
      </w:pPr>
    </w:p>
    <w:p w14:paraId="00606702"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Para el efecto, citó apartes de la Sentencia del 17 de julio de 2008 (expediente 16030, CP: </w:t>
      </w:r>
      <w:r w:rsidRPr="00CD63EB">
        <w:rPr>
          <w:rFonts w:ascii="Segoe UI" w:eastAsia="Times New Roman" w:hAnsi="Segoe UI" w:cs="Segoe UI"/>
          <w:szCs w:val="24"/>
          <w:lang w:val="es-CO" w:eastAsia="es-ES"/>
        </w:rPr>
        <w:lastRenderedPageBreak/>
        <w:t>Héctor J. Romero Díaz).</w:t>
      </w:r>
    </w:p>
    <w:p w14:paraId="0D5C59F9" w14:textId="77777777" w:rsidR="00CD63EB" w:rsidRPr="00CD63EB" w:rsidRDefault="00CD63EB" w:rsidP="00276A2E">
      <w:pPr>
        <w:widowControl w:val="0"/>
        <w:rPr>
          <w:rFonts w:ascii="Segoe UI" w:eastAsia="Times New Roman" w:hAnsi="Segoe UI" w:cs="Segoe UI"/>
          <w:szCs w:val="24"/>
          <w:lang w:val="es-CO" w:eastAsia="es-ES"/>
        </w:rPr>
      </w:pPr>
    </w:p>
    <w:p w14:paraId="2AF4594F"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3. Violación de los principios de buena fe y del espíritu de justicia</w:t>
      </w:r>
    </w:p>
    <w:p w14:paraId="7B130837" w14:textId="77777777" w:rsidR="00CD63EB" w:rsidRPr="00CD63EB" w:rsidRDefault="00CD63EB" w:rsidP="00276A2E">
      <w:pPr>
        <w:widowControl w:val="0"/>
        <w:rPr>
          <w:rFonts w:ascii="Segoe UI" w:eastAsia="Times New Roman" w:hAnsi="Segoe UI" w:cs="Segoe UI"/>
          <w:b/>
          <w:szCs w:val="24"/>
          <w:lang w:val="es-CO" w:eastAsia="es-ES"/>
        </w:rPr>
      </w:pPr>
    </w:p>
    <w:p w14:paraId="242F1434"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Indicó que:</w:t>
      </w:r>
    </w:p>
    <w:p w14:paraId="3D26C9DC" w14:textId="77777777" w:rsidR="00CD63EB" w:rsidRPr="00CD63EB" w:rsidRDefault="00CD63EB" w:rsidP="00276A2E">
      <w:pPr>
        <w:widowControl w:val="0"/>
        <w:ind w:left="420"/>
        <w:rPr>
          <w:rFonts w:ascii="Segoe UI" w:eastAsia="Times New Roman" w:hAnsi="Segoe UI" w:cs="Segoe UI"/>
          <w:szCs w:val="24"/>
          <w:lang w:val="es-CO" w:eastAsia="es-ES"/>
        </w:rPr>
      </w:pPr>
    </w:p>
    <w:p w14:paraId="141AD4E4"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se puede observar claramente que el Contribuyente actuó de buena fe ante la administración, con el fiel convencimiento de que si bien no presentó la información que la obligaba a presentar el Decreto 7935 del 28 de julio de 2009 –por diversas circunstancias que no es el momento de discutir- este siempre actuó ante la administración bajo el total convencimiento de que la obligación se encontraba prescrita y así mismo la facultad de la DIAN para abrirle pliego de cargos y posterior sanción por este hecho.</w:t>
      </w:r>
    </w:p>
    <w:p w14:paraId="6465EBBE" w14:textId="77777777" w:rsidR="00CD63EB" w:rsidRPr="00CD63EB" w:rsidRDefault="00CD63EB" w:rsidP="00276A2E">
      <w:pPr>
        <w:widowControl w:val="0"/>
        <w:rPr>
          <w:rFonts w:ascii="Segoe UI" w:eastAsia="Times New Roman" w:hAnsi="Segoe UI" w:cs="Segoe UI"/>
          <w:szCs w:val="24"/>
          <w:lang w:val="es-CO" w:eastAsia="es-ES"/>
        </w:rPr>
      </w:pPr>
    </w:p>
    <w:p w14:paraId="3511CBB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ello, afirmó que la DIAN no valoró la conducta de la demandante, sino que impuso una sanción superior a la que correspondía, de conformidad con el espíritu de justicia, contemplado en el artículo 683 del ET.</w:t>
      </w:r>
    </w:p>
    <w:p w14:paraId="06C0F058" w14:textId="77777777" w:rsidR="00CD63EB" w:rsidRPr="00CD63EB" w:rsidRDefault="00CD63EB" w:rsidP="00276A2E">
      <w:pPr>
        <w:widowControl w:val="0"/>
        <w:rPr>
          <w:rFonts w:ascii="Segoe UI" w:eastAsia="Times New Roman" w:hAnsi="Segoe UI" w:cs="Segoe UI"/>
          <w:szCs w:val="24"/>
          <w:lang w:val="es-CO" w:eastAsia="es-ES"/>
        </w:rPr>
      </w:pPr>
    </w:p>
    <w:p w14:paraId="32D110AC" w14:textId="77777777" w:rsidR="00CD63EB" w:rsidRPr="00125E16" w:rsidRDefault="00CD63EB" w:rsidP="00276A2E">
      <w:pPr>
        <w:widowControl w:val="0"/>
        <w:rPr>
          <w:rFonts w:ascii="Segoe UI" w:eastAsia="Times New Roman" w:hAnsi="Segoe UI" w:cs="Segoe UI"/>
          <w:b/>
          <w:szCs w:val="24"/>
          <w:highlight w:val="yellow"/>
          <w:lang w:val="es-CO" w:eastAsia="es-ES"/>
        </w:rPr>
      </w:pPr>
      <w:r w:rsidRPr="00CD63EB">
        <w:rPr>
          <w:rFonts w:ascii="Segoe UI" w:eastAsia="Times New Roman" w:hAnsi="Segoe UI" w:cs="Segoe UI"/>
          <w:b/>
          <w:szCs w:val="24"/>
          <w:lang w:val="es-CO" w:eastAsia="es-ES"/>
        </w:rPr>
        <w:t>4</w:t>
      </w:r>
      <w:r w:rsidRPr="00125E16">
        <w:rPr>
          <w:rFonts w:ascii="Segoe UI" w:eastAsia="Times New Roman" w:hAnsi="Segoe UI" w:cs="Segoe UI"/>
          <w:b/>
          <w:szCs w:val="24"/>
          <w:highlight w:val="yellow"/>
          <w:lang w:val="es-CO" w:eastAsia="es-ES"/>
        </w:rPr>
        <w:t>. Gradualidad de la sanción</w:t>
      </w:r>
    </w:p>
    <w:p w14:paraId="197972E0" w14:textId="77777777" w:rsidR="00CD63EB" w:rsidRPr="00125E16" w:rsidRDefault="00CD63EB" w:rsidP="00276A2E">
      <w:pPr>
        <w:widowControl w:val="0"/>
        <w:rPr>
          <w:rFonts w:ascii="Segoe UI" w:eastAsia="Times New Roman" w:hAnsi="Segoe UI" w:cs="Segoe UI"/>
          <w:b/>
          <w:szCs w:val="24"/>
          <w:highlight w:val="yellow"/>
          <w:lang w:val="es-CO" w:eastAsia="es-ES"/>
        </w:rPr>
      </w:pPr>
    </w:p>
    <w:p w14:paraId="6338AD6D" w14:textId="77777777" w:rsidR="00CD63EB" w:rsidRPr="00CD63EB" w:rsidRDefault="00CD63EB" w:rsidP="00276A2E">
      <w:pPr>
        <w:widowControl w:val="0"/>
        <w:rPr>
          <w:rFonts w:ascii="Segoe UI" w:eastAsia="Times New Roman" w:hAnsi="Segoe UI" w:cs="Segoe UI"/>
          <w:szCs w:val="24"/>
          <w:lang w:val="es-CO" w:eastAsia="es-ES"/>
        </w:rPr>
      </w:pPr>
      <w:r w:rsidRPr="00125E16">
        <w:rPr>
          <w:rFonts w:ascii="Segoe UI" w:eastAsia="Times New Roman" w:hAnsi="Segoe UI" w:cs="Segoe UI"/>
          <w:szCs w:val="24"/>
          <w:highlight w:val="yellow"/>
          <w:lang w:val="es-CO" w:eastAsia="es-ES"/>
        </w:rPr>
        <w:t>Adujo que la Administración no demostró que el solo incumplimiento en la entrega de la información le ocasionó un daño. Por ello, consideró que era improcedente imponer la máxima sanción establecida y que se quebrantaron los principios de equidad y razonabilidad, reconocidos por el Consejo de Estado en las sentencias del 20 de abril de 2001 y del 26 de marzo de 2009, respectivamente (</w:t>
      </w:r>
      <w:proofErr w:type="spellStart"/>
      <w:r w:rsidRPr="00125E16">
        <w:rPr>
          <w:rFonts w:ascii="Segoe UI" w:eastAsia="Times New Roman" w:hAnsi="Segoe UI" w:cs="Segoe UI"/>
          <w:szCs w:val="24"/>
          <w:highlight w:val="yellow"/>
          <w:lang w:val="es-CO" w:eastAsia="es-ES"/>
        </w:rPr>
        <w:t>exp</w:t>
      </w:r>
      <w:proofErr w:type="spellEnd"/>
      <w:r w:rsidRPr="00125E16">
        <w:rPr>
          <w:rFonts w:ascii="Segoe UI" w:eastAsia="Times New Roman" w:hAnsi="Segoe UI" w:cs="Segoe UI"/>
          <w:szCs w:val="24"/>
          <w:highlight w:val="yellow"/>
          <w:lang w:val="es-CO" w:eastAsia="es-ES"/>
        </w:rPr>
        <w:t xml:space="preserve">. 11658, CP: Ligia López Díaz y </w:t>
      </w:r>
      <w:proofErr w:type="spellStart"/>
      <w:r w:rsidRPr="00125E16">
        <w:rPr>
          <w:rFonts w:ascii="Segoe UI" w:eastAsia="Times New Roman" w:hAnsi="Segoe UI" w:cs="Segoe UI"/>
          <w:szCs w:val="24"/>
          <w:highlight w:val="yellow"/>
          <w:lang w:val="es-CO" w:eastAsia="es-ES"/>
        </w:rPr>
        <w:t>exp</w:t>
      </w:r>
      <w:proofErr w:type="spellEnd"/>
      <w:r w:rsidRPr="00125E16">
        <w:rPr>
          <w:rFonts w:ascii="Segoe UI" w:eastAsia="Times New Roman" w:hAnsi="Segoe UI" w:cs="Segoe UI"/>
          <w:szCs w:val="24"/>
          <w:highlight w:val="yellow"/>
          <w:lang w:val="es-CO" w:eastAsia="es-ES"/>
        </w:rPr>
        <w:t>. 16169, CP: Héctor J. Romero Díaz).</w:t>
      </w:r>
    </w:p>
    <w:p w14:paraId="10621554" w14:textId="77777777" w:rsidR="00CD63EB" w:rsidRPr="00CD63EB" w:rsidRDefault="00CD63EB" w:rsidP="00276A2E">
      <w:pPr>
        <w:widowControl w:val="0"/>
        <w:rPr>
          <w:rFonts w:ascii="Segoe UI" w:eastAsia="Times New Roman" w:hAnsi="Segoe UI" w:cs="Segoe UI"/>
          <w:szCs w:val="24"/>
          <w:lang w:val="es-CO" w:eastAsia="es-ES"/>
        </w:rPr>
      </w:pPr>
    </w:p>
    <w:p w14:paraId="1DD8EC1E" w14:textId="77777777" w:rsidR="00CD63EB" w:rsidRPr="00CD63EB" w:rsidRDefault="00CD63EB" w:rsidP="00276A2E">
      <w:pPr>
        <w:widowControl w:val="0"/>
        <w:rPr>
          <w:rFonts w:ascii="Segoe UI" w:eastAsia="Times New Roman" w:hAnsi="Segoe UI" w:cs="Segoe UI"/>
          <w:szCs w:val="24"/>
          <w:lang w:val="es-CO" w:eastAsia="es-ES"/>
        </w:rPr>
      </w:pPr>
      <w:r w:rsidRPr="00125E16">
        <w:rPr>
          <w:rFonts w:ascii="Segoe UI" w:eastAsia="Times New Roman" w:hAnsi="Segoe UI" w:cs="Segoe UI"/>
          <w:szCs w:val="24"/>
          <w:highlight w:val="yellow"/>
          <w:lang w:val="es-CO" w:eastAsia="es-ES"/>
        </w:rPr>
        <w:t>Adicionalmente, planteó que la información solicitada por el fisco ya se encontraba a su disposición en las declaraciones del IVA, retención en la fuente, renta e información de medios magnéticos presentadas por terceros. Por lo anterior, consideró que la sanción que debió aplicarle era del 0.1 % del monto de la cuantía no informada.</w:t>
      </w:r>
    </w:p>
    <w:p w14:paraId="25E70202" w14:textId="77777777" w:rsidR="00CD63EB" w:rsidRPr="00CD63EB" w:rsidRDefault="00CD63EB" w:rsidP="00276A2E">
      <w:pPr>
        <w:widowControl w:val="0"/>
        <w:rPr>
          <w:rFonts w:ascii="Segoe UI" w:eastAsia="Times New Roman" w:hAnsi="Segoe UI" w:cs="Segoe UI"/>
          <w:szCs w:val="24"/>
          <w:lang w:val="es-CO" w:eastAsia="es-ES"/>
        </w:rPr>
      </w:pPr>
    </w:p>
    <w:p w14:paraId="2A44C8AA"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último, aseguró que, previo a la presentación de esta demanda, allegó a la Administración la totalidad de la información requerida para el año gravable 2009 (f. 13).</w:t>
      </w:r>
    </w:p>
    <w:p w14:paraId="2BD2F59B" w14:textId="77777777" w:rsidR="00CD63EB" w:rsidRPr="00CD63EB" w:rsidRDefault="00CD63EB" w:rsidP="00276A2E">
      <w:pPr>
        <w:widowControl w:val="0"/>
        <w:rPr>
          <w:rFonts w:ascii="Segoe UI" w:eastAsia="Times New Roman" w:hAnsi="Segoe UI" w:cs="Segoe UI"/>
          <w:szCs w:val="24"/>
          <w:lang w:val="es-CO" w:eastAsia="es-ES"/>
        </w:rPr>
      </w:pPr>
    </w:p>
    <w:p w14:paraId="5724F899"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Contestación de la demanda</w:t>
      </w:r>
    </w:p>
    <w:p w14:paraId="4061F5C0" w14:textId="77777777" w:rsidR="00CD63EB" w:rsidRPr="00CD63EB" w:rsidRDefault="00CD63EB" w:rsidP="00276A2E">
      <w:pPr>
        <w:widowControl w:val="0"/>
        <w:rPr>
          <w:rFonts w:ascii="Segoe UI" w:eastAsia="Times New Roman" w:hAnsi="Segoe UI" w:cs="Segoe UI"/>
          <w:szCs w:val="24"/>
          <w:lang w:val="es-CO" w:eastAsia="es-ES"/>
        </w:rPr>
      </w:pPr>
    </w:p>
    <w:p w14:paraId="091D9D5F" w14:textId="77777777" w:rsidR="00CD63EB" w:rsidRPr="00CD63EB" w:rsidRDefault="00CD63EB" w:rsidP="00276A2E">
      <w:pPr>
        <w:widowControl w:val="0"/>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La apoderada de la DIAN contestó la demanda y se opuso a las pretensiones de la parte actora, en los siguientes términos (</w:t>
      </w:r>
      <w:proofErr w:type="spellStart"/>
      <w:r w:rsidRPr="00CD63EB">
        <w:rPr>
          <w:rFonts w:ascii="Segoe UI" w:eastAsia="Times New Roman" w:hAnsi="Segoe UI" w:cs="Segoe UI"/>
          <w:bCs/>
          <w:szCs w:val="24"/>
          <w:lang w:val="es-CO" w:eastAsia="es-ES"/>
        </w:rPr>
        <w:t>ff</w:t>
      </w:r>
      <w:proofErr w:type="spellEnd"/>
      <w:r w:rsidRPr="00CD63EB">
        <w:rPr>
          <w:rFonts w:ascii="Segoe UI" w:eastAsia="Times New Roman" w:hAnsi="Segoe UI" w:cs="Segoe UI"/>
          <w:bCs/>
          <w:szCs w:val="24"/>
          <w:lang w:val="es-CO" w:eastAsia="es-ES"/>
        </w:rPr>
        <w:t>. 77 a 85):</w:t>
      </w:r>
    </w:p>
    <w:p w14:paraId="502AF816"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1B7C5523"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Planteó que los actos demandados se encuentran debidamente motivados y contienen las razones de hecho y de derecho que dieron lugar a la sanción. Explicó que el acto administrativo está conformado por la parte motiva (anexo explicativo) y la parte resolutiva. Precisamente, en los considerandos de los actos demandados, la DIAN expresamente anunció que la demandante no presentó la información en medios magnéticos, según lo establecido en la Resolución 7935, del 28 de julio de 2009 y, por tanto, incurrió en el hecho sancionable contemplado en el artículo 651 del ET.</w:t>
      </w:r>
    </w:p>
    <w:p w14:paraId="0BDADDD5"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667CFE1B"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125E16">
        <w:rPr>
          <w:rFonts w:ascii="Segoe UI" w:eastAsia="Times New Roman" w:hAnsi="Segoe UI" w:cs="Segoe UI"/>
          <w:bCs/>
          <w:szCs w:val="24"/>
          <w:highlight w:val="yellow"/>
          <w:lang w:val="es-CO" w:eastAsia="es-ES"/>
        </w:rPr>
        <w:t>Sostuvo que, conforme a la doctrina y a la jurisprudencia actual, no es necesario señalar en el acto acusado cuál es el daño causado a la Administración por no enviar información, porque esa omisión por</w:t>
      </w:r>
      <w:r w:rsidRPr="00125E16">
        <w:rPr>
          <w:rFonts w:ascii="Segoe UI" w:eastAsia="Times New Roman" w:hAnsi="Segoe UI" w:cs="Segoe UI"/>
          <w:bCs/>
          <w:i/>
          <w:szCs w:val="24"/>
          <w:highlight w:val="yellow"/>
          <w:lang w:val="es-CO" w:eastAsia="es-ES"/>
        </w:rPr>
        <w:t xml:space="preserve"> </w:t>
      </w:r>
      <w:r w:rsidRPr="00125E16">
        <w:rPr>
          <w:rFonts w:ascii="Segoe UI" w:eastAsia="Times New Roman" w:hAnsi="Segoe UI" w:cs="Segoe UI"/>
          <w:bCs/>
          <w:szCs w:val="24"/>
          <w:highlight w:val="yellow"/>
          <w:lang w:val="es-CO" w:eastAsia="es-ES"/>
        </w:rPr>
        <w:t>sí misma obstaculiza</w:t>
      </w:r>
      <w:r w:rsidRPr="00125E16">
        <w:rPr>
          <w:rFonts w:ascii="Segoe UI" w:eastAsia="Times New Roman" w:hAnsi="Segoe UI" w:cs="Segoe UI"/>
          <w:bCs/>
          <w:i/>
          <w:szCs w:val="24"/>
          <w:highlight w:val="yellow"/>
          <w:lang w:val="es-CO" w:eastAsia="es-ES"/>
        </w:rPr>
        <w:t xml:space="preserve"> </w:t>
      </w:r>
      <w:r w:rsidRPr="00125E16">
        <w:rPr>
          <w:rFonts w:ascii="Segoe UI" w:eastAsia="Times New Roman" w:hAnsi="Segoe UI" w:cs="Segoe UI"/>
          <w:bCs/>
          <w:szCs w:val="24"/>
          <w:highlight w:val="yellow"/>
          <w:lang w:val="es-CO" w:eastAsia="es-ES"/>
        </w:rPr>
        <w:t>la facultad de la Administración para fiscalizar.</w:t>
      </w:r>
    </w:p>
    <w:p w14:paraId="642D47D2"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3829205A"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Por otra parte, frente al porcentaje de la sanción aplicada, señaló que de acuerdo con la Resolución 11774 de 2005, era procedente sancionar con el 5 % sobre la sumatoria de la información no suministrada.</w:t>
      </w:r>
    </w:p>
    <w:p w14:paraId="1CCAE71A"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2F109215"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 xml:space="preserve">En torno al cargo de </w:t>
      </w:r>
      <w:r w:rsidRPr="00CD63EB">
        <w:rPr>
          <w:rFonts w:ascii="Segoe UI" w:eastAsia="Times New Roman" w:hAnsi="Segoe UI" w:cs="Segoe UI"/>
          <w:szCs w:val="24"/>
          <w:lang w:val="es-CO" w:eastAsia="es-ES"/>
        </w:rPr>
        <w:t>«</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xml:space="preserve">» </w:t>
      </w:r>
      <w:r w:rsidRPr="00CD63EB">
        <w:rPr>
          <w:rFonts w:ascii="Segoe UI" w:eastAsia="Times New Roman" w:hAnsi="Segoe UI" w:cs="Segoe UI"/>
          <w:bCs/>
          <w:szCs w:val="24"/>
          <w:lang w:val="es-CO" w:eastAsia="es-ES"/>
        </w:rPr>
        <w:t>formulado por la demandante, adujo que el término de dos años, con que cuenta la entidad demandada para notificar el pliego de cargos, se contabiliza a partir de la fecha en la que se presente la declaración del impuesto sobre la renta del año en que se incurra en la irregularidad sancionable.</w:t>
      </w:r>
    </w:p>
    <w:p w14:paraId="29C10DF7"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6E418A81"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Que, en el presente caso, la demandante debió presentar la información en medios magnéticos el 26 de abril de 2010, de conformidad con la Resolución 7935 de 2009. En ese año la actora incurrió en el hecho sancionable de no presentar la información, así que los dos años para que la Administración ejercitara la facultad sancionatoria, debían partir del momento en el cual la actora tenía que presentar la declaración del impuesto sobre la renta y complementarios del año en que incurrió en la infracción, esto es, del año 2010.</w:t>
      </w:r>
    </w:p>
    <w:p w14:paraId="636B6588"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2A22F730"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Agregó, que, el 29 de marzo de 2011, la demandante presentó la declaración del impuesto sobre la renta del período fiscal 2010. Luego, indicó que, a la luz del artículo 638 del ET, la facultad sancionatoria vencía a los dos años siguientes de la fecha de presentación de la declaración del impuesto de renta del año gravable 2010, es decir, el 29 de marzo de 2013.</w:t>
      </w:r>
    </w:p>
    <w:p w14:paraId="1A71ABAE"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15D3F161"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 xml:space="preserve">De conformidad con lo anterior, concluyó que no hubo </w:t>
      </w:r>
      <w:r w:rsidRPr="00CD63EB">
        <w:rPr>
          <w:rFonts w:ascii="Segoe UI" w:eastAsia="Times New Roman" w:hAnsi="Segoe UI" w:cs="Segoe UI"/>
          <w:szCs w:val="24"/>
          <w:lang w:val="es-CO" w:eastAsia="es-ES"/>
        </w:rPr>
        <w:t>«</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xml:space="preserve">» </w:t>
      </w:r>
      <w:r w:rsidRPr="00CD63EB">
        <w:rPr>
          <w:rFonts w:ascii="Segoe UI" w:eastAsia="Times New Roman" w:hAnsi="Segoe UI" w:cs="Segoe UI"/>
          <w:bCs/>
          <w:szCs w:val="24"/>
          <w:lang w:val="es-CO" w:eastAsia="es-ES"/>
        </w:rPr>
        <w:t>de la potestad sancionadora, en la medida en que el pliego de cargos fue proferido el 26 de septiembre de 2012 y, asimismo, el acto sancionatorio fue expedido el 8 de mayo de 2013.</w:t>
      </w:r>
    </w:p>
    <w:p w14:paraId="7EDFCE6E"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6AFF5B01"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Finalmente, estimó que no procedía la graduación de la sanción demandada, ya que la actora no presentó la información exógena durante la actuación administrativa.</w:t>
      </w:r>
    </w:p>
    <w:p w14:paraId="615317BE" w14:textId="77777777" w:rsidR="00CD63EB" w:rsidRPr="00CD63EB" w:rsidRDefault="00CD63EB" w:rsidP="00276A2E">
      <w:pPr>
        <w:widowControl w:val="0"/>
        <w:overflowPunct w:val="0"/>
        <w:adjustRightInd w:val="0"/>
        <w:textAlignment w:val="baseline"/>
        <w:rPr>
          <w:rFonts w:ascii="Segoe UI" w:eastAsia="Times New Roman" w:hAnsi="Segoe UI" w:cs="Segoe UI"/>
          <w:bCs/>
          <w:szCs w:val="24"/>
          <w:lang w:val="es-CO" w:eastAsia="es-ES"/>
        </w:rPr>
      </w:pPr>
    </w:p>
    <w:p w14:paraId="4BC2C0E5"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Sentencia apelada</w:t>
      </w:r>
    </w:p>
    <w:p w14:paraId="096EE81D" w14:textId="77777777" w:rsidR="00CD63EB" w:rsidRPr="00CD63EB" w:rsidRDefault="00CD63EB" w:rsidP="00276A2E">
      <w:pPr>
        <w:widowControl w:val="0"/>
        <w:rPr>
          <w:rFonts w:ascii="Segoe UI" w:eastAsia="Times New Roman" w:hAnsi="Segoe UI" w:cs="Segoe UI"/>
          <w:szCs w:val="24"/>
          <w:lang w:val="es-CO" w:eastAsia="es-ES"/>
        </w:rPr>
      </w:pPr>
    </w:p>
    <w:p w14:paraId="7ECB489E" w14:textId="77777777" w:rsidR="00CD63EB" w:rsidRPr="00125E16" w:rsidRDefault="00CD63EB" w:rsidP="00276A2E">
      <w:pPr>
        <w:widowControl w:val="0"/>
        <w:rPr>
          <w:rFonts w:ascii="Segoe UI" w:eastAsia="Times New Roman" w:hAnsi="Segoe UI" w:cs="Segoe UI"/>
          <w:szCs w:val="24"/>
          <w:highlight w:val="yellow"/>
          <w:lang w:val="es-CO" w:eastAsia="es-ES"/>
        </w:rPr>
      </w:pPr>
      <w:r w:rsidRPr="00125E16">
        <w:rPr>
          <w:rFonts w:ascii="Segoe UI" w:eastAsia="Times New Roman" w:hAnsi="Segoe UI" w:cs="Segoe UI"/>
          <w:szCs w:val="24"/>
          <w:highlight w:val="yellow"/>
          <w:lang w:val="es-CO" w:eastAsia="es-ES"/>
        </w:rPr>
        <w:t>El tribunal anuló parcialmente los actos administrativos demandados y, a título de restablecimiento del derecho, declaró que la Administración debía liquidar la sanción aplicando el 0.5 % sobre la suma de la información no suministrada.</w:t>
      </w:r>
    </w:p>
    <w:p w14:paraId="57ADDC6B" w14:textId="77777777" w:rsidR="00CD63EB" w:rsidRPr="00125E16" w:rsidRDefault="00CD63EB" w:rsidP="00276A2E">
      <w:pPr>
        <w:widowControl w:val="0"/>
        <w:rPr>
          <w:rFonts w:ascii="Segoe UI" w:eastAsia="Times New Roman" w:hAnsi="Segoe UI" w:cs="Segoe UI"/>
          <w:szCs w:val="24"/>
          <w:highlight w:val="yellow"/>
          <w:lang w:val="es-CO" w:eastAsia="es-ES"/>
        </w:rPr>
      </w:pPr>
    </w:p>
    <w:p w14:paraId="43EDDB00" w14:textId="77777777" w:rsidR="00CD63EB" w:rsidRPr="00CD63EB" w:rsidRDefault="00CD63EB" w:rsidP="00276A2E">
      <w:pPr>
        <w:widowControl w:val="0"/>
        <w:rPr>
          <w:rFonts w:ascii="Segoe UI" w:eastAsia="Times New Roman" w:hAnsi="Segoe UI" w:cs="Segoe UI"/>
          <w:szCs w:val="24"/>
          <w:lang w:val="es-CO" w:eastAsia="es-ES"/>
        </w:rPr>
      </w:pPr>
      <w:r w:rsidRPr="00125E16">
        <w:rPr>
          <w:rFonts w:ascii="Segoe UI" w:eastAsia="Times New Roman" w:hAnsi="Segoe UI" w:cs="Segoe UI"/>
          <w:szCs w:val="24"/>
          <w:highlight w:val="yellow"/>
          <w:lang w:val="es-CO" w:eastAsia="es-ES"/>
        </w:rPr>
        <w:t>Al respecto, explicó que, aunque la información se presentó después de notificada la resolución que resolvió el recurso de reconsideración objeto de impugnación y, por lo tanto, no cumplió los requisitos de gradualidad del artículo 651 del ET, procedía la disminución de la sanción en atención a los principios de equidad y razonabilidad.</w:t>
      </w:r>
    </w:p>
    <w:p w14:paraId="16F75895" w14:textId="77777777" w:rsidR="00CD63EB" w:rsidRPr="00CD63EB" w:rsidRDefault="00CD63EB" w:rsidP="00276A2E">
      <w:pPr>
        <w:widowControl w:val="0"/>
        <w:rPr>
          <w:rFonts w:ascii="Segoe UI" w:eastAsia="Times New Roman" w:hAnsi="Segoe UI" w:cs="Segoe UI"/>
          <w:szCs w:val="24"/>
          <w:lang w:val="es-CO" w:eastAsia="es-ES"/>
        </w:rPr>
      </w:pPr>
    </w:p>
    <w:p w14:paraId="2A0E0DD8"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Sobre los demás cargos, consideró que la actora efectuó una interpretación errada del artículo 651 del ET, ya que el término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 la facultad sancionadora se contabiliza a partir de la fecha en que la contribuyente presentó, o debió presentar, la declaración de renta del año en el que venció el plazo fijado para cumplir dicha obligación formal. Por lo cual, no prosperó el cargo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dado que el pliego de cargos se expidió dentro de los dos años siguientes a la presentación de la declaración del impuesto de renta del año gravable 2009.</w:t>
      </w:r>
    </w:p>
    <w:p w14:paraId="7835D668" w14:textId="77777777" w:rsidR="00CD63EB" w:rsidRPr="00CD63EB" w:rsidRDefault="00CD63EB" w:rsidP="00276A2E">
      <w:pPr>
        <w:widowControl w:val="0"/>
        <w:rPr>
          <w:rFonts w:ascii="Segoe UI" w:eastAsia="Times New Roman" w:hAnsi="Segoe UI" w:cs="Segoe UI"/>
          <w:szCs w:val="24"/>
          <w:lang w:val="es-CO" w:eastAsia="es-ES"/>
        </w:rPr>
      </w:pPr>
    </w:p>
    <w:p w14:paraId="446F43C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Sostuvo que, contrario a lo afirmado por la parte actora, de las pruebas aportadas en el </w:t>
      </w:r>
      <w:r w:rsidRPr="00CD63EB">
        <w:rPr>
          <w:rFonts w:ascii="Segoe UI" w:eastAsia="Times New Roman" w:hAnsi="Segoe UI" w:cs="Segoe UI"/>
          <w:szCs w:val="24"/>
          <w:lang w:val="es-CO" w:eastAsia="es-ES"/>
        </w:rPr>
        <w:lastRenderedPageBreak/>
        <w:t>expediente se constata que los actos demandados señalaron expresamente que la conducta objeto de sanción fue la omisión del deber formal de enviar información en medios magnéticos del año gravable 2009. Asimismo, expresó que la demandante pudo ejercer el derecho de defensa contra los actos demandados.</w:t>
      </w:r>
    </w:p>
    <w:p w14:paraId="7B88D83A" w14:textId="77777777" w:rsidR="00CD63EB" w:rsidRPr="00CD63EB" w:rsidRDefault="00CD63EB" w:rsidP="00276A2E">
      <w:pPr>
        <w:widowControl w:val="0"/>
        <w:rPr>
          <w:rFonts w:ascii="Segoe UI" w:eastAsia="Times New Roman" w:hAnsi="Segoe UI" w:cs="Segoe UI"/>
          <w:szCs w:val="24"/>
          <w:lang w:val="es-CO" w:eastAsia="es-ES"/>
        </w:rPr>
      </w:pPr>
    </w:p>
    <w:p w14:paraId="4BDC1138" w14:textId="77777777" w:rsidR="00CD63EB" w:rsidRPr="00CD63EB" w:rsidRDefault="00CD63EB" w:rsidP="00276A2E">
      <w:pPr>
        <w:widowControl w:val="0"/>
        <w:overflowPunct w:val="0"/>
        <w:adjustRightInd w:val="0"/>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Recurso de apelación</w:t>
      </w:r>
    </w:p>
    <w:p w14:paraId="548D7DC4" w14:textId="77777777" w:rsidR="00CD63EB" w:rsidRPr="00CD63EB" w:rsidRDefault="00CD63EB" w:rsidP="00276A2E">
      <w:pPr>
        <w:widowControl w:val="0"/>
        <w:rPr>
          <w:rFonts w:ascii="Segoe UI" w:eastAsia="Times New Roman" w:hAnsi="Segoe UI" w:cs="Segoe UI"/>
          <w:b/>
          <w:szCs w:val="24"/>
          <w:lang w:val="es-CO" w:eastAsia="es-ES"/>
        </w:rPr>
      </w:pPr>
    </w:p>
    <w:p w14:paraId="531E9BAC"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Las partes</w:t>
      </w:r>
      <w:r w:rsidRPr="00CD63EB">
        <w:rPr>
          <w:rFonts w:ascii="Segoe UI" w:eastAsia="Times New Roman" w:hAnsi="Segoe UI" w:cs="Segoe UI"/>
          <w:szCs w:val="24"/>
          <w:lang w:val="es-CO" w:eastAsia="es-ES"/>
        </w:rPr>
        <w:t xml:space="preserve"> apelaron la decisión del tribunal. Las razones de inconformidad con la sentencia se resumen a continuación:</w:t>
      </w:r>
    </w:p>
    <w:p w14:paraId="5846FCA9" w14:textId="77777777" w:rsidR="00CD63EB" w:rsidRPr="00CD63EB" w:rsidRDefault="00CD63EB" w:rsidP="00276A2E">
      <w:pPr>
        <w:widowControl w:val="0"/>
        <w:rPr>
          <w:rFonts w:ascii="Segoe UI" w:eastAsia="Times New Roman" w:hAnsi="Segoe UI" w:cs="Segoe UI"/>
          <w:szCs w:val="24"/>
          <w:lang w:val="es-CO" w:eastAsia="es-ES"/>
        </w:rPr>
      </w:pPr>
    </w:p>
    <w:p w14:paraId="3657BDCE"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La parte actora</w:t>
      </w:r>
      <w:r w:rsidRPr="00CD63EB">
        <w:rPr>
          <w:rFonts w:ascii="Segoe UI" w:eastAsia="Times New Roman" w:hAnsi="Segoe UI" w:cs="Segoe UI"/>
          <w:szCs w:val="24"/>
          <w:lang w:val="es-CO" w:eastAsia="es-ES"/>
        </w:rPr>
        <w:t xml:space="preserve"> reiteró los argumentos de la demanda respecto de: (i) la falta de señalamiento en los actos demandados de la conducta sancionable y del daño causado; y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la graduación de la sanción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157 a 162).</w:t>
      </w:r>
    </w:p>
    <w:p w14:paraId="5F195C94" w14:textId="77777777" w:rsidR="00CD63EB" w:rsidRPr="00CD63EB" w:rsidRDefault="00CD63EB" w:rsidP="00276A2E">
      <w:pPr>
        <w:widowControl w:val="0"/>
        <w:rPr>
          <w:rFonts w:ascii="Segoe UI" w:eastAsia="Times New Roman" w:hAnsi="Segoe UI" w:cs="Segoe UI"/>
          <w:szCs w:val="24"/>
          <w:lang w:val="es-CO" w:eastAsia="es-ES"/>
        </w:rPr>
      </w:pPr>
    </w:p>
    <w:p w14:paraId="6B018450"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A su turno, </w:t>
      </w:r>
      <w:r w:rsidRPr="00CD63EB">
        <w:rPr>
          <w:rFonts w:ascii="Segoe UI" w:eastAsia="Times New Roman" w:hAnsi="Segoe UI" w:cs="Segoe UI"/>
          <w:b/>
          <w:szCs w:val="24"/>
          <w:lang w:val="es-CO" w:eastAsia="es-ES"/>
        </w:rPr>
        <w:t>la DIAN</w:t>
      </w:r>
      <w:r w:rsidRPr="00CD63EB">
        <w:rPr>
          <w:rFonts w:ascii="Segoe UI" w:eastAsia="Times New Roman" w:hAnsi="Segoe UI" w:cs="Segoe UI"/>
          <w:szCs w:val="24"/>
          <w:lang w:val="es-CO" w:eastAsia="es-ES"/>
        </w:rPr>
        <w:t xml:space="preserve"> reiteró los argumentos de la contestación de la demanda relacionados con la improcedencia de la graduación de la sanción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163 y 164).</w:t>
      </w:r>
    </w:p>
    <w:p w14:paraId="343DD624"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434CFE44" w14:textId="77777777" w:rsidR="00CD63EB" w:rsidRPr="00CD63EB" w:rsidRDefault="00CD63EB" w:rsidP="00276A2E">
      <w:pPr>
        <w:widowControl w:val="0"/>
        <w:overflowPunct w:val="0"/>
        <w:adjustRightInd w:val="0"/>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Alegatos de conclusión</w:t>
      </w:r>
    </w:p>
    <w:p w14:paraId="7BC352B6"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0F49126C"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Las </w:t>
      </w:r>
      <w:r w:rsidRPr="00CD63EB">
        <w:rPr>
          <w:rFonts w:ascii="Segoe UI" w:eastAsia="Times New Roman" w:hAnsi="Segoe UI" w:cs="Segoe UI"/>
          <w:b/>
          <w:szCs w:val="24"/>
          <w:lang w:val="es-CO" w:eastAsia="es-ES"/>
        </w:rPr>
        <w:t>partes</w:t>
      </w:r>
      <w:r w:rsidRPr="00CD63EB">
        <w:rPr>
          <w:rFonts w:ascii="Segoe UI" w:eastAsia="Times New Roman" w:hAnsi="Segoe UI" w:cs="Segoe UI"/>
          <w:szCs w:val="24"/>
          <w:lang w:val="es-CO" w:eastAsia="es-ES"/>
        </w:rPr>
        <w:t xml:space="preserve"> reiteraron los argumentos del escrito de apelación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184 a 191).</w:t>
      </w:r>
    </w:p>
    <w:p w14:paraId="015467EB" w14:textId="77777777" w:rsidR="00CD63EB" w:rsidRPr="00CD63EB" w:rsidRDefault="00CD63EB" w:rsidP="00276A2E">
      <w:pPr>
        <w:widowControl w:val="0"/>
        <w:rPr>
          <w:rFonts w:ascii="Segoe UI" w:eastAsia="Times New Roman" w:hAnsi="Segoe UI" w:cs="Segoe UI"/>
          <w:szCs w:val="24"/>
          <w:lang w:val="es-CO" w:eastAsia="es-ES"/>
        </w:rPr>
      </w:pPr>
    </w:p>
    <w:p w14:paraId="1E235C11" w14:textId="77777777" w:rsidR="00CD63EB" w:rsidRPr="00CD63EB" w:rsidRDefault="00CD63EB" w:rsidP="00276A2E">
      <w:pPr>
        <w:widowControl w:val="0"/>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Concepto del ministerio público</w:t>
      </w:r>
    </w:p>
    <w:p w14:paraId="4D8FCCC5" w14:textId="77777777" w:rsidR="00CD63EB" w:rsidRPr="00CD63EB" w:rsidRDefault="00CD63EB" w:rsidP="00276A2E">
      <w:pPr>
        <w:widowControl w:val="0"/>
        <w:rPr>
          <w:rFonts w:ascii="Segoe UI" w:eastAsia="Times New Roman" w:hAnsi="Segoe UI" w:cs="Segoe UI"/>
          <w:szCs w:val="24"/>
          <w:lang w:val="es-CO" w:eastAsia="es-ES"/>
        </w:rPr>
      </w:pPr>
    </w:p>
    <w:p w14:paraId="20AF89A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El </w:t>
      </w:r>
      <w:r w:rsidRPr="00CD63EB">
        <w:rPr>
          <w:rFonts w:ascii="Segoe UI" w:eastAsia="Times New Roman" w:hAnsi="Segoe UI" w:cs="Segoe UI"/>
          <w:b/>
          <w:szCs w:val="24"/>
          <w:lang w:val="es-CO" w:eastAsia="es-ES"/>
        </w:rPr>
        <w:t>Ministerio Público</w:t>
      </w:r>
      <w:r w:rsidRPr="00CD63EB">
        <w:rPr>
          <w:rFonts w:ascii="Segoe UI" w:eastAsia="Times New Roman" w:hAnsi="Segoe UI" w:cs="Segoe UI"/>
          <w:szCs w:val="24"/>
          <w:lang w:val="es-CO" w:eastAsia="es-ES"/>
        </w:rPr>
        <w:t xml:space="preserve"> solicitó que se confirme la sentencia de primer grado, pues considera que, a pesar de que la demandante entregó de forma extemporánea la información requerida, procedía la disminución de la sanción en los términos señalados por el tribunal. Respecto de los demás cargos, indicó que son improcedentes, pues los actos están debidamente motivados y la Administración no estaba obligada a señalar expresamente el daño causado con la omisión.</w:t>
      </w:r>
    </w:p>
    <w:p w14:paraId="0941ADC8" w14:textId="77777777" w:rsidR="00CD63EB" w:rsidRPr="00CD63EB" w:rsidRDefault="00CD63EB" w:rsidP="00276A2E">
      <w:pPr>
        <w:widowControl w:val="0"/>
        <w:jc w:val="center"/>
        <w:rPr>
          <w:rFonts w:ascii="Segoe UI" w:eastAsia="Times New Roman" w:hAnsi="Segoe UI" w:cs="Segoe UI"/>
          <w:szCs w:val="24"/>
          <w:lang w:val="es-CO" w:eastAsia="es-ES"/>
        </w:rPr>
      </w:pPr>
    </w:p>
    <w:p w14:paraId="37B495C4" w14:textId="77777777" w:rsidR="00CD63EB" w:rsidRPr="00CD63EB" w:rsidRDefault="00CD63EB" w:rsidP="00276A2E">
      <w:pPr>
        <w:widowControl w:val="0"/>
        <w:overflowPunct w:val="0"/>
        <w:adjustRightInd w:val="0"/>
        <w:jc w:val="center"/>
        <w:textAlignment w:val="baseline"/>
        <w:rPr>
          <w:rFonts w:ascii="Segoe UI" w:eastAsia="Times New Roman" w:hAnsi="Segoe UI" w:cs="Segoe UI"/>
          <w:b/>
          <w:szCs w:val="24"/>
          <w:lang w:val="es-CO" w:eastAsia="es-ES"/>
        </w:rPr>
      </w:pPr>
      <w:r w:rsidRPr="00125E16">
        <w:rPr>
          <w:rFonts w:ascii="Segoe UI" w:eastAsia="Times New Roman" w:hAnsi="Segoe UI" w:cs="Segoe UI"/>
          <w:b/>
          <w:szCs w:val="24"/>
          <w:highlight w:val="cyan"/>
          <w:lang w:val="es-CO" w:eastAsia="es-ES"/>
        </w:rPr>
        <w:t>CONSIDERACIONES DE LA SALA</w:t>
      </w:r>
    </w:p>
    <w:p w14:paraId="25E25E51"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7849024B"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1- En los términos de los recursos de apelación interpuestos por las partes, la Sala decide sobre la legalidad de la Resolución 322412013000330, del 8 de mayo de 2013, que impuso </w:t>
      </w:r>
      <w:r w:rsidRPr="00CD63EB">
        <w:rPr>
          <w:rFonts w:ascii="Segoe UI" w:eastAsia="Times New Roman" w:hAnsi="Segoe UI" w:cs="Segoe UI"/>
          <w:szCs w:val="24"/>
          <w:lang w:val="es-CO" w:eastAsia="es-ES"/>
        </w:rPr>
        <w:lastRenderedPageBreak/>
        <w:t>a la parte actora sanción por no enviar información del año gravable 2009, y de la Resolución 900.132, del 26 de mayo de 2014, que confirmó íntegramente el acto impugnado.</w:t>
      </w:r>
    </w:p>
    <w:p w14:paraId="23E9F248"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61007185"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concreto, se debe determinar: (i) si los actos son nulos por falta de motivación al no señalar la conducta objeto de sanción y el daño causado a la Administración; y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si procede la graduación de la sanción por no enviar información, en los términos previstos por el tribunal de primera instancia.</w:t>
      </w:r>
    </w:p>
    <w:p w14:paraId="690FF273"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23D51EA4"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2- Para resolver sobre la legalidad de los actos acusados, se tienen como probados los siguientes hechos:</w:t>
      </w:r>
    </w:p>
    <w:p w14:paraId="42052C88" w14:textId="77777777" w:rsidR="00CD63EB" w:rsidRPr="00CD63EB" w:rsidRDefault="00CD63EB" w:rsidP="00276A2E">
      <w:pPr>
        <w:widowControl w:val="0"/>
        <w:rPr>
          <w:rFonts w:ascii="Segoe UI" w:eastAsia="Times New Roman" w:hAnsi="Segoe UI" w:cs="Segoe UI"/>
          <w:szCs w:val="24"/>
          <w:lang w:val="es-CO" w:eastAsia="es-ES"/>
        </w:rPr>
      </w:pPr>
    </w:p>
    <w:p w14:paraId="5B8A24A9"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 El 26 de septiembre de 2012, mediante el Pliego de Cargos nro. 322402012000375, la DIAN propuso a la demandante una sanción por no reportar información en medios magnéticos por el año 2009, consistente en la suma de $356.445.000. Dicha sanción correspondía a la máxima prevista en la letra a) del artículo 651 del ET, equivalente a 15.000 UVT, calculada con la UVT vigente para el año 2009 ($23.763). Según el pliego de cargos, la demandante no presentó información por valor de $25.575.687.000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43 a 48 ca).</w:t>
      </w:r>
    </w:p>
    <w:p w14:paraId="52E0C405" w14:textId="77777777" w:rsidR="00125E16" w:rsidRDefault="00125E16" w:rsidP="00276A2E">
      <w:pPr>
        <w:widowControl w:val="0"/>
        <w:overflowPunct w:val="0"/>
        <w:adjustRightInd w:val="0"/>
        <w:textAlignment w:val="baseline"/>
        <w:rPr>
          <w:rFonts w:ascii="Segoe UI" w:eastAsia="Times New Roman" w:hAnsi="Segoe UI" w:cs="Segoe UI"/>
          <w:szCs w:val="24"/>
          <w:lang w:val="es-CO" w:eastAsia="es-ES"/>
        </w:rPr>
      </w:pPr>
    </w:p>
    <w:p w14:paraId="5DAD5DA1" w14:textId="522E3CD6"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El 13 de noviembre 2012, la parte actora contestó el pliego de cargos, en el que adujo la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 la facultad sancionadora de la Administración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55 a 57 ca).</w:t>
      </w:r>
    </w:p>
    <w:p w14:paraId="0A96B1C3" w14:textId="77777777" w:rsidR="00125E16" w:rsidRDefault="00125E16" w:rsidP="00276A2E">
      <w:pPr>
        <w:widowControl w:val="0"/>
        <w:overflowPunct w:val="0"/>
        <w:adjustRightInd w:val="0"/>
        <w:textAlignment w:val="baseline"/>
        <w:rPr>
          <w:rFonts w:ascii="Segoe UI" w:eastAsia="Times New Roman" w:hAnsi="Segoe UI" w:cs="Segoe UI"/>
          <w:szCs w:val="24"/>
          <w:lang w:val="es-CO" w:eastAsia="es-ES"/>
        </w:rPr>
      </w:pPr>
    </w:p>
    <w:p w14:paraId="5EEDDB74" w14:textId="226B5488"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El 8 de mayo de 2013, mediante la Resolución 322412013000330, la DIAN le impuso a la demandante la sanción por no enviar información en medios magnéticos por el año 2009, en el monto de $356.445.000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88 a 96 c a).</w:t>
      </w:r>
    </w:p>
    <w:p w14:paraId="32A15BB7" w14:textId="77777777" w:rsidR="00125E16" w:rsidRDefault="00125E16" w:rsidP="00276A2E">
      <w:pPr>
        <w:widowControl w:val="0"/>
        <w:overflowPunct w:val="0"/>
        <w:adjustRightInd w:val="0"/>
        <w:textAlignment w:val="baseline"/>
        <w:rPr>
          <w:rFonts w:ascii="Segoe UI" w:eastAsia="Times New Roman" w:hAnsi="Segoe UI" w:cs="Segoe UI"/>
          <w:szCs w:val="24"/>
          <w:lang w:val="es-CO" w:eastAsia="es-ES"/>
        </w:rPr>
      </w:pPr>
    </w:p>
    <w:p w14:paraId="6608D58B" w14:textId="13CCCB56"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iv</w:t>
      </w:r>
      <w:proofErr w:type="spellEnd"/>
      <w:r w:rsidRPr="00CD63EB">
        <w:rPr>
          <w:rFonts w:ascii="Segoe UI" w:eastAsia="Times New Roman" w:hAnsi="Segoe UI" w:cs="Segoe UI"/>
          <w:szCs w:val="24"/>
          <w:lang w:val="es-CO" w:eastAsia="es-ES"/>
        </w:rPr>
        <w:t>) El 27 de junio de 2013, la actora interpuso recurso de reconsideración contra la resolución sancionadora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102 a 112).</w:t>
      </w:r>
    </w:p>
    <w:p w14:paraId="3512C999" w14:textId="77777777" w:rsidR="00125E16" w:rsidRDefault="00125E16" w:rsidP="00276A2E">
      <w:pPr>
        <w:widowControl w:val="0"/>
        <w:rPr>
          <w:rFonts w:ascii="Segoe UI" w:eastAsia="Times New Roman" w:hAnsi="Segoe UI" w:cs="Segoe UI"/>
          <w:szCs w:val="24"/>
          <w:lang w:val="es-CO" w:eastAsia="es-ES"/>
        </w:rPr>
      </w:pPr>
    </w:p>
    <w:p w14:paraId="7BF51E9E" w14:textId="73483B2B"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(v) El 26 de mayo de 2014, a través de la Resolución 900.132, la DIAN resolvió el recurso de reconsideración y confirmó el acto sancionatorio.</w:t>
      </w:r>
    </w:p>
    <w:p w14:paraId="05A48D89" w14:textId="77777777" w:rsidR="00CD63EB" w:rsidRPr="00CD63EB" w:rsidRDefault="00CD63EB" w:rsidP="00276A2E">
      <w:pPr>
        <w:widowControl w:val="0"/>
        <w:rPr>
          <w:rFonts w:ascii="Segoe UI" w:eastAsia="Times New Roman" w:hAnsi="Segoe UI" w:cs="Segoe UI"/>
          <w:szCs w:val="24"/>
          <w:lang w:val="es-CO" w:eastAsia="es-ES"/>
        </w:rPr>
      </w:pPr>
    </w:p>
    <w:p w14:paraId="14D6773F"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3- La sujeción a la legalidad de la sanción impuesta a la demandante en los actos </w:t>
      </w:r>
      <w:r w:rsidRPr="00CD63EB">
        <w:rPr>
          <w:rFonts w:ascii="Segoe UI" w:eastAsia="Times New Roman" w:hAnsi="Segoe UI" w:cs="Segoe UI"/>
          <w:szCs w:val="24"/>
          <w:lang w:val="es-CO" w:eastAsia="es-ES"/>
        </w:rPr>
        <w:lastRenderedPageBreak/>
        <w:t xml:space="preserve">acusados, depende de lo regulado en la Resolución 7935 de 2009, acerca del deber de presentar en 2010 la información fiscalmente relevante correspondiente al período 2009, indicada en las letras a), b), c), d), e), f), h), i) y k) del artículo 631 del ET; así como de la tipificación realizada (para la época de los hechos) en el artículo 651 </w:t>
      </w:r>
      <w:proofErr w:type="spellStart"/>
      <w:r w:rsidRPr="00CD63EB">
        <w:rPr>
          <w:rFonts w:ascii="Segoe UI" w:eastAsia="Times New Roman" w:hAnsi="Segoe UI" w:cs="Segoe UI"/>
          <w:i/>
          <w:szCs w:val="24"/>
          <w:lang w:val="es-CO" w:eastAsia="es-ES"/>
        </w:rPr>
        <w:t>ibídem</w:t>
      </w:r>
      <w:proofErr w:type="spellEnd"/>
      <w:r w:rsidRPr="00CD63EB">
        <w:rPr>
          <w:rFonts w:ascii="Segoe UI" w:eastAsia="Times New Roman" w:hAnsi="Segoe UI" w:cs="Segoe UI"/>
          <w:szCs w:val="24"/>
          <w:lang w:val="es-CO" w:eastAsia="es-ES"/>
        </w:rPr>
        <w:t xml:space="preserve"> de las conductas infractoras relacionadas con el incumplimiento del deber de informar y de los mecanismos de reducción de la sanción.</w:t>
      </w:r>
    </w:p>
    <w:p w14:paraId="02A96164" w14:textId="77777777" w:rsidR="00CD63EB" w:rsidRPr="00CD63EB" w:rsidRDefault="00CD63EB" w:rsidP="00276A2E">
      <w:pPr>
        <w:widowControl w:val="0"/>
        <w:rPr>
          <w:rFonts w:ascii="Segoe UI" w:eastAsia="Times New Roman" w:hAnsi="Segoe UI" w:cs="Segoe UI"/>
          <w:szCs w:val="24"/>
          <w:lang w:val="es-CO" w:eastAsia="es-ES"/>
        </w:rPr>
      </w:pPr>
    </w:p>
    <w:p w14:paraId="3709E0F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De acuerdo con el artículo 651 del ET (según la redacción entonces vigente), los obligados a suministrar información podrán ser sancionados si: (i) omiten suministrar la información a cuya entrega están sujetos;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no brindan la información en el plazo fijado;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presentan la información con errores y/o; (</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entregan información que no corresponde con lo solicitado. Una vez detectada la comisión de alguna de las anteriores infracciones, la sanción a imponer se reducirá al 10 % de la cuantía planteada en el pliego de cargos, si la omisión es subsanada antes de que se notifique la imposición de la sanción, o al 20 % de la sanción impuesta mediante resolución, si la omisión es subsanada dentro de los dos (2) meses siguientes a la fecha de notificación la sanción.</w:t>
      </w:r>
    </w:p>
    <w:p w14:paraId="110840F2" w14:textId="77777777" w:rsidR="00CD63EB" w:rsidRPr="00CD63EB" w:rsidRDefault="00CD63EB" w:rsidP="00276A2E">
      <w:pPr>
        <w:widowControl w:val="0"/>
        <w:rPr>
          <w:rFonts w:ascii="Segoe UI" w:eastAsia="Times New Roman" w:hAnsi="Segoe UI" w:cs="Segoe UI"/>
          <w:szCs w:val="24"/>
          <w:lang w:val="es-CO" w:eastAsia="es-ES"/>
        </w:rPr>
      </w:pPr>
    </w:p>
    <w:p w14:paraId="04B04CE6" w14:textId="77777777" w:rsidR="00CD63EB" w:rsidRPr="00CD63EB" w:rsidRDefault="00CD63EB" w:rsidP="00276A2E">
      <w:pPr>
        <w:widowControl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Si bien el artículo 651 del ET tipifica tres hechos diferenciables y constitutivos de infracciones autónomas, a saber (i) la omisión de entregar información;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la extemporaneidad en el cumplimiento del deber; y (</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xml:space="preserve">) la comisión de errores; lo cierto es que la autoridad tributaria, al iniciar la actuación administrativa por la omisión de entregar la información podrá culminarla por este mismo hecho, independientemente de que el contribuyente, en el curso del procedimiento sancionador que se siga, haya adelantado las actividades de </w:t>
      </w:r>
      <w:proofErr w:type="spellStart"/>
      <w:r w:rsidRPr="00CD63EB">
        <w:rPr>
          <w:rFonts w:ascii="Segoe UI" w:eastAsia="Times New Roman" w:hAnsi="Segoe UI" w:cs="Segoe UI"/>
          <w:szCs w:val="24"/>
          <w:lang w:val="es-CO" w:eastAsia="es-ES"/>
        </w:rPr>
        <w:t>auto-regularización</w:t>
      </w:r>
      <w:proofErr w:type="spellEnd"/>
      <w:r w:rsidRPr="00CD63EB">
        <w:rPr>
          <w:rFonts w:ascii="Segoe UI" w:eastAsia="Times New Roman" w:hAnsi="Segoe UI" w:cs="Segoe UI"/>
          <w:szCs w:val="24"/>
          <w:lang w:val="es-CO" w:eastAsia="es-ES"/>
        </w:rPr>
        <w:t xml:space="preserve"> de la conducta infractora que le habilitan a aspirar a que la sanción definitiva se gradúe, habida consideración de su disposición a colaborar con la autoridad.</w:t>
      </w:r>
    </w:p>
    <w:p w14:paraId="7A82C3E1" w14:textId="77777777" w:rsidR="00CD63EB" w:rsidRPr="00CD63EB" w:rsidRDefault="00CD63EB" w:rsidP="00276A2E">
      <w:pPr>
        <w:widowControl w:val="0"/>
        <w:textAlignment w:val="baseline"/>
        <w:rPr>
          <w:rFonts w:ascii="Segoe UI" w:eastAsia="Times New Roman" w:hAnsi="Segoe UI" w:cs="Segoe UI"/>
          <w:szCs w:val="24"/>
          <w:lang w:val="es-CO" w:eastAsia="es-ES"/>
        </w:rPr>
      </w:pPr>
    </w:p>
    <w:p w14:paraId="05A19503" w14:textId="77777777" w:rsidR="00CD63EB" w:rsidRPr="00CD63EB" w:rsidRDefault="00CD63EB" w:rsidP="00276A2E">
      <w:pPr>
        <w:widowControl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Lo anterior significa que, cuando un administrado no ha aportado la información que está obligado a entregar y se profiere un pliego de cargos en el que se califica la conducta como una no presentación de la información, el artículo 651 habilita una instancia para que el infractor regularice su conducta ilícita entregando la información omitida. Por virtud de esa colaboración (siempre que atienda todos los requisitos fijados) se le impondrá de forma reducida una sanción por no informar, según sea el caso.</w:t>
      </w:r>
    </w:p>
    <w:p w14:paraId="22DE5AC0" w14:textId="77777777" w:rsidR="00CD63EB" w:rsidRPr="00CD63EB" w:rsidRDefault="00CD63EB" w:rsidP="00276A2E">
      <w:pPr>
        <w:widowControl w:val="0"/>
        <w:textAlignment w:val="baseline"/>
        <w:rPr>
          <w:rFonts w:ascii="Segoe UI" w:eastAsia="Times New Roman" w:hAnsi="Segoe UI" w:cs="Segoe UI"/>
          <w:szCs w:val="24"/>
          <w:lang w:val="es-CO" w:eastAsia="es-ES"/>
        </w:rPr>
      </w:pPr>
    </w:p>
    <w:p w14:paraId="474C363D" w14:textId="77777777" w:rsidR="00CD63EB" w:rsidRPr="00CD63EB" w:rsidRDefault="00CD63EB" w:rsidP="00276A2E">
      <w:pPr>
        <w:widowControl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lastRenderedPageBreak/>
        <w:t>Así, cuando se materializa la conducta infractora de no informar, la sanción a imponer, eventualmente (</w:t>
      </w:r>
      <w:r w:rsidRPr="00CD63EB">
        <w:rPr>
          <w:rFonts w:ascii="Segoe UI" w:eastAsia="Times New Roman" w:hAnsi="Segoe UI" w:cs="Segoe UI"/>
          <w:i/>
          <w:szCs w:val="24"/>
          <w:lang w:val="es-CO" w:eastAsia="es-ES"/>
        </w:rPr>
        <w:t xml:space="preserve">i.e. </w:t>
      </w:r>
      <w:r w:rsidRPr="00CD63EB">
        <w:rPr>
          <w:rFonts w:ascii="Segoe UI" w:eastAsia="Times New Roman" w:hAnsi="Segoe UI" w:cs="Segoe UI"/>
          <w:szCs w:val="24"/>
          <w:lang w:val="es-CO" w:eastAsia="es-ES"/>
        </w:rPr>
        <w:t>en función de que se cumplan todos los requisitos fijados en el artículo 651 del ET), podrá ser una sanción por no informar reducida, pero nunca, una sanción por extemporaneidad.</w:t>
      </w:r>
    </w:p>
    <w:p w14:paraId="51C9AEBB" w14:textId="77777777" w:rsidR="00CD63EB" w:rsidRPr="00CD63EB" w:rsidRDefault="00CD63EB" w:rsidP="00276A2E">
      <w:pPr>
        <w:widowControl w:val="0"/>
        <w:textAlignment w:val="baseline"/>
        <w:rPr>
          <w:rFonts w:ascii="Segoe UI" w:eastAsia="Times New Roman" w:hAnsi="Segoe UI" w:cs="Segoe UI"/>
          <w:szCs w:val="24"/>
          <w:lang w:val="es-CO" w:eastAsia="es-ES"/>
        </w:rPr>
      </w:pPr>
    </w:p>
    <w:p w14:paraId="41411D5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4- En el </w:t>
      </w:r>
      <w:r w:rsidRPr="00CD63EB">
        <w:rPr>
          <w:rFonts w:ascii="Segoe UI" w:eastAsia="Times New Roman" w:hAnsi="Segoe UI" w:cs="Segoe UI"/>
          <w:i/>
          <w:szCs w:val="24"/>
          <w:lang w:val="es-CO" w:eastAsia="es-ES"/>
        </w:rPr>
        <w:t>sub judice</w:t>
      </w:r>
      <w:r w:rsidRPr="00CD63EB">
        <w:rPr>
          <w:rFonts w:ascii="Segoe UI" w:eastAsia="Times New Roman" w:hAnsi="Segoe UI" w:cs="Segoe UI"/>
          <w:szCs w:val="24"/>
          <w:lang w:val="es-CO" w:eastAsia="es-ES"/>
        </w:rPr>
        <w:t>, está demostrado que la demandante incumplió el deber de entregar oportunamente (o sea antes del 26 de abril de 2010, plazo fijado en el artículo 18 de la Resolución 7935 de 2009 para aquellos administrados cuyo NIT finalizaba en 25) la información en medios magnéticos del año 2009 a la que estaba obligada. Ante la ocurrencia de esa conducta, la DIAN profirió en su contra el Pliego de Cargos nro. 322402012000375, del 26 de septiembre de 2012, en el cual le planteó a la infractora la imposición de una sanción por no enviar información en medios magnéticos, correspondiente al valor de $356.445.000.</w:t>
      </w:r>
    </w:p>
    <w:p w14:paraId="7A0F7189" w14:textId="77777777" w:rsidR="00CD63EB" w:rsidRPr="00CD63EB" w:rsidRDefault="00CD63EB" w:rsidP="00276A2E">
      <w:pPr>
        <w:widowControl w:val="0"/>
        <w:rPr>
          <w:rFonts w:ascii="Segoe UI" w:eastAsia="Times New Roman" w:hAnsi="Segoe UI" w:cs="Segoe UI"/>
          <w:szCs w:val="24"/>
          <w:lang w:val="es-CO" w:eastAsia="es-ES"/>
        </w:rPr>
      </w:pPr>
    </w:p>
    <w:p w14:paraId="3D839A4B" w14:textId="77777777" w:rsidR="00CD63EB" w:rsidRPr="00125E16" w:rsidRDefault="00CD63EB" w:rsidP="00276A2E">
      <w:pPr>
        <w:widowControl w:val="0"/>
        <w:rPr>
          <w:rFonts w:ascii="Segoe UI" w:eastAsia="Times New Roman" w:hAnsi="Segoe UI" w:cs="Segoe UI"/>
          <w:szCs w:val="24"/>
          <w:highlight w:val="cyan"/>
          <w:lang w:val="es-CO" w:eastAsia="es-ES"/>
        </w:rPr>
      </w:pPr>
      <w:r w:rsidRPr="00125E16">
        <w:rPr>
          <w:rFonts w:ascii="Segoe UI" w:eastAsia="Times New Roman" w:hAnsi="Segoe UI" w:cs="Segoe UI"/>
          <w:szCs w:val="24"/>
          <w:highlight w:val="cyan"/>
          <w:lang w:val="es-CO" w:eastAsia="es-ES"/>
        </w:rPr>
        <w:t>Al efecto, dicho acto le precisó a la sociedad demandante, lo siguiente (</w:t>
      </w:r>
      <w:proofErr w:type="spellStart"/>
      <w:r w:rsidRPr="00125E16">
        <w:rPr>
          <w:rFonts w:ascii="Segoe UI" w:eastAsia="Times New Roman" w:hAnsi="Segoe UI" w:cs="Segoe UI"/>
          <w:szCs w:val="24"/>
          <w:highlight w:val="cyan"/>
          <w:lang w:val="es-CO" w:eastAsia="es-ES"/>
        </w:rPr>
        <w:t>ff</w:t>
      </w:r>
      <w:proofErr w:type="spellEnd"/>
      <w:r w:rsidRPr="00125E16">
        <w:rPr>
          <w:rFonts w:ascii="Segoe UI" w:eastAsia="Times New Roman" w:hAnsi="Segoe UI" w:cs="Segoe UI"/>
          <w:szCs w:val="24"/>
          <w:highlight w:val="cyan"/>
          <w:lang w:val="es-CO" w:eastAsia="es-ES"/>
        </w:rPr>
        <w:t>. 45 y 46 ca):</w:t>
      </w:r>
    </w:p>
    <w:p w14:paraId="7CC2FD18" w14:textId="77777777" w:rsidR="00CD63EB" w:rsidRPr="00125E16" w:rsidRDefault="00CD63EB" w:rsidP="00276A2E">
      <w:pPr>
        <w:widowControl w:val="0"/>
        <w:ind w:left="420"/>
        <w:rPr>
          <w:rFonts w:ascii="Segoe UI" w:eastAsia="Times New Roman" w:hAnsi="Segoe UI" w:cs="Segoe UI"/>
          <w:szCs w:val="24"/>
          <w:highlight w:val="cyan"/>
          <w:lang w:val="es-CO" w:eastAsia="es-ES"/>
        </w:rPr>
      </w:pPr>
    </w:p>
    <w:p w14:paraId="5F74775B" w14:textId="77777777" w:rsidR="00CD63EB" w:rsidRPr="00CD63EB" w:rsidRDefault="00CD63EB" w:rsidP="00276A2E">
      <w:pPr>
        <w:widowControl w:val="0"/>
        <w:ind w:left="420"/>
        <w:rPr>
          <w:rFonts w:ascii="Segoe UI" w:eastAsia="Times New Roman" w:hAnsi="Segoe UI" w:cs="Segoe UI"/>
          <w:szCs w:val="24"/>
          <w:lang w:val="es-CO" w:eastAsia="es-ES"/>
        </w:rPr>
      </w:pPr>
      <w:r w:rsidRPr="00125E16">
        <w:rPr>
          <w:rFonts w:ascii="Segoe UI" w:eastAsia="Times New Roman" w:hAnsi="Segoe UI" w:cs="Segoe UI"/>
          <w:szCs w:val="24"/>
          <w:highlight w:val="cyan"/>
          <w:lang w:val="es-CO" w:eastAsia="es-ES"/>
        </w:rPr>
        <w:t>Para el caso que nos ocupa, el contribuyente al NO haber suministrado la información a la que está obligado, causó daño al Estado al obstaculizar y dificultar la labor fiscalizadora de la DIAN (…)</w:t>
      </w:r>
    </w:p>
    <w:p w14:paraId="1213BECB" w14:textId="77777777" w:rsidR="00CD63EB" w:rsidRPr="00CD63EB" w:rsidRDefault="00CD63EB" w:rsidP="00276A2E">
      <w:pPr>
        <w:widowControl w:val="0"/>
        <w:ind w:left="420"/>
        <w:rPr>
          <w:rFonts w:ascii="Segoe UI" w:eastAsia="Times New Roman" w:hAnsi="Segoe UI" w:cs="Segoe UI"/>
          <w:szCs w:val="24"/>
          <w:lang w:val="es-CO" w:eastAsia="es-ES"/>
        </w:rPr>
      </w:pPr>
    </w:p>
    <w:p w14:paraId="1A8B3855"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Es evidente que la omisión de la presentación </w:t>
      </w:r>
      <w:proofErr w:type="gramStart"/>
      <w:r w:rsidRPr="00CD63EB">
        <w:rPr>
          <w:rFonts w:ascii="Segoe UI" w:eastAsia="Times New Roman" w:hAnsi="Segoe UI" w:cs="Segoe UI"/>
          <w:szCs w:val="24"/>
          <w:lang w:val="es-CO" w:eastAsia="es-ES"/>
        </w:rPr>
        <w:t>dela</w:t>
      </w:r>
      <w:proofErr w:type="gramEnd"/>
      <w:r w:rsidRPr="00CD63EB">
        <w:rPr>
          <w:rFonts w:ascii="Segoe UI" w:eastAsia="Times New Roman" w:hAnsi="Segoe UI" w:cs="Segoe UI"/>
          <w:szCs w:val="24"/>
          <w:lang w:val="es-CO" w:eastAsia="es-ES"/>
        </w:rPr>
        <w:t xml:space="preserve"> información impide la labor de fiscalización y control para efectuar los cruces de información con terceros (…)</w:t>
      </w:r>
    </w:p>
    <w:p w14:paraId="69FCCC66" w14:textId="77777777" w:rsidR="00CD63EB" w:rsidRPr="00CD63EB" w:rsidRDefault="00CD63EB" w:rsidP="00276A2E">
      <w:pPr>
        <w:widowControl w:val="0"/>
        <w:ind w:left="420"/>
        <w:rPr>
          <w:rFonts w:ascii="Segoe UI" w:eastAsia="Times New Roman" w:hAnsi="Segoe UI" w:cs="Segoe UI"/>
          <w:szCs w:val="24"/>
          <w:lang w:val="es-CO" w:eastAsia="es-ES"/>
        </w:rPr>
      </w:pPr>
    </w:p>
    <w:p w14:paraId="223A55C0"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Teniendo en cuenta que el contribuyente IDT ELECTRIC LTDA. (…), incurrió en la conducta sancionable definida en el artículo 651 del Estatuto Tributario consistente en no suministrar la información requerida, de acuerdo con lo establecido en la Resolución No. 7935 del 28 de julio de 2009, se impone aplicar la sanción contemplada en el literal a) del artículo 651 del Estatuto Tributario (…)</w:t>
      </w:r>
    </w:p>
    <w:p w14:paraId="32F8616C" w14:textId="77777777" w:rsidR="00CD63EB" w:rsidRPr="00CD63EB" w:rsidRDefault="00CD63EB" w:rsidP="00276A2E">
      <w:pPr>
        <w:widowControl w:val="0"/>
        <w:rPr>
          <w:rFonts w:ascii="Segoe UI" w:eastAsia="Times New Roman" w:hAnsi="Segoe UI" w:cs="Segoe UI"/>
          <w:szCs w:val="24"/>
          <w:lang w:val="es-CO" w:eastAsia="es-ES"/>
        </w:rPr>
      </w:pPr>
    </w:p>
    <w:p w14:paraId="7DBE2853"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Asimismo, una vez la Administración impuso la sanción, mediante la Resolución 322412013000330, del 8 de mayo de 2014, señaló que verificados los sistemas de información de la DIAN «</w:t>
      </w:r>
      <w:r w:rsidRPr="00CD63EB">
        <w:rPr>
          <w:rFonts w:ascii="Segoe UI" w:eastAsia="Times New Roman" w:hAnsi="Segoe UI" w:cs="Segoe UI"/>
          <w:i/>
          <w:szCs w:val="24"/>
          <w:lang w:val="es-CO" w:eastAsia="es-ES"/>
        </w:rPr>
        <w:t xml:space="preserve">el contribuyente IDT Electric Ltda. con NIT. 800.083.425-4, no presentó la información tributaria de que trata el artículo 631 del ET, dentro del plazo establecido en la Resolución </w:t>
      </w:r>
      <w:proofErr w:type="spellStart"/>
      <w:r w:rsidRPr="00CD63EB">
        <w:rPr>
          <w:rFonts w:ascii="Segoe UI" w:eastAsia="Times New Roman" w:hAnsi="Segoe UI" w:cs="Segoe UI"/>
          <w:i/>
          <w:szCs w:val="24"/>
          <w:lang w:val="es-CO" w:eastAsia="es-ES"/>
        </w:rPr>
        <w:t>Nº</w:t>
      </w:r>
      <w:proofErr w:type="spellEnd"/>
      <w:r w:rsidRPr="00CD63EB">
        <w:rPr>
          <w:rFonts w:ascii="Segoe UI" w:eastAsia="Times New Roman" w:hAnsi="Segoe UI" w:cs="Segoe UI"/>
          <w:i/>
          <w:szCs w:val="24"/>
          <w:lang w:val="es-CO" w:eastAsia="es-ES"/>
        </w:rPr>
        <w:t xml:space="preserve"> 7935, del 28 de julio de 2009, correspondiente al año </w:t>
      </w:r>
      <w:r w:rsidRPr="00CD63EB">
        <w:rPr>
          <w:rFonts w:ascii="Segoe UI" w:eastAsia="Times New Roman" w:hAnsi="Segoe UI" w:cs="Segoe UI"/>
          <w:i/>
          <w:szCs w:val="24"/>
          <w:lang w:val="es-CO" w:eastAsia="es-ES"/>
        </w:rPr>
        <w:lastRenderedPageBreak/>
        <w:t>gravable 2009</w:t>
      </w:r>
      <w:r w:rsidRPr="00CD63EB">
        <w:rPr>
          <w:rFonts w:ascii="Segoe UI" w:eastAsia="Times New Roman" w:hAnsi="Segoe UI" w:cs="Segoe UI"/>
          <w:szCs w:val="24"/>
          <w:lang w:val="es-CO" w:eastAsia="es-ES"/>
        </w:rPr>
        <w:t>» (f. 89).</w:t>
      </w:r>
    </w:p>
    <w:p w14:paraId="031DEBEC" w14:textId="77777777" w:rsidR="00CD63EB" w:rsidRPr="00CD63EB" w:rsidRDefault="00CD63EB" w:rsidP="00276A2E">
      <w:pPr>
        <w:widowControl w:val="0"/>
        <w:rPr>
          <w:rFonts w:ascii="Segoe UI" w:eastAsia="Times New Roman" w:hAnsi="Segoe UI" w:cs="Segoe UI"/>
          <w:szCs w:val="24"/>
          <w:lang w:val="es-CO" w:eastAsia="es-ES"/>
        </w:rPr>
      </w:pPr>
    </w:p>
    <w:p w14:paraId="2DF06246"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Igualmente, en el acto sancionatorio, sostuvo la DIAN que: «</w:t>
      </w:r>
      <w:r w:rsidRPr="00CD63EB">
        <w:rPr>
          <w:rFonts w:ascii="Segoe UI" w:eastAsia="Times New Roman" w:hAnsi="Segoe UI" w:cs="Segoe UI"/>
          <w:i/>
          <w:szCs w:val="24"/>
          <w:lang w:val="es-CO" w:eastAsia="es-ES"/>
        </w:rPr>
        <w:t>al no existir prescripción del Pliego de Cargos, el contribuyente al no cumplir con la presentación de la información exógena año 2009 dentro del término establecido, se enmarca dentro de la sanción propiamente dicha (…)</w:t>
      </w:r>
      <w:r w:rsidRPr="00CD63EB">
        <w:rPr>
          <w:rFonts w:ascii="Segoe UI" w:eastAsia="Times New Roman" w:hAnsi="Segoe UI" w:cs="Segoe UI"/>
          <w:szCs w:val="24"/>
          <w:lang w:val="es-CO" w:eastAsia="es-ES"/>
        </w:rPr>
        <w:t>» (f. 93 ca)</w:t>
      </w:r>
    </w:p>
    <w:p w14:paraId="79F6F158" w14:textId="77777777" w:rsidR="00CD63EB" w:rsidRPr="00CD63EB" w:rsidRDefault="00CD63EB" w:rsidP="00276A2E">
      <w:pPr>
        <w:widowControl w:val="0"/>
        <w:rPr>
          <w:rFonts w:ascii="Segoe UI" w:eastAsia="Times New Roman" w:hAnsi="Segoe UI" w:cs="Segoe UI"/>
          <w:szCs w:val="24"/>
          <w:lang w:val="es-CO" w:eastAsia="es-ES"/>
        </w:rPr>
      </w:pPr>
    </w:p>
    <w:p w14:paraId="1195AC9D" w14:textId="77777777" w:rsidR="00CD63EB" w:rsidRPr="00CD63EB" w:rsidRDefault="00CD63EB" w:rsidP="00276A2E">
      <w:pPr>
        <w:widowControl w:val="0"/>
        <w:rPr>
          <w:rFonts w:ascii="Segoe UI" w:eastAsia="Times New Roman" w:hAnsi="Segoe UI" w:cs="Segoe UI"/>
          <w:szCs w:val="24"/>
          <w:lang w:val="es-CO" w:eastAsia="es-ES"/>
        </w:rPr>
      </w:pPr>
      <w:r w:rsidRPr="00125E16">
        <w:rPr>
          <w:rFonts w:ascii="Segoe UI" w:eastAsia="Times New Roman" w:hAnsi="Segoe UI" w:cs="Segoe UI"/>
          <w:szCs w:val="24"/>
          <w:highlight w:val="cyan"/>
          <w:lang w:val="es-CO" w:eastAsia="es-ES"/>
        </w:rPr>
        <w:t>Como se detalla, contrario a las manifestaciones de la contribuyente, la Sala evidencia que los actos demandados sí cuestionaron la infracción correspondiente a la omisión en la entrega de la información en medios magnéticos por el año gravable 2009.</w:t>
      </w:r>
    </w:p>
    <w:p w14:paraId="360BCF63" w14:textId="77777777" w:rsidR="00CD63EB" w:rsidRPr="00CD63EB" w:rsidRDefault="00CD63EB" w:rsidP="00276A2E">
      <w:pPr>
        <w:widowControl w:val="0"/>
        <w:rPr>
          <w:rFonts w:ascii="Segoe UI" w:eastAsia="Times New Roman" w:hAnsi="Segoe UI" w:cs="Segoe UI"/>
          <w:szCs w:val="24"/>
          <w:lang w:val="es-CO" w:eastAsia="es-ES"/>
        </w:rPr>
      </w:pPr>
    </w:p>
    <w:p w14:paraId="7E1FE652"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Más aun, se debe destacar que en los escritos de contestación del pliego de cargos y del recurso de reconsideración contra la resolución sancionatoria impugnada, la demandante pudo ejercer el derecho de defensa contra los actos acusados, en la medida en que planteó la caducidad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en los términos de la demandante) de la potestad para sancionar por no enviar información en medios magnéticos del año gravable 2009. De ahí que resulte notorio que la actora sí estuvo enterada de la conducta infractora que le endilgó la Administración en los actos demandados.</w:t>
      </w:r>
    </w:p>
    <w:p w14:paraId="28D3E46E" w14:textId="77777777" w:rsidR="00CD63EB" w:rsidRPr="00CD63EB" w:rsidRDefault="00CD63EB" w:rsidP="00276A2E">
      <w:pPr>
        <w:widowControl w:val="0"/>
        <w:rPr>
          <w:rFonts w:ascii="Segoe UI" w:eastAsia="Times New Roman" w:hAnsi="Segoe UI" w:cs="Segoe UI"/>
          <w:szCs w:val="24"/>
          <w:lang w:val="es-CO" w:eastAsia="es-ES"/>
        </w:rPr>
      </w:pPr>
    </w:p>
    <w:p w14:paraId="63EF278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Al respecto, esta Sección ha insistido en que la falta de motivación de los actos administrativos, quebranta el artículo 42 del CPACA, que exige a la Administración precisar las razones fácticas y jurídicas que dan origen a la decisión, lo cual posibilita el ejercicio del derecho de defensa y contradicción de los contribuyentes (artículo 29 de la Constitución).</w:t>
      </w:r>
    </w:p>
    <w:p w14:paraId="68CD3306" w14:textId="77777777" w:rsidR="00CD63EB" w:rsidRPr="00CD63EB" w:rsidRDefault="00CD63EB" w:rsidP="00276A2E">
      <w:pPr>
        <w:widowControl w:val="0"/>
        <w:rPr>
          <w:rFonts w:ascii="Segoe UI" w:eastAsia="Times New Roman" w:hAnsi="Segoe UI" w:cs="Segoe UI"/>
          <w:szCs w:val="24"/>
          <w:lang w:val="es-CO" w:eastAsia="es-ES"/>
        </w:rPr>
      </w:pPr>
    </w:p>
    <w:p w14:paraId="232B4F1D"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Como se extrae del contenido de los actos demandados y de las actuaciones desplegadas por la actora en sede administrativa, los actos administrativos estuvieron suficientemente motivados y, en ese orden de ideas, no se detalla la violación del debido proceso. No prospera el cargo.</w:t>
      </w:r>
    </w:p>
    <w:p w14:paraId="4F86CE85" w14:textId="77777777" w:rsidR="00CD63EB" w:rsidRPr="00CD63EB" w:rsidRDefault="00CD63EB" w:rsidP="00276A2E">
      <w:pPr>
        <w:widowControl w:val="0"/>
        <w:rPr>
          <w:rFonts w:ascii="Segoe UI" w:eastAsia="Times New Roman" w:hAnsi="Segoe UI" w:cs="Segoe UI"/>
          <w:szCs w:val="24"/>
          <w:lang w:val="es-CO" w:eastAsia="es-ES"/>
        </w:rPr>
      </w:pPr>
    </w:p>
    <w:p w14:paraId="01ADACFF" w14:textId="77777777" w:rsidR="00CD63EB" w:rsidRPr="00CD63EB" w:rsidRDefault="00CD63EB" w:rsidP="00276A2E">
      <w:pPr>
        <w:widowControl w:val="0"/>
        <w:rPr>
          <w:rFonts w:ascii="Segoe UI" w:eastAsia="Times New Roman" w:hAnsi="Segoe UI" w:cs="Segoe UI"/>
          <w:szCs w:val="24"/>
          <w:lang w:val="es-CO" w:eastAsia="es-ES"/>
        </w:rPr>
      </w:pPr>
      <w:r w:rsidRPr="00276A2E">
        <w:rPr>
          <w:rFonts w:ascii="Segoe UI" w:eastAsia="Times New Roman" w:hAnsi="Segoe UI" w:cs="Segoe UI"/>
          <w:szCs w:val="24"/>
          <w:highlight w:val="yellow"/>
          <w:lang w:val="es-CO" w:eastAsia="es-ES"/>
        </w:rPr>
        <w:t xml:space="preserve">5- Por otra parte, el anexo explicativo de la resolución sancionadora indicó que el daño a la Administración consistió en que </w:t>
      </w:r>
      <w:r w:rsidRPr="00276A2E">
        <w:rPr>
          <w:rFonts w:ascii="Segoe UI" w:eastAsia="Times New Roman" w:hAnsi="Segoe UI" w:cs="Segoe UI"/>
          <w:i/>
          <w:szCs w:val="24"/>
          <w:highlight w:val="yellow"/>
          <w:lang w:val="es-CO" w:eastAsia="es-ES"/>
        </w:rPr>
        <w:t xml:space="preserve">«la omisión de la presentación de la información impide la labor de fiscalización y control para efectuar los cruces de información con terceros, que en últimas constituye el fundamento del suministro de la información, de conformidad con </w:t>
      </w:r>
      <w:r w:rsidRPr="00276A2E">
        <w:rPr>
          <w:rFonts w:ascii="Segoe UI" w:eastAsia="Times New Roman" w:hAnsi="Segoe UI" w:cs="Segoe UI"/>
          <w:i/>
          <w:szCs w:val="24"/>
          <w:highlight w:val="yellow"/>
          <w:lang w:val="es-CO" w:eastAsia="es-ES"/>
        </w:rPr>
        <w:lastRenderedPageBreak/>
        <w:t xml:space="preserve">el artículo 631 del ET, por cuanto los cruces de información con terceros en medios electrónicos representa un medio eficaz y eficiente para disminuir los fenómenos de evasión y elusión tributaria y minimizar los riesgos de competitividad en el mercado» </w:t>
      </w:r>
      <w:r w:rsidRPr="00276A2E">
        <w:rPr>
          <w:rFonts w:ascii="Segoe UI" w:eastAsia="Times New Roman" w:hAnsi="Segoe UI" w:cs="Segoe UI"/>
          <w:szCs w:val="24"/>
          <w:highlight w:val="yellow"/>
          <w:lang w:val="es-CO" w:eastAsia="es-ES"/>
        </w:rPr>
        <w:t>(f. 94).</w:t>
      </w:r>
    </w:p>
    <w:p w14:paraId="7ED25C98" w14:textId="77777777" w:rsidR="00CD63EB" w:rsidRPr="00CD63EB" w:rsidRDefault="00CD63EB" w:rsidP="00276A2E">
      <w:pPr>
        <w:widowControl w:val="0"/>
        <w:rPr>
          <w:rFonts w:ascii="Segoe UI" w:eastAsia="Times New Roman" w:hAnsi="Segoe UI" w:cs="Segoe UI"/>
          <w:szCs w:val="24"/>
          <w:lang w:val="es-CO" w:eastAsia="es-ES"/>
        </w:rPr>
      </w:pPr>
    </w:p>
    <w:p w14:paraId="673728A2" w14:textId="77777777" w:rsidR="00CD63EB" w:rsidRPr="00CD63EB" w:rsidRDefault="00CD63EB" w:rsidP="00276A2E">
      <w:pPr>
        <w:widowControl w:val="0"/>
        <w:rPr>
          <w:rFonts w:ascii="Segoe UI" w:eastAsia="Times New Roman" w:hAnsi="Segoe UI" w:cs="Segoe UI"/>
          <w:szCs w:val="24"/>
          <w:lang w:val="es-CO" w:eastAsia="es-ES"/>
        </w:rPr>
      </w:pPr>
      <w:r w:rsidRPr="00125E16">
        <w:rPr>
          <w:rFonts w:ascii="Segoe UI" w:eastAsia="Times New Roman" w:hAnsi="Segoe UI" w:cs="Segoe UI"/>
          <w:szCs w:val="24"/>
          <w:highlight w:val="cyan"/>
          <w:lang w:val="es-CO" w:eastAsia="es-ES"/>
        </w:rPr>
        <w:t>En estos términos, la Sala no acoge los argumentos de la actora acerca de que la Administración debía probar el daño, a fin de justificar la sanción impuesta. Lo anterior, teniendo en cuenta que el incumplimiento del deber subsidiario (formal) de presentar información, obstaculiza la fiscalización que la DIAN debe realizar a los contribuyentes, de manera que la negligencia en la entrega de la información entorpece este mandato que tiene la autoridad tributaria y ello justifica la imposición de la sanción. No prospera el cargo de la parte actora.</w:t>
      </w:r>
    </w:p>
    <w:p w14:paraId="4A1EB188" w14:textId="77777777" w:rsidR="00CD63EB" w:rsidRPr="00CD63EB" w:rsidRDefault="00CD63EB" w:rsidP="00276A2E">
      <w:pPr>
        <w:widowControl w:val="0"/>
        <w:rPr>
          <w:rFonts w:ascii="Segoe UI" w:eastAsia="Times New Roman" w:hAnsi="Segoe UI" w:cs="Segoe UI"/>
          <w:szCs w:val="24"/>
          <w:lang w:val="es-CO" w:eastAsia="es-ES"/>
        </w:rPr>
      </w:pPr>
    </w:p>
    <w:p w14:paraId="168D90B7"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6- Aunando a lo precedente, se debe insistir que el artículo 651 del ET, establece que la omisión en la entrega de la información requerida, podrá conllevar a una sanción equivalente «</w:t>
      </w:r>
      <w:r w:rsidRPr="00CD63EB">
        <w:rPr>
          <w:rFonts w:ascii="Segoe UI" w:eastAsia="Times New Roman" w:hAnsi="Segoe UI" w:cs="Segoe UI"/>
          <w:i/>
          <w:szCs w:val="24"/>
          <w:lang w:val="es-CO" w:eastAsia="es-ES"/>
        </w:rPr>
        <w:t>hasta el 5%</w:t>
      </w:r>
      <w:r w:rsidRPr="00CD63EB">
        <w:rPr>
          <w:rFonts w:ascii="Segoe UI" w:eastAsia="Times New Roman" w:hAnsi="Segoe UI" w:cs="Segoe UI"/>
          <w:szCs w:val="24"/>
          <w:lang w:val="es-CO" w:eastAsia="es-ES"/>
        </w:rPr>
        <w:t>» del valor de la información no reportada, errónea o entregada de forma extemporánea.</w:t>
      </w:r>
    </w:p>
    <w:p w14:paraId="4FF57BF2" w14:textId="77777777" w:rsidR="00CD63EB" w:rsidRPr="00CD63EB" w:rsidRDefault="00CD63EB" w:rsidP="00276A2E">
      <w:pPr>
        <w:widowControl w:val="0"/>
        <w:rPr>
          <w:rFonts w:ascii="Segoe UI" w:eastAsia="Times New Roman" w:hAnsi="Segoe UI" w:cs="Segoe UI"/>
          <w:szCs w:val="24"/>
          <w:lang w:val="es-CO" w:eastAsia="es-ES"/>
        </w:rPr>
      </w:pPr>
    </w:p>
    <w:p w14:paraId="17A0C6FD" w14:textId="77777777" w:rsidR="00CD63EB" w:rsidRPr="00276A2E" w:rsidRDefault="00CD63EB" w:rsidP="00276A2E">
      <w:pPr>
        <w:widowControl w:val="0"/>
        <w:overflowPunct w:val="0"/>
        <w:adjustRightInd w:val="0"/>
        <w:textAlignment w:val="baseline"/>
        <w:rPr>
          <w:rFonts w:ascii="Segoe UI" w:eastAsia="Times New Roman" w:hAnsi="Segoe UI" w:cs="Segoe UI"/>
          <w:sz w:val="32"/>
          <w:szCs w:val="32"/>
          <w:lang w:val="es-CO" w:eastAsia="es-ES"/>
        </w:rPr>
      </w:pPr>
      <w:r w:rsidRPr="00276A2E">
        <w:rPr>
          <w:rFonts w:ascii="Segoe UI" w:eastAsia="Times New Roman" w:hAnsi="Segoe UI" w:cs="Segoe UI"/>
          <w:sz w:val="32"/>
          <w:szCs w:val="32"/>
          <w:highlight w:val="green"/>
          <w:lang w:val="es-CO" w:eastAsia="es-CO"/>
        </w:rPr>
        <w:t xml:space="preserve">La Sentencia C-160 de 1998, proferida por la Corte Constitucional, al analizar el prenotado artículo, </w:t>
      </w:r>
      <w:r w:rsidRPr="00276A2E">
        <w:rPr>
          <w:rFonts w:ascii="Segoe UI" w:eastAsia="Times New Roman" w:hAnsi="Segoe UI" w:cs="Segoe UI"/>
          <w:sz w:val="32"/>
          <w:szCs w:val="32"/>
          <w:highlight w:val="green"/>
          <w:lang w:val="es-CO" w:eastAsia="es-ES"/>
        </w:rPr>
        <w:t xml:space="preserve">consideró que la función punitiva de la Administración tributaria se enmarca en criterios de proporcionalidad y razonabilidad, </w:t>
      </w:r>
      <w:r w:rsidRPr="00276A2E">
        <w:rPr>
          <w:rFonts w:ascii="Segoe UI" w:eastAsia="Times New Roman" w:hAnsi="Segoe UI" w:cs="Segoe UI"/>
          <w:b/>
          <w:bCs/>
          <w:sz w:val="32"/>
          <w:szCs w:val="32"/>
          <w:highlight w:val="green"/>
          <w:lang w:val="es-CO" w:eastAsia="es-ES"/>
        </w:rPr>
        <w:t>de suerte que la imposición de la sanción por no informar debe graduarse en proporción a la magnitud del daño producido con la infracción.</w:t>
      </w:r>
    </w:p>
    <w:p w14:paraId="0DFE83BF" w14:textId="77777777" w:rsidR="00CD63EB" w:rsidRPr="00CD63EB" w:rsidRDefault="00CD63EB" w:rsidP="00276A2E">
      <w:pPr>
        <w:widowControl w:val="0"/>
        <w:shd w:val="clear" w:color="auto" w:fill="FFFFFF"/>
        <w:rPr>
          <w:rFonts w:ascii="Segoe UI" w:eastAsia="Times New Roman" w:hAnsi="Segoe UI" w:cs="Segoe UI"/>
          <w:bCs/>
          <w:szCs w:val="24"/>
          <w:lang w:val="es-CO" w:eastAsia="es-CO"/>
        </w:rPr>
      </w:pPr>
    </w:p>
    <w:p w14:paraId="7810F3D3" w14:textId="77777777" w:rsidR="00CD63EB" w:rsidRPr="00276A2E" w:rsidRDefault="00CD63EB" w:rsidP="00276A2E">
      <w:pPr>
        <w:widowControl w:val="0"/>
        <w:shd w:val="clear" w:color="auto" w:fill="FFFFFF"/>
        <w:rPr>
          <w:rFonts w:ascii="Segoe UI" w:eastAsia="Times New Roman" w:hAnsi="Segoe UI" w:cs="Segoe UI"/>
          <w:sz w:val="28"/>
          <w:szCs w:val="28"/>
          <w:lang w:val="es-CO" w:eastAsia="es-CO"/>
        </w:rPr>
      </w:pPr>
      <w:r w:rsidRPr="00276A2E">
        <w:rPr>
          <w:rFonts w:ascii="Segoe UI" w:eastAsia="Times New Roman" w:hAnsi="Segoe UI" w:cs="Segoe UI"/>
          <w:bCs/>
          <w:sz w:val="28"/>
          <w:szCs w:val="28"/>
          <w:highlight w:val="green"/>
          <w:lang w:val="es-CO" w:eastAsia="es-CO"/>
        </w:rPr>
        <w:t>Este imperativo constitucional también ha</w:t>
      </w:r>
      <w:r w:rsidRPr="00276A2E">
        <w:rPr>
          <w:rFonts w:ascii="Segoe UI" w:eastAsia="Times New Roman" w:hAnsi="Segoe UI" w:cs="Segoe UI"/>
          <w:sz w:val="28"/>
          <w:szCs w:val="28"/>
          <w:highlight w:val="green"/>
          <w:lang w:val="es-CO" w:eastAsia="es-CO"/>
        </w:rPr>
        <w:t xml:space="preserve"> sido reconocido por esta Sección en numerosos pronunciamientos, dentro de los que caben destacar las sentencias del 20 de abril de 2001, del 20 de febrero de 2003, del 4 de abril de 2003, del 15 de junio de 2006 y del 30 de agosto de 2007 (expedientes 11658, CP: Ligia López Díaz; 12736 y 12897 CP: María Inés Ortiz Barbosa, y 15181, CP: Héctor J. Romero Díaz)</w:t>
      </w:r>
      <w:r w:rsidRPr="00276A2E">
        <w:rPr>
          <w:rFonts w:ascii="Segoe UI" w:eastAsia="Times New Roman" w:hAnsi="Segoe UI" w:cs="Segoe UI"/>
          <w:sz w:val="28"/>
          <w:szCs w:val="28"/>
          <w:highlight w:val="green"/>
          <w:lang w:val="es-CO" w:eastAsia="es-CO"/>
        </w:rPr>
        <w:footnoteRef/>
      </w:r>
      <w:r w:rsidRPr="00276A2E">
        <w:rPr>
          <w:rFonts w:ascii="Segoe UI" w:eastAsia="Times New Roman" w:hAnsi="Segoe UI" w:cs="Segoe UI"/>
          <w:sz w:val="28"/>
          <w:szCs w:val="28"/>
          <w:highlight w:val="green"/>
          <w:lang w:val="es-CO" w:eastAsia="es-CO"/>
        </w:rPr>
        <w:t>[1].</w:t>
      </w:r>
    </w:p>
    <w:p w14:paraId="3D66E3C2" w14:textId="77777777" w:rsidR="00CD63EB" w:rsidRPr="00CD63EB" w:rsidRDefault="00CD63EB" w:rsidP="00276A2E">
      <w:pPr>
        <w:widowControl w:val="0"/>
        <w:shd w:val="clear" w:color="auto" w:fill="FFFFFF"/>
        <w:rPr>
          <w:rFonts w:ascii="Segoe UI" w:eastAsia="Times New Roman" w:hAnsi="Segoe UI" w:cs="Segoe UI"/>
          <w:szCs w:val="24"/>
          <w:lang w:val="es-CO" w:eastAsia="es-CO"/>
        </w:rPr>
      </w:pPr>
    </w:p>
    <w:p w14:paraId="2F3C57EE"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r w:rsidRPr="00CD63EB">
        <w:rPr>
          <w:rFonts w:ascii="Segoe UI" w:eastAsia="Times New Roman" w:hAnsi="Segoe UI" w:cs="Segoe UI"/>
          <w:szCs w:val="24"/>
          <w:lang w:val="es-CO" w:eastAsia="es-CO"/>
        </w:rPr>
        <w:lastRenderedPageBreak/>
        <w:t xml:space="preserve">De acuerdo con esa jurisprudencia, </w:t>
      </w:r>
      <w:r w:rsidRPr="00CD63EB">
        <w:rPr>
          <w:rFonts w:ascii="Segoe UI" w:eastAsia="Times New Roman" w:hAnsi="Segoe UI" w:cs="Segoe UI"/>
          <w:szCs w:val="24"/>
          <w:lang w:val="es-CO" w:eastAsia="es-ES"/>
        </w:rPr>
        <w:t>la expresión «</w:t>
      </w:r>
      <w:r w:rsidRPr="00CD63EB">
        <w:rPr>
          <w:rFonts w:ascii="Segoe UI" w:eastAsia="Times New Roman" w:hAnsi="Segoe UI" w:cs="Segoe UI"/>
          <w:i/>
          <w:szCs w:val="24"/>
          <w:lang w:val="es-CO" w:eastAsia="es-ES"/>
        </w:rPr>
        <w:t>hasta el 5%</w:t>
      </w:r>
      <w:r w:rsidRPr="00CD63EB">
        <w:rPr>
          <w:rFonts w:ascii="Segoe UI" w:eastAsia="Times New Roman" w:hAnsi="Segoe UI" w:cs="Segoe UI"/>
          <w:szCs w:val="24"/>
          <w:lang w:val="es-CO" w:eastAsia="es-ES"/>
        </w:rPr>
        <w:t>», utilizada por el artículo 651 del ET, le otorga a la Administración un margen para graduar la sanción por no informar. No obstante, «</w:t>
      </w:r>
      <w:r w:rsidRPr="00CD63EB">
        <w:rPr>
          <w:rFonts w:ascii="Segoe UI" w:eastAsia="Times New Roman" w:hAnsi="Segoe UI" w:cs="Segoe UI"/>
          <w:i/>
          <w:szCs w:val="24"/>
          <w:lang w:val="es-CO" w:eastAsia="es-ES"/>
        </w:rPr>
        <w:t>esta facultad no puede ser utilizada de forma arbitraria</w:t>
      </w:r>
      <w:r w:rsidRPr="00CD63EB">
        <w:rPr>
          <w:rFonts w:ascii="Segoe UI" w:eastAsia="Times New Roman" w:hAnsi="Segoe UI" w:cs="Segoe UI"/>
          <w:szCs w:val="24"/>
          <w:lang w:val="es-CO" w:eastAsia="es-ES"/>
        </w:rPr>
        <w:t>»; de manera que corresponde al funcionario fundamentar su decisión de imponer el tope máximo con argumentos que deben atender los criterios de justicia, razonabilidad y proporcionalidad de la sanción</w:t>
      </w:r>
      <w:r w:rsidRPr="00CD63EB">
        <w:rPr>
          <w:rFonts w:ascii="Segoe UI" w:eastAsia="Times New Roman" w:hAnsi="Segoe UI" w:cs="Segoe UI"/>
          <w:szCs w:val="24"/>
          <w:lang w:val="es-CO" w:eastAsia="es-ES"/>
        </w:rPr>
        <w:footnoteRef/>
      </w:r>
      <w:r w:rsidRPr="00CD63EB">
        <w:rPr>
          <w:rFonts w:ascii="Segoe UI" w:eastAsia="Calibri" w:hAnsi="Segoe UI" w:cs="Segoe UI"/>
          <w:sz w:val="22"/>
          <w:lang w:val="es-CO"/>
        </w:rPr>
        <w:t>[2]</w:t>
      </w:r>
      <w:r w:rsidRPr="00CD63EB">
        <w:rPr>
          <w:rFonts w:ascii="Segoe UI" w:eastAsia="Times New Roman" w:hAnsi="Segoe UI" w:cs="Segoe UI"/>
          <w:szCs w:val="24"/>
          <w:lang w:val="es-CO" w:eastAsia="es-ES"/>
        </w:rPr>
        <w:t>.</w:t>
      </w:r>
    </w:p>
    <w:p w14:paraId="3905FFC2"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36317517" w14:textId="77777777" w:rsidR="00CD63EB" w:rsidRPr="00276A2E" w:rsidRDefault="00CD63EB" w:rsidP="00276A2E">
      <w:pPr>
        <w:widowControl w:val="0"/>
        <w:shd w:val="clear" w:color="auto" w:fill="FFFFFF"/>
        <w:rPr>
          <w:rFonts w:ascii="Segoe UI" w:eastAsia="Times New Roman" w:hAnsi="Segoe UI" w:cs="Segoe UI"/>
          <w:sz w:val="32"/>
          <w:szCs w:val="32"/>
          <w:lang w:val="es-CO" w:eastAsia="es-ES"/>
        </w:rPr>
      </w:pPr>
      <w:r w:rsidRPr="00276A2E">
        <w:rPr>
          <w:rFonts w:ascii="Segoe UI" w:eastAsia="Times New Roman" w:hAnsi="Segoe UI" w:cs="Segoe UI"/>
          <w:sz w:val="32"/>
          <w:szCs w:val="32"/>
          <w:highlight w:val="green"/>
          <w:lang w:val="es-CO" w:eastAsia="es-ES"/>
        </w:rPr>
        <w:t>En ese contexto, aunque potencialmente las infracciones al deber de informar le puedan generar un daño al fisco, la jurisprudencia de esta Sección tiene establecido que tales omisiones no pueden medirse con el mismo baremo (sentencia del 3 de junio de 2015, expediente 20476, CP: Carmen Teresa Ortiz de Rodríguez).</w:t>
      </w:r>
    </w:p>
    <w:p w14:paraId="2265D55D"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37B71ABD" w14:textId="77777777" w:rsidR="00CD63EB" w:rsidRPr="00CD63EB" w:rsidRDefault="00CD63EB" w:rsidP="00276A2E">
      <w:pPr>
        <w:widowControl w:val="0"/>
        <w:shd w:val="clear" w:color="auto" w:fill="FFFFFF"/>
        <w:rPr>
          <w:rFonts w:ascii="Segoe UI" w:eastAsia="Times New Roman" w:hAnsi="Segoe UI" w:cs="Segoe UI"/>
          <w:sz w:val="36"/>
          <w:szCs w:val="36"/>
          <w:lang w:val="es-CO" w:eastAsia="es-ES"/>
        </w:rPr>
      </w:pPr>
      <w:r w:rsidRPr="00CD63EB">
        <w:rPr>
          <w:rFonts w:ascii="Segoe UI" w:eastAsia="Times New Roman" w:hAnsi="Segoe UI" w:cs="Segoe UI"/>
          <w:sz w:val="36"/>
          <w:szCs w:val="36"/>
          <w:lang w:val="es-CO" w:eastAsia="es-ES"/>
        </w:rPr>
        <w:t xml:space="preserve">Ello, por cuanto la falta de presentación de información afecta considerablemente la efectividad en la gestión tributaria y, en ocasiones, imposibilita su ejercicio, mientras que la remisión extemporánea impacta la oportunidad para el desarrollo de las competencias de la Administración. </w:t>
      </w:r>
      <w:r w:rsidRPr="00CD63EB">
        <w:rPr>
          <w:rFonts w:ascii="Segoe UI" w:eastAsia="Times New Roman" w:hAnsi="Segoe UI" w:cs="Segoe UI"/>
          <w:sz w:val="36"/>
          <w:szCs w:val="36"/>
          <w:highlight w:val="green"/>
          <w:lang w:val="es-CO" w:eastAsia="es-ES"/>
        </w:rPr>
        <w:t xml:space="preserve">De </w:t>
      </w:r>
      <w:r w:rsidRPr="005923B7">
        <w:rPr>
          <w:rFonts w:ascii="Segoe UI" w:eastAsia="Times New Roman" w:hAnsi="Segoe UI" w:cs="Segoe UI"/>
          <w:b/>
          <w:bCs/>
          <w:sz w:val="36"/>
          <w:szCs w:val="36"/>
          <w:highlight w:val="cyan"/>
          <w:u w:val="single"/>
          <w:lang w:val="es-CO" w:eastAsia="es-ES"/>
        </w:rPr>
        <w:t>manera que, si el retardo en el suministro de la información es mínimo</w:t>
      </w:r>
      <w:r w:rsidRPr="00CD63EB">
        <w:rPr>
          <w:rFonts w:ascii="Segoe UI" w:eastAsia="Times New Roman" w:hAnsi="Segoe UI" w:cs="Segoe UI"/>
          <w:sz w:val="36"/>
          <w:szCs w:val="36"/>
          <w:highlight w:val="green"/>
          <w:lang w:val="es-CO" w:eastAsia="es-ES"/>
        </w:rPr>
        <w:t xml:space="preserve">, </w:t>
      </w:r>
      <w:r w:rsidRPr="005923B7">
        <w:rPr>
          <w:rFonts w:ascii="Segoe UI" w:eastAsia="Times New Roman" w:hAnsi="Segoe UI" w:cs="Segoe UI"/>
          <w:sz w:val="36"/>
          <w:szCs w:val="36"/>
          <w:highlight w:val="cyan"/>
          <w:lang w:val="es-CO" w:eastAsia="es-ES"/>
        </w:rPr>
        <w:t>no se obstruye el ejercicio de la fiscalización definitivamente; pero, si la mora es prolongada, puede producir el mismo efecto de una falta absoluta, toda vez que los términos con los que cuenta la Administración para el ejercicio de sus funciones son preclusivos en la mayoría de los casos</w:t>
      </w:r>
      <w:r w:rsidRPr="00CD63EB">
        <w:rPr>
          <w:rFonts w:ascii="Segoe UI" w:eastAsia="Times New Roman" w:hAnsi="Segoe UI" w:cs="Segoe UI"/>
          <w:sz w:val="36"/>
          <w:szCs w:val="36"/>
          <w:highlight w:val="yellow"/>
          <w:lang w:val="es-CO" w:eastAsia="es-ES"/>
        </w:rPr>
        <w:t xml:space="preserve"> (sentencia del 12 de octubre de 2017, expediente 21976, CP: Milton Chaves </w:t>
      </w:r>
      <w:r w:rsidRPr="00CD63EB">
        <w:rPr>
          <w:rFonts w:ascii="Segoe UI" w:eastAsia="Times New Roman" w:hAnsi="Segoe UI" w:cs="Segoe UI"/>
          <w:sz w:val="36"/>
          <w:szCs w:val="36"/>
          <w:highlight w:val="yellow"/>
          <w:lang w:val="es-CO" w:eastAsia="es-ES"/>
        </w:rPr>
        <w:lastRenderedPageBreak/>
        <w:t>García).</w:t>
      </w:r>
    </w:p>
    <w:p w14:paraId="0689A938"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6A2D73AD" w14:textId="77777777" w:rsidR="00CD63EB" w:rsidRPr="00CD63EB" w:rsidRDefault="00CD63EB" w:rsidP="00276A2E">
      <w:pPr>
        <w:widowControl w:val="0"/>
        <w:shd w:val="clear" w:color="auto" w:fill="FFFFFF"/>
        <w:rPr>
          <w:rFonts w:ascii="Segoe UI" w:eastAsia="Times New Roman" w:hAnsi="Segoe UI" w:cs="Segoe UI"/>
          <w:sz w:val="36"/>
          <w:szCs w:val="36"/>
          <w:lang w:val="es-CO" w:eastAsia="es-ES"/>
        </w:rPr>
      </w:pPr>
      <w:r w:rsidRPr="00CD63EB">
        <w:rPr>
          <w:rFonts w:ascii="Segoe UI" w:eastAsia="Times New Roman" w:hAnsi="Segoe UI" w:cs="Segoe UI"/>
          <w:sz w:val="36"/>
          <w:szCs w:val="36"/>
          <w:highlight w:val="green"/>
          <w:lang w:val="es-CO" w:eastAsia="es-ES"/>
        </w:rPr>
        <w:t>Esa medición de tiempos en el cumplimiento de la obligación de informar permite evidenciar, igualmente, la actitud de colaboración de la contribuyente para que, de una parte, la autoridad tributaria reciba la información precisa para determinar las obligaciones impositivas sustanciales y, más allá de ello, para que pueda satisfacerse el objeto de las mismas, con el recaudo de los tributos debidos por la realización de los presupuestos previstos en la ley como generadores de aquéllos, lo cual constituye la razón primordial para poner en marcha el aparato administrativo y su potestad fiscalizadora (sentencia del 19 de julio de 2017, expediente 20387, CP(E): Stella Jeannette Carvajal Basto).</w:t>
      </w:r>
    </w:p>
    <w:p w14:paraId="6CBBA5BC" w14:textId="77777777" w:rsidR="00CD63EB" w:rsidRPr="00CD63EB" w:rsidRDefault="00CD63EB" w:rsidP="00276A2E">
      <w:pPr>
        <w:widowControl w:val="0"/>
        <w:shd w:val="clear" w:color="auto" w:fill="FFFFFF"/>
        <w:rPr>
          <w:rFonts w:ascii="Segoe UI" w:eastAsia="Times New Roman" w:hAnsi="Segoe UI" w:cs="Segoe UI"/>
          <w:sz w:val="36"/>
          <w:szCs w:val="36"/>
          <w:lang w:val="es-CO" w:eastAsia="es-ES"/>
        </w:rPr>
      </w:pPr>
    </w:p>
    <w:p w14:paraId="75D22118"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De ahí que, dependiendo del momento en que se entregue la información, la Sala, al resolver casos concretos, ha resuelto graduar la tarifa haciendo uso de los siguientes criterios indicados en las citadas sentencias. Sin embargo, si la información se entrega vencido el término para interponer el recurso de reconsideración o definitivamente no se entrega, la Sala ha considerado que se aplica la máxima sanción (sentencia del 25 de septiembre de 2017,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20910, CP: Stella Jeannette Carvajal Basto).</w:t>
      </w:r>
    </w:p>
    <w:p w14:paraId="194C830B" w14:textId="77777777" w:rsidR="00CD63EB" w:rsidRPr="00CD63EB" w:rsidRDefault="00CD63EB" w:rsidP="00276A2E">
      <w:pPr>
        <w:widowControl w:val="0"/>
        <w:shd w:val="clear" w:color="auto" w:fill="FFFFFF"/>
        <w:rPr>
          <w:rFonts w:ascii="Segoe UI" w:eastAsia="Times New Roman" w:hAnsi="Segoe UI" w:cs="Segoe UI"/>
          <w:szCs w:val="24"/>
          <w:lang w:val="es-CO" w:eastAsia="es-ES"/>
        </w:rPr>
      </w:pPr>
    </w:p>
    <w:p w14:paraId="274BF113"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Ahora bien, se observa que la contribuyente afirmó en el escrito de demanda, que, previo a la presentación de la misma, concretamente, el 1 de septiembre de 2014, entregó la información requerida. Es decir, que cumplió con su deber formal después de la </w:t>
      </w:r>
      <w:r w:rsidRPr="00CD63EB">
        <w:rPr>
          <w:rFonts w:ascii="Segoe UI" w:eastAsia="Times New Roman" w:hAnsi="Segoe UI" w:cs="Segoe UI"/>
          <w:szCs w:val="24"/>
          <w:lang w:val="es-CO" w:eastAsia="es-ES"/>
        </w:rPr>
        <w:lastRenderedPageBreak/>
        <w:t>notificación de la Resolución 900.132, del 26 de mayo de 2014, que resolvió el recurso de reconsideración.</w:t>
      </w:r>
    </w:p>
    <w:p w14:paraId="276C2299"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7A780000"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su parte, la DIAN, en el escrito de contestación de la demanda (f. 82) y en el recurso de apelación (f. 163), reconoció que la parte actora sí entregó la información en medios magnéticos en la fecha señalada, pero que, en todo caso, procede la sanción del 5 %, debido que la entregó después de que finalizó el proceso sancionatorio, además de que presentaba errores (f. 82).</w:t>
      </w:r>
    </w:p>
    <w:p w14:paraId="68A4F795"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1BBB0B70" w14:textId="77777777" w:rsidR="00CD63EB" w:rsidRPr="00DE2FC2" w:rsidRDefault="00CD63EB" w:rsidP="00276A2E">
      <w:pPr>
        <w:widowControl w:val="0"/>
        <w:overflowPunct w:val="0"/>
        <w:adjustRightInd w:val="0"/>
        <w:textAlignment w:val="baseline"/>
        <w:rPr>
          <w:rFonts w:ascii="Segoe UI" w:eastAsia="Times New Roman" w:hAnsi="Segoe UI" w:cs="Segoe UI"/>
          <w:sz w:val="32"/>
          <w:szCs w:val="32"/>
          <w:lang w:val="es-CO" w:eastAsia="es-ES"/>
        </w:rPr>
      </w:pPr>
      <w:r w:rsidRPr="00DE2FC2">
        <w:rPr>
          <w:rFonts w:ascii="Segoe UI" w:eastAsia="Times New Roman" w:hAnsi="Segoe UI" w:cs="Segoe UI"/>
          <w:sz w:val="32"/>
          <w:szCs w:val="32"/>
          <w:highlight w:val="green"/>
          <w:lang w:val="es-CO" w:eastAsia="es-ES"/>
        </w:rPr>
        <w:t>De acuerdo con lo anterior, no existe discrepancia entre las partes, frente a que la actora presentó la información con anterioridad a la radicación de la presente demanda, pero posterior al acto que desató el recurso de reconsideración.</w:t>
      </w:r>
    </w:p>
    <w:p w14:paraId="71B28846" w14:textId="77777777" w:rsidR="00CD63EB" w:rsidRPr="00DE2FC2" w:rsidRDefault="00CD63EB" w:rsidP="00276A2E">
      <w:pPr>
        <w:widowControl w:val="0"/>
        <w:overflowPunct w:val="0"/>
        <w:adjustRightInd w:val="0"/>
        <w:textAlignment w:val="baseline"/>
        <w:rPr>
          <w:rFonts w:ascii="Segoe UI" w:eastAsia="Times New Roman" w:hAnsi="Segoe UI" w:cs="Segoe UI"/>
          <w:sz w:val="32"/>
          <w:szCs w:val="32"/>
          <w:lang w:val="es-CO" w:eastAsia="es-ES"/>
        </w:rPr>
      </w:pPr>
    </w:p>
    <w:p w14:paraId="6922D54C" w14:textId="77777777" w:rsidR="00CD63EB" w:rsidRPr="00DE2FC2" w:rsidRDefault="00CD63EB" w:rsidP="00276A2E">
      <w:pPr>
        <w:widowControl w:val="0"/>
        <w:overflowPunct w:val="0"/>
        <w:adjustRightInd w:val="0"/>
        <w:textAlignment w:val="baseline"/>
        <w:rPr>
          <w:rFonts w:ascii="Segoe UI" w:eastAsia="Times New Roman" w:hAnsi="Segoe UI" w:cs="Segoe UI"/>
          <w:sz w:val="32"/>
          <w:szCs w:val="32"/>
          <w:lang w:val="es-CO" w:eastAsia="es-ES"/>
        </w:rPr>
      </w:pPr>
      <w:r w:rsidRPr="00DE2FC2">
        <w:rPr>
          <w:rFonts w:ascii="Segoe UI" w:eastAsia="Times New Roman" w:hAnsi="Segoe UI" w:cs="Segoe UI"/>
          <w:sz w:val="32"/>
          <w:szCs w:val="32"/>
          <w:highlight w:val="green"/>
          <w:lang w:val="es-CO" w:eastAsia="es-ES"/>
        </w:rPr>
        <w:t>En este contexto, la Sala considera que, contrario a lo expuesto por el tribunal de primera instancia, el retardo en el suministro de información fue prologado en el tiempo y produjo efectos de una falta absoluta, puesto que los programas de control de la Administración toman como fuente principal la información en medios magnéticos, a fin de detectar inexactitudes en las declaraciones de terceros. Asimismo, el término con el que contaba la autoridad tributaria para fiscalizar las declaraciones del año gravable 2009, en principio, se cumplió en el año 2012.</w:t>
      </w:r>
    </w:p>
    <w:p w14:paraId="785DA5CA" w14:textId="77777777" w:rsidR="00CD63EB" w:rsidRPr="00DE2FC2" w:rsidRDefault="00CD63EB" w:rsidP="00276A2E">
      <w:pPr>
        <w:widowControl w:val="0"/>
        <w:overflowPunct w:val="0"/>
        <w:adjustRightInd w:val="0"/>
        <w:textAlignment w:val="baseline"/>
        <w:rPr>
          <w:rFonts w:ascii="Segoe UI" w:eastAsia="Times New Roman" w:hAnsi="Segoe UI" w:cs="Segoe UI"/>
          <w:sz w:val="32"/>
          <w:szCs w:val="32"/>
          <w:lang w:val="es-CO" w:eastAsia="es-ES"/>
        </w:rPr>
      </w:pPr>
    </w:p>
    <w:p w14:paraId="3BAE26C7" w14:textId="77777777" w:rsidR="00CD63EB" w:rsidRPr="00DE2FC2" w:rsidRDefault="00CD63EB" w:rsidP="00276A2E">
      <w:pPr>
        <w:widowControl w:val="0"/>
        <w:rPr>
          <w:rFonts w:ascii="Segoe UI" w:eastAsia="Times New Roman" w:hAnsi="Segoe UI" w:cs="Segoe UI"/>
          <w:sz w:val="32"/>
          <w:szCs w:val="32"/>
          <w:lang w:val="es-CO" w:eastAsia="es-ES"/>
        </w:rPr>
      </w:pPr>
      <w:r w:rsidRPr="00DE2FC2">
        <w:rPr>
          <w:rFonts w:ascii="Segoe UI" w:eastAsia="Times New Roman" w:hAnsi="Segoe UI" w:cs="Segoe UI"/>
          <w:sz w:val="32"/>
          <w:szCs w:val="32"/>
          <w:highlight w:val="green"/>
          <w:lang w:val="es-CO" w:eastAsia="es-ES"/>
        </w:rPr>
        <w:t xml:space="preserve">En efecto, la determinación del daño al momento de imponer la sanción, ha sido reconocida por la jurisprudencia de esta Sección, en el sentido de que esta debe graduarse en proporción a la magnitud del perjuicio producido con la infracción (sentencia del 3 </w:t>
      </w:r>
      <w:r w:rsidRPr="00DE2FC2">
        <w:rPr>
          <w:rFonts w:ascii="Segoe UI" w:eastAsia="Times New Roman" w:hAnsi="Segoe UI" w:cs="Segoe UI"/>
          <w:sz w:val="32"/>
          <w:szCs w:val="32"/>
          <w:highlight w:val="green"/>
          <w:lang w:val="es-CO" w:eastAsia="es-ES"/>
        </w:rPr>
        <w:lastRenderedPageBreak/>
        <w:t>de junio de 2015, expediente 20476, CP: Carmen Teresa Ortiz Rodríguez; sentencia del 8 de febrero de 2018, expediente 22060, CP: Stella Jeannette Carvajal Basto, y sentencia del 1 de marzo de 2018, expediente 22460, CP: Milton Chaves García).</w:t>
      </w:r>
    </w:p>
    <w:p w14:paraId="23126574"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13CADFB8"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Así, se evidencia la falta de colaboración de la contribuyente para que la autoridad tributaria recibiera la información exigida, de conformidad con la Resolución 7935, del 28 de julio de 2009 y el artículo 631 del ET.</w:t>
      </w:r>
    </w:p>
    <w:p w14:paraId="68F561B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28B3B64D" w14:textId="77777777" w:rsidR="00CD63EB" w:rsidRPr="00DE2FC2" w:rsidRDefault="00CD63EB" w:rsidP="00276A2E">
      <w:pPr>
        <w:widowControl w:val="0"/>
        <w:shd w:val="clear" w:color="auto" w:fill="FFFFFF"/>
        <w:rPr>
          <w:rFonts w:ascii="Segoe UI" w:eastAsia="Times New Roman" w:hAnsi="Segoe UI" w:cs="Segoe UI"/>
          <w:sz w:val="32"/>
          <w:szCs w:val="32"/>
          <w:lang w:val="es-CO" w:eastAsia="es-ES"/>
        </w:rPr>
      </w:pPr>
      <w:r w:rsidRPr="00DE2FC2">
        <w:rPr>
          <w:rFonts w:ascii="Segoe UI" w:eastAsia="Times New Roman" w:hAnsi="Segoe UI" w:cs="Segoe UI"/>
          <w:sz w:val="32"/>
          <w:szCs w:val="32"/>
          <w:highlight w:val="cyan"/>
          <w:lang w:val="es-CO" w:eastAsia="es-ES"/>
        </w:rPr>
        <w:t>Por ello, teniendo en cuenta el momento en el que la memorialista cumplió con el deber omitido, la Sala, reiterará la sentencia del 25 de septiembre de 2017 (expediente 20910, CP(E): Stella Jeannette Carvajal Basto) y mantendrá la sanción impuesta, en el equivalente al 5 % sobre la suma de la información no suministrada, ya que esta se entregó una vez estaban vencidos los plazos para formular el recurso de reconsideración, por lo que, la magnitud del daño producido con la infracción debe ser la máxima posible.</w:t>
      </w:r>
    </w:p>
    <w:p w14:paraId="1165809E"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7E03DC4D"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estos términos, no será procedente graduar la sanción inicialmente liquidada por la DIAN, puesto que, se insiste, la contribuyente presentó la información 4 años después de la fecha en la que se encontraba obligada y con posterioridad a la notificación de la resolución que resolvió el recurso de reconsideración.</w:t>
      </w:r>
    </w:p>
    <w:p w14:paraId="75276AEF" w14:textId="77777777" w:rsidR="00CD63EB" w:rsidRPr="00CD63EB" w:rsidRDefault="00CD63EB" w:rsidP="00276A2E">
      <w:pPr>
        <w:widowControl w:val="0"/>
        <w:overflowPunct w:val="0"/>
        <w:adjustRightInd w:val="0"/>
        <w:textAlignment w:val="baseline"/>
        <w:rPr>
          <w:rFonts w:ascii="Segoe UI" w:eastAsia="Times New Roman" w:hAnsi="Segoe UI" w:cs="Segoe UI"/>
          <w:szCs w:val="24"/>
          <w:lang w:val="es-CO" w:eastAsia="es-ES"/>
        </w:rPr>
      </w:pPr>
    </w:p>
    <w:p w14:paraId="043E417F"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szCs w:val="24"/>
          <w:lang w:val="es-CO" w:eastAsia="es-ES"/>
        </w:rPr>
        <w:t>Por los motivos expuestos, se impone revocar la sentencia apelada y, en su lugar, se negarán las pretensiones de la demanda.</w:t>
      </w:r>
    </w:p>
    <w:p w14:paraId="6363638D" w14:textId="77777777" w:rsidR="00CD63EB" w:rsidRPr="00CD63EB" w:rsidRDefault="00CD63EB" w:rsidP="00276A2E">
      <w:pPr>
        <w:widowControl w:val="0"/>
        <w:rPr>
          <w:rFonts w:ascii="Segoe UI" w:eastAsia="Times New Roman" w:hAnsi="Segoe UI" w:cs="Segoe UI"/>
          <w:szCs w:val="24"/>
          <w:lang w:val="es-CO" w:eastAsia="es-ES"/>
        </w:rPr>
      </w:pPr>
    </w:p>
    <w:p w14:paraId="76EEFDD3"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7- Finalmente, para decidir sobre las costas en segunda instancia, se considera lo siguiente:</w:t>
      </w:r>
    </w:p>
    <w:p w14:paraId="498C6D2E" w14:textId="77777777" w:rsidR="00CD63EB" w:rsidRPr="00CD63EB" w:rsidRDefault="00CD63EB" w:rsidP="00276A2E">
      <w:pPr>
        <w:widowControl w:val="0"/>
        <w:rPr>
          <w:rFonts w:ascii="Segoe UI" w:eastAsia="Times New Roman" w:hAnsi="Segoe UI" w:cs="Segoe UI"/>
          <w:szCs w:val="24"/>
          <w:lang w:val="es-CO" w:eastAsia="es-ES"/>
        </w:rPr>
      </w:pPr>
    </w:p>
    <w:p w14:paraId="2B455C59"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El artículo 188 del CPACA determina que la liquidación y ejecución de la eventual condena </w:t>
      </w:r>
      <w:r w:rsidRPr="00CD63EB">
        <w:rPr>
          <w:rFonts w:ascii="Segoe UI" w:eastAsia="Times New Roman" w:hAnsi="Segoe UI" w:cs="Segoe UI"/>
          <w:szCs w:val="24"/>
          <w:lang w:val="es-CO" w:eastAsia="es-ES"/>
        </w:rPr>
        <w:lastRenderedPageBreak/>
        <w:t>en costas se regirá por lo dispuesto en el Código de Procedimiento Civil.</w:t>
      </w:r>
    </w:p>
    <w:p w14:paraId="1EF4859F"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25B6DC96"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su parte, la Ley 1564 de 2012 (Código General del Proceso), dispone en el ordinal octavo del artículo 365, entre otras que:</w:t>
      </w:r>
    </w:p>
    <w:p w14:paraId="73392654" w14:textId="77777777" w:rsidR="00CD63EB" w:rsidRPr="00CD63EB" w:rsidRDefault="00CD63EB" w:rsidP="00276A2E">
      <w:pPr>
        <w:widowControl w:val="0"/>
        <w:suppressAutoHyphens/>
        <w:ind w:left="420"/>
        <w:rPr>
          <w:rFonts w:ascii="Segoe UI" w:eastAsia="Times New Roman" w:hAnsi="Segoe UI" w:cs="Segoe UI"/>
          <w:szCs w:val="24"/>
          <w:lang w:val="es-CO" w:eastAsia="es-ES"/>
        </w:rPr>
      </w:pPr>
    </w:p>
    <w:p w14:paraId="72805B6D" w14:textId="77777777" w:rsidR="00CD63EB" w:rsidRPr="00CD63EB" w:rsidRDefault="00CD63EB" w:rsidP="00276A2E">
      <w:pPr>
        <w:widowControl w:val="0"/>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8. Solo habrá lugar a costas cuando en el expediente aparezca que se causaron y en la medida de su comprobación.</w:t>
      </w:r>
    </w:p>
    <w:p w14:paraId="414048A1"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5A2F0ED8"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el caso concreto, no aparece ningún elemento de prueba en esta instancia de las costas solicitadas. En consecuencia, no existe fundamento para su imposición.</w:t>
      </w:r>
    </w:p>
    <w:p w14:paraId="5A5963D0" w14:textId="77777777" w:rsidR="00CD63EB" w:rsidRPr="00CD63EB" w:rsidRDefault="00CD63EB" w:rsidP="00276A2E">
      <w:pPr>
        <w:widowControl w:val="0"/>
        <w:rPr>
          <w:rFonts w:ascii="Segoe UI" w:eastAsia="Arial Unicode MS" w:hAnsi="Segoe UI" w:cs="Segoe UI"/>
          <w:szCs w:val="24"/>
          <w:lang w:val="es-CO" w:eastAsia="es-ES"/>
        </w:rPr>
      </w:pPr>
    </w:p>
    <w:p w14:paraId="3256F941"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szCs w:val="24"/>
          <w:lang w:val="es-CO" w:eastAsia="es-ES"/>
        </w:rPr>
        <w:t>En mérito de lo expuesto, el Consejo de Estado, Sala de lo Contencioso Administrativo, Sección Cuarta, administrando justicia en nombre de la República de Colombia y por autoridad de la ley,</w:t>
      </w:r>
    </w:p>
    <w:p w14:paraId="4DA51285" w14:textId="77777777" w:rsidR="00CD63EB" w:rsidRPr="00CD63EB" w:rsidRDefault="00CD63EB" w:rsidP="00276A2E">
      <w:pPr>
        <w:widowControl w:val="0"/>
        <w:jc w:val="center"/>
        <w:rPr>
          <w:rFonts w:ascii="Segoe UI" w:eastAsia="Arial Unicode MS" w:hAnsi="Segoe UI" w:cs="Segoe UI"/>
          <w:szCs w:val="24"/>
          <w:lang w:val="es-CO" w:eastAsia="es-ES"/>
        </w:rPr>
      </w:pPr>
    </w:p>
    <w:p w14:paraId="50C46556" w14:textId="77777777" w:rsidR="00CD63EB" w:rsidRPr="00CD63EB" w:rsidRDefault="00CD63EB" w:rsidP="00276A2E">
      <w:pPr>
        <w:widowControl w:val="0"/>
        <w:jc w:val="center"/>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FALLA:</w:t>
      </w:r>
    </w:p>
    <w:p w14:paraId="19707919" w14:textId="77777777" w:rsidR="00CD63EB" w:rsidRPr="00CD63EB" w:rsidRDefault="00CD63EB" w:rsidP="00276A2E">
      <w:pPr>
        <w:widowControl w:val="0"/>
        <w:rPr>
          <w:rFonts w:ascii="Segoe UI" w:eastAsia="Arial Unicode MS" w:hAnsi="Segoe UI" w:cs="Segoe UI"/>
          <w:szCs w:val="24"/>
          <w:lang w:val="es-CO" w:eastAsia="es-ES"/>
        </w:rPr>
      </w:pPr>
    </w:p>
    <w:p w14:paraId="0AE27A4B"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b/>
          <w:szCs w:val="24"/>
          <w:lang w:val="es-CO" w:eastAsia="es-ES"/>
        </w:rPr>
        <w:t xml:space="preserve">1. Revocar </w:t>
      </w:r>
      <w:r w:rsidRPr="00CD63EB">
        <w:rPr>
          <w:rFonts w:ascii="Segoe UI" w:eastAsia="Arial Unicode MS" w:hAnsi="Segoe UI" w:cs="Segoe UI"/>
          <w:szCs w:val="24"/>
          <w:lang w:val="es-CO" w:eastAsia="es-ES"/>
        </w:rPr>
        <w:t>la sentencia del 11 de febrero de 2016, proferida por el Tribunal Administrativo de Cundinamarca, Sección Cuarta, Subsección B, por los motivos expuesto en la parte motiva de esta providencia.</w:t>
      </w:r>
      <w:r w:rsidRPr="00CD63EB">
        <w:rPr>
          <w:rFonts w:ascii="Segoe UI" w:eastAsia="Arial Unicode MS" w:hAnsi="Segoe UI" w:cs="Segoe UI"/>
          <w:b/>
          <w:szCs w:val="24"/>
          <w:lang w:val="es-CO" w:eastAsia="es-ES"/>
        </w:rPr>
        <w:t xml:space="preserve"> </w:t>
      </w:r>
      <w:r w:rsidRPr="00CD63EB">
        <w:rPr>
          <w:rFonts w:ascii="Segoe UI" w:eastAsia="Arial Unicode MS" w:hAnsi="Segoe UI" w:cs="Segoe UI"/>
          <w:szCs w:val="24"/>
          <w:lang w:val="es-CO" w:eastAsia="es-ES"/>
        </w:rPr>
        <w:t>En su lugar,</w:t>
      </w:r>
    </w:p>
    <w:p w14:paraId="2D7A4A4B" w14:textId="77777777" w:rsidR="00CD63EB" w:rsidRPr="00CD63EB" w:rsidRDefault="00CD63EB" w:rsidP="00276A2E">
      <w:pPr>
        <w:widowControl w:val="0"/>
        <w:ind w:left="420"/>
        <w:rPr>
          <w:rFonts w:ascii="Segoe UI" w:eastAsia="Arial Unicode MS" w:hAnsi="Segoe UI" w:cs="Segoe UI"/>
          <w:szCs w:val="24"/>
          <w:lang w:val="es-CO" w:eastAsia="es-ES"/>
        </w:rPr>
      </w:pPr>
    </w:p>
    <w:p w14:paraId="4780D7D1" w14:textId="77777777" w:rsidR="00CD63EB" w:rsidRPr="00CD63EB" w:rsidRDefault="00CD63EB" w:rsidP="00276A2E">
      <w:pPr>
        <w:widowControl w:val="0"/>
        <w:ind w:left="420"/>
        <w:rPr>
          <w:rFonts w:ascii="Segoe UI" w:eastAsia="Arial Unicode MS" w:hAnsi="Segoe UI" w:cs="Segoe UI"/>
          <w:i/>
          <w:szCs w:val="24"/>
          <w:lang w:val="es-CO" w:eastAsia="es-ES"/>
        </w:rPr>
      </w:pPr>
      <w:r w:rsidRPr="00CD63EB">
        <w:rPr>
          <w:rFonts w:ascii="Segoe UI" w:eastAsia="Arial Unicode MS" w:hAnsi="Segoe UI" w:cs="Segoe UI"/>
          <w:b/>
          <w:i/>
          <w:szCs w:val="24"/>
          <w:lang w:val="es-CO" w:eastAsia="es-ES"/>
        </w:rPr>
        <w:t>Negar</w:t>
      </w:r>
      <w:r w:rsidRPr="00CD63EB">
        <w:rPr>
          <w:rFonts w:ascii="Segoe UI" w:eastAsia="Arial Unicode MS" w:hAnsi="Segoe UI" w:cs="Segoe UI"/>
          <w:i/>
          <w:szCs w:val="24"/>
          <w:lang w:val="es-CO" w:eastAsia="es-ES"/>
        </w:rPr>
        <w:t xml:space="preserve"> las pretensiones de la demanda.</w:t>
      </w:r>
    </w:p>
    <w:p w14:paraId="34E44C16" w14:textId="77777777" w:rsidR="00CD63EB" w:rsidRPr="00CD63EB" w:rsidRDefault="00CD63EB" w:rsidP="00276A2E">
      <w:pPr>
        <w:widowControl w:val="0"/>
        <w:rPr>
          <w:rFonts w:ascii="Segoe UI" w:eastAsia="Arial Unicode MS" w:hAnsi="Segoe UI" w:cs="Segoe UI"/>
          <w:i/>
          <w:szCs w:val="24"/>
          <w:lang w:val="es-CO" w:eastAsia="es-ES"/>
        </w:rPr>
      </w:pPr>
    </w:p>
    <w:p w14:paraId="3547B5B2" w14:textId="77777777" w:rsidR="00CD63EB" w:rsidRPr="00CD63EB" w:rsidRDefault="00CD63EB" w:rsidP="00276A2E">
      <w:pPr>
        <w:widowControl w:val="0"/>
        <w:rPr>
          <w:rFonts w:ascii="Segoe UI" w:eastAsia="Arial Unicode MS" w:hAnsi="Segoe UI" w:cs="Segoe UI"/>
          <w:szCs w:val="24"/>
          <w:lang w:val="es-CO" w:eastAsia="es-ES"/>
        </w:rPr>
      </w:pPr>
      <w:r w:rsidRPr="00CD63EB">
        <w:rPr>
          <w:rFonts w:ascii="Segoe UI" w:eastAsia="Arial Unicode MS" w:hAnsi="Segoe UI" w:cs="Segoe UI"/>
          <w:b/>
          <w:szCs w:val="24"/>
          <w:lang w:val="es-CO" w:eastAsia="es-ES"/>
        </w:rPr>
        <w:t xml:space="preserve">2. </w:t>
      </w:r>
      <w:r w:rsidRPr="00CD63EB">
        <w:rPr>
          <w:rFonts w:ascii="Segoe UI" w:eastAsia="Arial Unicode MS" w:hAnsi="Segoe UI" w:cs="Segoe UI"/>
          <w:szCs w:val="24"/>
          <w:lang w:val="es-CO" w:eastAsia="es-ES"/>
        </w:rPr>
        <w:t>Sin condena en costas.</w:t>
      </w:r>
    </w:p>
    <w:p w14:paraId="1B122F01" w14:textId="77777777" w:rsidR="00CD63EB" w:rsidRPr="00CD63EB" w:rsidRDefault="00CD63EB" w:rsidP="00276A2E">
      <w:pPr>
        <w:widowControl w:val="0"/>
        <w:rPr>
          <w:rFonts w:ascii="Segoe UI" w:eastAsia="Arial Unicode MS" w:hAnsi="Segoe UI" w:cs="Segoe UI"/>
          <w:szCs w:val="24"/>
          <w:lang w:val="es-CO" w:eastAsia="es-ES"/>
        </w:rPr>
      </w:pPr>
    </w:p>
    <w:p w14:paraId="23A1FBD4" w14:textId="77777777" w:rsidR="00CD63EB" w:rsidRPr="00CD63EB" w:rsidRDefault="00CD63EB" w:rsidP="00276A2E">
      <w:pPr>
        <w:widowControl w:val="0"/>
        <w:rPr>
          <w:rFonts w:ascii="Segoe UI" w:eastAsia="Arial Unicode MS" w:hAnsi="Segoe UI" w:cs="Segoe UI"/>
          <w:b/>
          <w:szCs w:val="24"/>
          <w:lang w:val="es-CO" w:eastAsia="es-ES"/>
        </w:rPr>
      </w:pPr>
      <w:r w:rsidRPr="00CD63EB">
        <w:rPr>
          <w:rFonts w:ascii="Segoe UI" w:eastAsia="Arial Unicode MS" w:hAnsi="Segoe UI" w:cs="Segoe UI"/>
          <w:b/>
          <w:szCs w:val="24"/>
          <w:lang w:val="es-CO" w:eastAsia="es-ES"/>
        </w:rPr>
        <w:t>Cópiese, notifíquese, comuníquese. Devuélvase al tribunal de origen. Cúmplase.</w:t>
      </w:r>
    </w:p>
    <w:p w14:paraId="1846ABEA" w14:textId="77777777" w:rsidR="00CD63EB" w:rsidRPr="00CD63EB" w:rsidRDefault="00CD63EB" w:rsidP="00276A2E">
      <w:pPr>
        <w:widowControl w:val="0"/>
        <w:rPr>
          <w:rFonts w:ascii="Segoe UI" w:eastAsia="Arial Unicode MS" w:hAnsi="Segoe UI" w:cs="Segoe UI"/>
          <w:b/>
          <w:szCs w:val="24"/>
          <w:lang w:val="es-CO" w:eastAsia="es-ES"/>
        </w:rPr>
      </w:pPr>
    </w:p>
    <w:p w14:paraId="6A3DF6D0" w14:textId="77777777" w:rsidR="00CD63EB" w:rsidRPr="00CD63EB" w:rsidRDefault="00CD63EB" w:rsidP="00276A2E">
      <w:pPr>
        <w:widowControl w:val="0"/>
        <w:rPr>
          <w:rFonts w:ascii="Segoe UI" w:eastAsia="Arial Unicode MS" w:hAnsi="Segoe UI" w:cs="Segoe UI"/>
          <w:bCs/>
          <w:szCs w:val="24"/>
          <w:lang w:val="es-CO" w:eastAsia="es-ES"/>
        </w:rPr>
      </w:pPr>
      <w:r w:rsidRPr="00CD63EB">
        <w:rPr>
          <w:rFonts w:ascii="Segoe UI" w:eastAsia="Arial Unicode MS" w:hAnsi="Segoe UI" w:cs="Segoe UI"/>
          <w:bCs/>
          <w:szCs w:val="24"/>
          <w:lang w:val="es-CO" w:eastAsia="es-ES"/>
        </w:rPr>
        <w:t>La anterior providencia se estudió y aprobó en la sesión de la fecha.</w:t>
      </w:r>
    </w:p>
    <w:p w14:paraId="66327C5A"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39D96D06"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65386155" w14:textId="77777777" w:rsidR="00CD63EB" w:rsidRPr="00CD63EB" w:rsidRDefault="00CD63EB" w:rsidP="00276A2E">
      <w:pPr>
        <w:widowControl w:val="0"/>
        <w:suppressAutoHyphens/>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MILTON CHAVES GARCÍA</w:t>
      </w:r>
    </w:p>
    <w:p w14:paraId="3EFAF822"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Presidente de la Sala</w:t>
      </w:r>
    </w:p>
    <w:p w14:paraId="3D0E0CAA"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5F08A734"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6A0360BC"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lastRenderedPageBreak/>
        <w:t>STELLA JEANNETTE CARVAJAL BASTO</w:t>
      </w:r>
    </w:p>
    <w:p w14:paraId="1EA30D40" w14:textId="77777777" w:rsidR="00CD63EB" w:rsidRPr="00CD63EB" w:rsidRDefault="00CD63EB" w:rsidP="00276A2E">
      <w:pPr>
        <w:widowControl w:val="0"/>
        <w:suppressAutoHyphens/>
        <w:rPr>
          <w:rFonts w:ascii="Segoe UI" w:eastAsia="Times New Roman" w:hAnsi="Segoe UI" w:cs="Segoe UI"/>
          <w:b/>
          <w:szCs w:val="24"/>
          <w:lang w:val="es-CO" w:eastAsia="es-ES"/>
        </w:rPr>
      </w:pPr>
    </w:p>
    <w:p w14:paraId="70401AE0"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66540047" w14:textId="77777777" w:rsidR="00CD63EB" w:rsidRPr="00CD63EB" w:rsidRDefault="00CD63EB" w:rsidP="00276A2E">
      <w:pPr>
        <w:widowControl w:val="0"/>
        <w:suppressAutoHyphens/>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JULIO ROBERTO PIZA RODRÍGUEZ</w:t>
      </w:r>
    </w:p>
    <w:p w14:paraId="3F9B9C34"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4FC44CC2" w14:textId="77777777" w:rsidR="00CD63EB" w:rsidRPr="00CD63EB" w:rsidRDefault="00CD63EB" w:rsidP="00276A2E">
      <w:pPr>
        <w:widowControl w:val="0"/>
        <w:suppressAutoHyphens/>
        <w:rPr>
          <w:rFonts w:ascii="Segoe UI" w:eastAsia="Times New Roman" w:hAnsi="Segoe UI" w:cs="Segoe UI"/>
          <w:szCs w:val="24"/>
          <w:lang w:val="es-CO" w:eastAsia="es-ES"/>
        </w:rPr>
      </w:pPr>
    </w:p>
    <w:p w14:paraId="38C18E76" w14:textId="77777777" w:rsidR="00CD63EB" w:rsidRPr="00CD63EB" w:rsidRDefault="00CD63EB" w:rsidP="00276A2E">
      <w:pPr>
        <w:widowControl w:val="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JORGE OCTAVIO RAMÍREZ </w:t>
      </w:r>
      <w:proofErr w:type="spellStart"/>
      <w:r w:rsidRPr="00CD63EB">
        <w:rPr>
          <w:rFonts w:ascii="Segoe UI" w:eastAsia="Times New Roman" w:hAnsi="Segoe UI" w:cs="Segoe UI"/>
          <w:b/>
          <w:szCs w:val="24"/>
          <w:lang w:val="es-CO" w:eastAsia="es-ES"/>
        </w:rPr>
        <w:t>RAMÍREZ</w:t>
      </w:r>
      <w:proofErr w:type="spellEnd"/>
    </w:p>
    <w:p w14:paraId="7483127D" w14:textId="77777777" w:rsidR="00CD63EB" w:rsidRPr="00CD63EB" w:rsidRDefault="00CD63EB" w:rsidP="00276A2E">
      <w:pPr>
        <w:jc w:val="left"/>
        <w:rPr>
          <w:rFonts w:eastAsia="Times New Roman" w:cs="Times New Roman"/>
          <w:szCs w:val="24"/>
          <w:lang w:eastAsia="es-ES"/>
        </w:rPr>
      </w:pPr>
      <w:r w:rsidRPr="00CD63EB">
        <w:rPr>
          <w:rFonts w:eastAsia="Times New Roman" w:cs="Times New Roman"/>
          <w:szCs w:val="24"/>
          <w:lang w:eastAsia="es-ES"/>
        </w:rPr>
        <w:br w:type="textWrapping" w:clear="all"/>
      </w:r>
    </w:p>
    <w:p w14:paraId="63694C81" w14:textId="77777777" w:rsidR="00CD63EB" w:rsidRPr="00CD63EB" w:rsidRDefault="00000000" w:rsidP="00276A2E">
      <w:pPr>
        <w:jc w:val="left"/>
        <w:rPr>
          <w:rFonts w:eastAsia="Times New Roman" w:cs="Times New Roman"/>
          <w:szCs w:val="24"/>
          <w:lang w:eastAsia="es-ES"/>
        </w:rPr>
      </w:pPr>
      <w:r>
        <w:rPr>
          <w:rFonts w:eastAsia="Times New Roman" w:cs="Times New Roman"/>
          <w:szCs w:val="24"/>
          <w:lang w:eastAsia="es-ES"/>
        </w:rPr>
        <w:pict w14:anchorId="3F4BDB9A">
          <v:rect id="_x0000_i1025" style="width:145.85pt;height:.6pt" o:hrpct="330" o:hrstd="t" o:hr="t" fillcolor="#a0a0a0" stroked="f"/>
        </w:pict>
      </w:r>
    </w:p>
    <w:p w14:paraId="59A8DDE2" w14:textId="77777777" w:rsidR="00CD63EB" w:rsidRPr="00CD63EB" w:rsidRDefault="00CD63EB" w:rsidP="00276A2E">
      <w:pPr>
        <w:rPr>
          <w:rFonts w:ascii="Segoe UI" w:eastAsia="Times New Roman" w:hAnsi="Segoe UI" w:cs="Segoe UI"/>
          <w:sz w:val="20"/>
          <w:szCs w:val="20"/>
          <w:lang w:val="es-CO" w:eastAsia="es-ES"/>
        </w:rPr>
      </w:pPr>
      <w:r w:rsidRPr="00CD63EB">
        <w:rPr>
          <w:rFonts w:ascii="Segoe UI" w:eastAsia="Times New Roman" w:hAnsi="Segoe UI" w:cs="Segoe UI"/>
          <w:szCs w:val="24"/>
          <w:lang w:val="es-CO" w:eastAsia="es-ES"/>
        </w:rPr>
        <w:footnoteRef/>
      </w:r>
      <w:r w:rsidRPr="00CD63EB">
        <w:rPr>
          <w:rFonts w:ascii="Segoe UI" w:eastAsia="Calibri" w:hAnsi="Segoe UI" w:cs="Segoe UI"/>
          <w:sz w:val="20"/>
          <w:szCs w:val="20"/>
          <w:lang w:val="es-CO"/>
        </w:rPr>
        <w:t>[1]</w:t>
      </w:r>
      <w:r w:rsidRPr="00CD63EB">
        <w:rPr>
          <w:rFonts w:ascii="Segoe UI" w:eastAsia="Times New Roman" w:hAnsi="Segoe UI" w:cs="Segoe UI"/>
          <w:sz w:val="20"/>
          <w:szCs w:val="20"/>
          <w:lang w:val="es-CO" w:eastAsia="es-ES"/>
        </w:rPr>
        <w:t xml:space="preserve"> Reiteradas entre otras muchas en las sentencias del 26 de marzo de 2009, expediente 16169, CP: Héctor J. Romero Díaz; 24 de octubre de 2013, expediente 19454, CP: Carmen Teresa Ortiz de Rodríguez; del 6 de noviembre de 2014, expediente 20344, CP: Martha Teresa Briceño de Valencia; del 5 de febrero de 2015, expediente 20441, CP: Martha Teresa Briceño de Valencia; de 9 de abril de 2015, expediente 20243, CP: Hugo Fernando Bastidas Bárcenas; del 3 de junio de 2015, expediente 20476, CP: Carmen Teresa Ortiz de Rodríguez; del 29 de septiembre de 2015, expediente 20440, CP: Hugo Fernando Bastidas Bárcenas; del 26 de mayo de 2016, CP: Martha Teresa Briceño de Valencia, expediente 20479; 1° de junio de 2016, CP: Jorge Octavio Ramírez </w:t>
      </w:r>
      <w:proofErr w:type="spellStart"/>
      <w:r w:rsidRPr="00CD63EB">
        <w:rPr>
          <w:rFonts w:ascii="Segoe UI" w:eastAsia="Times New Roman" w:hAnsi="Segoe UI" w:cs="Segoe UI"/>
          <w:sz w:val="20"/>
          <w:szCs w:val="20"/>
          <w:lang w:val="es-CO" w:eastAsia="es-ES"/>
        </w:rPr>
        <w:t>Ramírez</w:t>
      </w:r>
      <w:proofErr w:type="spellEnd"/>
      <w:r w:rsidRPr="00CD63EB">
        <w:rPr>
          <w:rFonts w:ascii="Segoe UI" w:eastAsia="Times New Roman" w:hAnsi="Segoe UI" w:cs="Segoe UI"/>
          <w:sz w:val="20"/>
          <w:szCs w:val="20"/>
          <w:lang w:val="es-CO" w:eastAsia="es-ES"/>
        </w:rPr>
        <w:t>, expediente 21128; del 20 de septiembre de 2017, expediente 21878, CP: Milton Chaves García, del 25 de septiembre de 2017, expedientes 20800, 20910 y 20909, CP: Stella Jeannette Carvajal Basto, entre otras.</w:t>
      </w:r>
    </w:p>
    <w:p w14:paraId="3E550BF5" w14:textId="77777777" w:rsidR="00CD63EB" w:rsidRPr="00CD63EB" w:rsidRDefault="00CD63EB" w:rsidP="00276A2E">
      <w:pPr>
        <w:rPr>
          <w:rFonts w:ascii="Segoe UI" w:eastAsia="Times New Roman" w:hAnsi="Segoe UI" w:cs="Segoe UI"/>
          <w:szCs w:val="24"/>
          <w:lang w:val="es-CO" w:eastAsia="es-ES"/>
        </w:rPr>
      </w:pPr>
    </w:p>
    <w:p w14:paraId="5FB87C36" w14:textId="77777777" w:rsidR="00CD63EB" w:rsidRPr="00CD63EB" w:rsidRDefault="00CD63EB" w:rsidP="00276A2E">
      <w:pPr>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footnoteRef/>
      </w:r>
      <w:r w:rsidRPr="00CD63EB">
        <w:rPr>
          <w:rFonts w:ascii="Segoe UI" w:eastAsia="Calibri" w:hAnsi="Segoe UI" w:cs="Segoe UI"/>
          <w:sz w:val="20"/>
          <w:szCs w:val="20"/>
          <w:lang w:val="es-CO"/>
        </w:rPr>
        <w:t>[2]</w:t>
      </w:r>
      <w:r w:rsidRPr="00CD63EB">
        <w:rPr>
          <w:rFonts w:ascii="Segoe UI" w:eastAsia="Times New Roman" w:hAnsi="Segoe UI" w:cs="Segoe UI"/>
          <w:sz w:val="20"/>
          <w:szCs w:val="20"/>
          <w:lang w:val="es-CO" w:eastAsia="es-ES"/>
        </w:rPr>
        <w:t xml:space="preserve"> Sentencias de 20 de abril del 2001, expediente 11658, 20 de febrero y 4 de abril del 2003, expediente 12736 y 12897, 15 de junio del 2006, expediente 2003-00453-01, 26 de marzo del 2009, expediente 16169, 24 de octubre de 2013, expediente 19454 y 26 de marzo de 2015, expediente 20219.</w:t>
      </w:r>
    </w:p>
    <w:p w14:paraId="43820506" w14:textId="77777777" w:rsidR="00CD63EB" w:rsidRPr="00CD63EB" w:rsidRDefault="00CD63EB" w:rsidP="00276A2E">
      <w:pPr>
        <w:spacing w:after="285"/>
        <w:jc w:val="left"/>
        <w:rPr>
          <w:rFonts w:eastAsia="Times New Roman" w:cs="Times New Roman"/>
          <w:szCs w:val="24"/>
          <w:lang w:eastAsia="es-ES"/>
        </w:rPr>
      </w:pPr>
      <w:r w:rsidRPr="00CD63EB">
        <w:rPr>
          <w:rFonts w:eastAsia="Times New Roman" w:cs="Times New Roman"/>
          <w:szCs w:val="24"/>
          <w:lang w:eastAsia="es-ES"/>
        </w:rPr>
        <w:t> </w:t>
      </w:r>
    </w:p>
    <w:p w14:paraId="17099442" w14:textId="77777777" w:rsidR="007F5CC8" w:rsidRDefault="007F5CC8" w:rsidP="00276A2E"/>
    <w:sectPr w:rsidR="007F5CC8" w:rsidSect="00434AE6">
      <w:headerReference w:type="default" r:id="rId6"/>
      <w:type w:val="continuous"/>
      <w:pgSz w:w="12191" w:h="1871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499D3" w14:textId="77777777" w:rsidR="00576163" w:rsidRDefault="00576163" w:rsidP="00440908">
      <w:pPr>
        <w:spacing w:line="240" w:lineRule="auto"/>
      </w:pPr>
      <w:r>
        <w:separator/>
      </w:r>
    </w:p>
  </w:endnote>
  <w:endnote w:type="continuationSeparator" w:id="0">
    <w:p w14:paraId="2437BA28" w14:textId="77777777" w:rsidR="00576163" w:rsidRDefault="00576163" w:rsidP="00440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8426" w14:textId="77777777" w:rsidR="00576163" w:rsidRDefault="00576163" w:rsidP="00440908">
      <w:pPr>
        <w:spacing w:line="240" w:lineRule="auto"/>
      </w:pPr>
      <w:r>
        <w:separator/>
      </w:r>
    </w:p>
  </w:footnote>
  <w:footnote w:type="continuationSeparator" w:id="0">
    <w:p w14:paraId="3322367D" w14:textId="77777777" w:rsidR="00576163" w:rsidRDefault="00576163" w:rsidP="004409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776872"/>
      <w:docPartObj>
        <w:docPartGallery w:val="Page Numbers (Top of Page)"/>
        <w:docPartUnique/>
      </w:docPartObj>
    </w:sdtPr>
    <w:sdtContent>
      <w:p w14:paraId="7D6B11E4" w14:textId="2BB4E4BF" w:rsidR="00440908" w:rsidRDefault="00440908">
        <w:pPr>
          <w:pStyle w:val="Encabezado"/>
          <w:jc w:val="right"/>
        </w:pPr>
        <w:r>
          <w:fldChar w:fldCharType="begin"/>
        </w:r>
        <w:r>
          <w:instrText>PAGE   \* MERGEFORMAT</w:instrText>
        </w:r>
        <w:r>
          <w:fldChar w:fldCharType="separate"/>
        </w:r>
        <w:r>
          <w:t>2</w:t>
        </w:r>
        <w:r>
          <w:fldChar w:fldCharType="end"/>
        </w:r>
      </w:p>
    </w:sdtContent>
  </w:sdt>
  <w:p w14:paraId="584D5CB3" w14:textId="77777777" w:rsidR="00440908" w:rsidRDefault="004409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EB"/>
    <w:rsid w:val="0007492E"/>
    <w:rsid w:val="00125E16"/>
    <w:rsid w:val="001E311E"/>
    <w:rsid w:val="00276A2E"/>
    <w:rsid w:val="00434AE6"/>
    <w:rsid w:val="00440908"/>
    <w:rsid w:val="00576163"/>
    <w:rsid w:val="005923B7"/>
    <w:rsid w:val="00693CF3"/>
    <w:rsid w:val="007F5CC8"/>
    <w:rsid w:val="00846842"/>
    <w:rsid w:val="008779BE"/>
    <w:rsid w:val="009C4162"/>
    <w:rsid w:val="00CD63EB"/>
    <w:rsid w:val="00DE2FC2"/>
    <w:rsid w:val="00DE344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CDAD"/>
  <w15:chartTrackingRefBased/>
  <w15:docId w15:val="{CE43D13F-D727-4233-A7A1-B5CD7279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90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40908"/>
  </w:style>
  <w:style w:type="paragraph" w:styleId="Piedepgina">
    <w:name w:val="footer"/>
    <w:basedOn w:val="Normal"/>
    <w:link w:val="PiedepginaCar"/>
    <w:uiPriority w:val="99"/>
    <w:unhideWhenUsed/>
    <w:rsid w:val="0044090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87901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23878108">
          <w:marLeft w:val="0"/>
          <w:marRight w:val="0"/>
          <w:marTop w:val="0"/>
          <w:marBottom w:val="0"/>
          <w:divBdr>
            <w:top w:val="none" w:sz="0" w:space="0" w:color="auto"/>
            <w:left w:val="none" w:sz="0" w:space="0" w:color="auto"/>
            <w:bottom w:val="none" w:sz="0" w:space="0" w:color="auto"/>
            <w:right w:val="none" w:sz="0" w:space="0" w:color="auto"/>
          </w:divBdr>
          <w:divsChild>
            <w:div w:id="172958603">
              <w:marLeft w:val="0"/>
              <w:marRight w:val="0"/>
              <w:marTop w:val="0"/>
              <w:marBottom w:val="0"/>
              <w:divBdr>
                <w:top w:val="none" w:sz="0" w:space="0" w:color="auto"/>
                <w:left w:val="none" w:sz="0" w:space="0" w:color="auto"/>
                <w:bottom w:val="none" w:sz="0" w:space="0" w:color="auto"/>
                <w:right w:val="none" w:sz="0" w:space="0" w:color="auto"/>
              </w:divBdr>
            </w:div>
            <w:div w:id="4342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18</Pages>
  <Words>4863</Words>
  <Characters>26748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Diana Alexandra Orozco López</cp:lastModifiedBy>
  <cp:revision>3</cp:revision>
  <dcterms:created xsi:type="dcterms:W3CDTF">2024-11-14T20:57:00Z</dcterms:created>
  <dcterms:modified xsi:type="dcterms:W3CDTF">2024-11-14T21:34:00Z</dcterms:modified>
</cp:coreProperties>
</file>