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CC8" w:rsidRDefault="007F5CC8"/>
    <w:p w:rsidR="00641C11" w:rsidRPr="00641C11" w:rsidRDefault="00641C11" w:rsidP="00641C11">
      <w:pPr>
        <w:spacing w:after="0" w:line="240" w:lineRule="auto"/>
        <w:jc w:val="center"/>
        <w:rPr>
          <w:rFonts w:ascii="Segoe UI" w:eastAsia="Times New Roman" w:hAnsi="Segoe UI" w:cs="Segoe UI"/>
          <w:kern w:val="0"/>
          <w:sz w:val="21"/>
          <w:szCs w:val="21"/>
          <w:lang w:eastAsia="es-CO"/>
          <w14:ligatures w14:val="none"/>
        </w:rPr>
      </w:pPr>
      <w:r w:rsidRPr="00641C11">
        <w:rPr>
          <w:rFonts w:ascii="Segoe UI" w:eastAsia="Times New Roman" w:hAnsi="Segoe UI" w:cs="Segoe UI"/>
          <w:b/>
          <w:bCs/>
          <w:kern w:val="0"/>
          <w:sz w:val="21"/>
          <w:szCs w:val="21"/>
          <w:lang w:eastAsia="es-CO"/>
          <w14:ligatures w14:val="none"/>
        </w:rPr>
        <w:br/>
        <w:t xml:space="preserve">Oficio </w:t>
      </w:r>
      <w:proofErr w:type="spellStart"/>
      <w:r w:rsidRPr="00641C11">
        <w:rPr>
          <w:rFonts w:ascii="Segoe UI" w:eastAsia="Times New Roman" w:hAnsi="Segoe UI" w:cs="Segoe UI"/>
          <w:b/>
          <w:bCs/>
          <w:kern w:val="0"/>
          <w:sz w:val="21"/>
          <w:szCs w:val="21"/>
          <w:lang w:eastAsia="es-CO"/>
          <w14:ligatures w14:val="none"/>
        </w:rPr>
        <w:t>Nº</w:t>
      </w:r>
      <w:proofErr w:type="spellEnd"/>
      <w:r w:rsidRPr="00641C11">
        <w:rPr>
          <w:rFonts w:ascii="Segoe UI" w:eastAsia="Times New Roman" w:hAnsi="Segoe UI" w:cs="Segoe UI"/>
          <w:b/>
          <w:bCs/>
          <w:kern w:val="0"/>
          <w:sz w:val="21"/>
          <w:szCs w:val="21"/>
          <w:lang w:eastAsia="es-CO"/>
          <w14:ligatures w14:val="none"/>
        </w:rPr>
        <w:t xml:space="preserve"> 220-142346</w:t>
      </w:r>
    </w:p>
    <w:p w:rsidR="00641C11" w:rsidRPr="00641C11" w:rsidRDefault="00641C11" w:rsidP="00641C11">
      <w:pPr>
        <w:spacing w:after="0" w:line="240" w:lineRule="auto"/>
        <w:jc w:val="center"/>
        <w:rPr>
          <w:rFonts w:ascii="Segoe UI" w:eastAsia="Times New Roman" w:hAnsi="Segoe UI" w:cs="Segoe UI"/>
          <w:kern w:val="0"/>
          <w:sz w:val="21"/>
          <w:szCs w:val="21"/>
          <w:lang w:eastAsia="es-CO"/>
          <w14:ligatures w14:val="none"/>
        </w:rPr>
      </w:pPr>
      <w:r w:rsidRPr="00641C11">
        <w:rPr>
          <w:rFonts w:ascii="Segoe UI" w:eastAsia="Times New Roman" w:hAnsi="Segoe UI" w:cs="Segoe UI"/>
          <w:b/>
          <w:bCs/>
          <w:kern w:val="0"/>
          <w:sz w:val="21"/>
          <w:szCs w:val="21"/>
          <w:lang w:eastAsia="es-CO"/>
          <w14:ligatures w14:val="none"/>
        </w:rPr>
        <w:t>19-07-2023</w:t>
      </w:r>
    </w:p>
    <w:p w:rsidR="00641C11" w:rsidRPr="00641C11" w:rsidRDefault="00641C11" w:rsidP="00641C11">
      <w:pPr>
        <w:spacing w:after="0" w:line="240" w:lineRule="auto"/>
        <w:jc w:val="center"/>
        <w:rPr>
          <w:rFonts w:ascii="Segoe UI" w:eastAsia="Times New Roman" w:hAnsi="Segoe UI" w:cs="Segoe UI"/>
          <w:kern w:val="0"/>
          <w:sz w:val="21"/>
          <w:szCs w:val="21"/>
          <w:lang w:eastAsia="es-CO"/>
          <w14:ligatures w14:val="none"/>
        </w:rPr>
      </w:pPr>
      <w:r w:rsidRPr="00641C11">
        <w:rPr>
          <w:rFonts w:ascii="Segoe UI" w:eastAsia="Times New Roman" w:hAnsi="Segoe UI" w:cs="Segoe UI"/>
          <w:b/>
          <w:bCs/>
          <w:kern w:val="0"/>
          <w:sz w:val="21"/>
          <w:szCs w:val="21"/>
          <w:lang w:eastAsia="es-CO"/>
          <w14:ligatures w14:val="none"/>
        </w:rPr>
        <w:t>Superintendencia de Sociedades</w:t>
      </w:r>
    </w:p>
    <w:p w:rsidR="00641C11" w:rsidRPr="00641C11" w:rsidRDefault="00641C11" w:rsidP="00641C11">
      <w:pPr>
        <w:spacing w:after="0" w:line="240" w:lineRule="auto"/>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rPr>
          <w:rFonts w:ascii="Segoe UI" w:eastAsia="Times New Roman" w:hAnsi="Segoe UI" w:cs="Segoe UI"/>
          <w:kern w:val="0"/>
          <w:sz w:val="21"/>
          <w:szCs w:val="21"/>
          <w:lang w:eastAsia="es-CO"/>
          <w14:ligatures w14:val="none"/>
        </w:rPr>
      </w:pPr>
      <w:r w:rsidRPr="00641C11">
        <w:rPr>
          <w:rFonts w:ascii="Segoe UI" w:eastAsia="Times New Roman" w:hAnsi="Segoe UI" w:cs="Segoe UI"/>
          <w:b/>
          <w:bCs/>
          <w:kern w:val="0"/>
          <w:sz w:val="21"/>
          <w:szCs w:val="21"/>
          <w:lang w:eastAsia="es-CO"/>
          <w14:ligatures w14:val="none"/>
        </w:rPr>
        <w:t>ASUNTO EFECTOS JURÍDICOS DE LA DESIGNACIÓN DEL REVISOR FISCAL</w:t>
      </w:r>
    </w:p>
    <w:p w:rsidR="00641C11" w:rsidRPr="00641C11" w:rsidRDefault="00641C11" w:rsidP="00641C11">
      <w:pPr>
        <w:spacing w:after="0" w:line="240" w:lineRule="auto"/>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Me refiero a su escrito radicado en esta entidad como se menciona en la referencia mediante el cual solicita que se emita un concepto relacionado con el tema del asunto.</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Previo a atender lo propio, debe señalarse que, en atención al derecho de petición en la modalidad de consulta, la Superintendencia de Sociedades con fundamento en los artículos 14 y 28 de la Ley 1437 de 2011, emite conceptos de carácter general y abstracto sobre las materias a su cargo, de manera que sus respuestas a las consultas no son vinculantes ni comprometen la responsabilidad de la entidad.</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Del mismo modo, es importante señalar que la Agencia Nacional de Contratación Pública- Colombia Compra Eficiente, mediante oficio de traslado por competencia remitido a la Superintendencia de Sociedades, indicó que responderá la primera pregunta formulada, por lo que esta entidad procede a responder la segunda inquietud que se transcribe a continuación:</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ind w:left="284"/>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xml:space="preserve">“2. </w:t>
      </w:r>
      <w:proofErr w:type="gramStart"/>
      <w:r w:rsidRPr="00641C11">
        <w:rPr>
          <w:rFonts w:ascii="Segoe UI" w:eastAsia="Times New Roman" w:hAnsi="Segoe UI" w:cs="Segoe UI"/>
          <w:kern w:val="0"/>
          <w:sz w:val="21"/>
          <w:szCs w:val="21"/>
          <w:lang w:eastAsia="es-CO"/>
          <w14:ligatures w14:val="none"/>
        </w:rPr>
        <w:t>A partir de qué momento son válidas las firmas del revisor fiscal, desde su nombramiento o de sus registros en cámara?</w:t>
      </w:r>
      <w:proofErr w:type="gramEnd"/>
      <w:r w:rsidRPr="00641C11">
        <w:rPr>
          <w:rFonts w:ascii="Segoe UI" w:eastAsia="Times New Roman" w:hAnsi="Segoe UI" w:cs="Segoe UI"/>
          <w:kern w:val="0"/>
          <w:sz w:val="21"/>
          <w:szCs w:val="21"/>
          <w:lang w:eastAsia="es-CO"/>
          <w14:ligatures w14:val="none"/>
        </w:rPr>
        <w:t>”. (sic)</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Con el alcance indicado, este Despacho se permite resolver la consulta en los siguientes términos:</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Sobre el particular, esta Oficina a través de Oficio No. 220-49546 de 2014</w:t>
      </w:r>
      <w:hyperlink r:id="rId5" w:anchor="cite_note-1" w:history="1">
        <w:r w:rsidRPr="00641C11">
          <w:rPr>
            <w:rFonts w:ascii="Segoe UI" w:eastAsia="Times New Roman" w:hAnsi="Segoe UI" w:cs="Segoe UI"/>
            <w:color w:val="0645AD"/>
            <w:kern w:val="0"/>
            <w:sz w:val="21"/>
            <w:szCs w:val="21"/>
            <w:u w:val="single"/>
            <w:vertAlign w:val="superscript"/>
            <w:lang w:eastAsia="es-CO"/>
            <w14:ligatures w14:val="none"/>
          </w:rPr>
          <w:t>1</w:t>
        </w:r>
      </w:hyperlink>
      <w:r w:rsidRPr="00641C11">
        <w:rPr>
          <w:rFonts w:ascii="Segoe UI" w:eastAsia="Times New Roman" w:hAnsi="Segoe UI" w:cs="Segoe UI"/>
          <w:kern w:val="0"/>
          <w:sz w:val="21"/>
          <w:szCs w:val="21"/>
          <w:lang w:eastAsia="es-CO"/>
          <w14:ligatures w14:val="none"/>
        </w:rPr>
        <w:t> se pronunció en los siguientes términos:</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ind w:left="284"/>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de acuerdo con el artículo 164 del Código de Comercio, “Las personas inscritas en la cámara de comercio del domicilio social como representantes de una sociedad, así como los revisores fiscales, conservarán tal carácter para todos los efectos legales, mientras no se cancele su inscripción mediante el registro de un nuevo nombramiento o elección.</w:t>
      </w:r>
    </w:p>
    <w:p w:rsidR="00641C11" w:rsidRPr="00641C11" w:rsidRDefault="00641C11" w:rsidP="00641C11">
      <w:pPr>
        <w:spacing w:after="0" w:line="240" w:lineRule="auto"/>
        <w:ind w:left="284"/>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ind w:left="284"/>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La simple confirmación o reelección de las personas ya inscritas no requerirá de nueva inscripción”.</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Al respecto, la Corte Constitucional en Sentencia C-621 del 29 de julio de 2003, al pronunciarse sobre la constitucionalidad de los artículos 164 y 442 del Código de Comercio, afirmó lo siguiente: “del texto de los artículos acusados no se deduce con claridad si los efectos de la falta de inscripción del “nuevo nombramiento” se producen únicamente frente a terceros. En efecto, las normas no sólo no lo señalan, sino que el artículo 164 dice que el representante o revisor “</w:t>
      </w:r>
      <w:r w:rsidRPr="00641C11">
        <w:rPr>
          <w:rFonts w:ascii="Segoe UI" w:eastAsia="Times New Roman" w:hAnsi="Segoe UI" w:cs="Segoe UI"/>
          <w:kern w:val="0"/>
          <w:sz w:val="21"/>
          <w:szCs w:val="21"/>
          <w:u w:val="single"/>
          <w:lang w:eastAsia="es-CO"/>
          <w14:ligatures w14:val="none"/>
        </w:rPr>
        <w:t>para todos los efectos legales”</w:t>
      </w:r>
      <w:r w:rsidRPr="00641C11">
        <w:rPr>
          <w:rFonts w:ascii="Segoe UI" w:eastAsia="Times New Roman" w:hAnsi="Segoe UI" w:cs="Segoe UI"/>
          <w:kern w:val="0"/>
          <w:sz w:val="21"/>
          <w:szCs w:val="21"/>
          <w:lang w:eastAsia="es-CO"/>
          <w14:ligatures w14:val="none"/>
        </w:rPr>
        <w:t> continuará siendo el que aparece inscrito. Aunque es dable pensar que el conocimiento que tengan los socios respecto de la causa que puso fin al ejercicio del cargo hace que frente a ellos y a la sociedad sí sea oponible la desvinculación y que por lo tanto ante ellos no exista la responsabilidad inherente a la función de representante legal o revisor fiscal, en cierta clase de sociedades, especialmente en las anónimas, no es presumible el conocimiento general por parte de los socios respecto de la renuncia, remoción, muerte o cualquier otra causa de retiro del cargo.</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b/>
          <w:bCs/>
          <w:kern w:val="0"/>
          <w:sz w:val="21"/>
          <w:szCs w:val="21"/>
          <w:lang w:eastAsia="es-CO"/>
          <w14:ligatures w14:val="none"/>
        </w:rPr>
        <w:t>El precepto normativo permite concluir que el registro del nombramiento de representante legal o revisor fiscal tiene un carácter constitutivo, en cuanto a que los efectos jurídicos de la designación no se producen sino con la inscripción en la Cámara de Comercio</w:t>
      </w:r>
      <w:r w:rsidRPr="00641C11">
        <w:rPr>
          <w:rFonts w:ascii="Segoe UI" w:eastAsia="Times New Roman" w:hAnsi="Segoe UI" w:cs="Segoe UI"/>
          <w:kern w:val="0"/>
          <w:sz w:val="21"/>
          <w:szCs w:val="21"/>
          <w:lang w:eastAsia="es-CO"/>
          <w14:ligatures w14:val="none"/>
        </w:rPr>
        <w:t>, pues la norma expresamente señala que para todos los efectos legales quien figure como revisor o representante legal, lo seguirá siendo hasta tanto continúe inscrito en el registro mercantil”.</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En línea con lo anterior, la Corte Constitucional</w:t>
      </w:r>
      <w:hyperlink r:id="rId6" w:anchor="cite_note-2" w:history="1">
        <w:r w:rsidRPr="00641C11">
          <w:rPr>
            <w:rFonts w:ascii="Segoe UI" w:eastAsia="Times New Roman" w:hAnsi="Segoe UI" w:cs="Segoe UI"/>
            <w:color w:val="0645AD"/>
            <w:kern w:val="0"/>
            <w:sz w:val="21"/>
            <w:szCs w:val="21"/>
            <w:u w:val="single"/>
            <w:vertAlign w:val="superscript"/>
            <w:lang w:eastAsia="es-CO"/>
            <w14:ligatures w14:val="none"/>
          </w:rPr>
          <w:t>2</w:t>
        </w:r>
      </w:hyperlink>
      <w:r w:rsidRPr="00641C11">
        <w:rPr>
          <w:rFonts w:ascii="Segoe UI" w:eastAsia="Times New Roman" w:hAnsi="Segoe UI" w:cs="Segoe UI"/>
          <w:kern w:val="0"/>
          <w:sz w:val="21"/>
          <w:szCs w:val="21"/>
          <w:lang w:eastAsia="es-CO"/>
          <w14:ligatures w14:val="none"/>
        </w:rPr>
        <w:t> determinó lo siguiente:</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ind w:left="284"/>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lastRenderedPageBreak/>
        <w:t>“Como puede verse, el alcance normativo de las anteriores disposiciones (Se refiere a los artículos 164 y 442 del Código de Comercio) consiste en establecer que </w:t>
      </w:r>
      <w:r w:rsidRPr="00641C11">
        <w:rPr>
          <w:rFonts w:ascii="Segoe UI" w:eastAsia="Times New Roman" w:hAnsi="Segoe UI" w:cs="Segoe UI"/>
          <w:b/>
          <w:bCs/>
          <w:kern w:val="0"/>
          <w:sz w:val="21"/>
          <w:szCs w:val="21"/>
          <w:lang w:eastAsia="es-CO"/>
          <w14:ligatures w14:val="none"/>
        </w:rPr>
        <w:t>la designación de </w:t>
      </w:r>
      <w:r w:rsidRPr="00641C11">
        <w:rPr>
          <w:rFonts w:ascii="Segoe UI" w:eastAsia="Times New Roman" w:hAnsi="Segoe UI" w:cs="Segoe UI"/>
          <w:kern w:val="0"/>
          <w:sz w:val="21"/>
          <w:szCs w:val="21"/>
          <w:lang w:eastAsia="es-CO"/>
          <w14:ligatures w14:val="none"/>
        </w:rPr>
        <w:t>representantes legales y </w:t>
      </w:r>
      <w:r w:rsidRPr="00641C11">
        <w:rPr>
          <w:rFonts w:ascii="Segoe UI" w:eastAsia="Times New Roman" w:hAnsi="Segoe UI" w:cs="Segoe UI"/>
          <w:b/>
          <w:bCs/>
          <w:kern w:val="0"/>
          <w:sz w:val="21"/>
          <w:szCs w:val="21"/>
          <w:lang w:eastAsia="es-CO"/>
          <w14:ligatures w14:val="none"/>
        </w:rPr>
        <w:t>revisores fiscales sólo produce efectos jurídicos cuando ha sido inscrita en el registro mercantil</w:t>
      </w:r>
      <w:r w:rsidRPr="00641C11">
        <w:rPr>
          <w:rFonts w:ascii="Segoe UI" w:eastAsia="Times New Roman" w:hAnsi="Segoe UI" w:cs="Segoe UI"/>
          <w:kern w:val="0"/>
          <w:sz w:val="21"/>
          <w:szCs w:val="21"/>
          <w:lang w:eastAsia="es-CO"/>
          <w14:ligatures w14:val="none"/>
        </w:rPr>
        <w:t>. Ahora bien, cuando por cualquier causa (renuncia, remoción, muerte, etc.), la persona cuyo nombre aparece inscrito deja de ocupar cargo, el sólo registro de este hecho no es suficiente para que cesen sus obligaciones y responsabilidades como tal, pues lo que determina esta cesación no es el registro de la renuncia, remoción, muerte, incapacidad o cualquier otra circunstancia que ponga fin al ejercicio de sus funciones, sino la inscripción cómo representante legal o revisor fiscal de la persona llamada a reemplazarlo.</w:t>
      </w:r>
    </w:p>
    <w:p w:rsidR="00641C11" w:rsidRPr="00641C11" w:rsidRDefault="00641C11" w:rsidP="00641C11">
      <w:pPr>
        <w:spacing w:after="0" w:line="240" w:lineRule="auto"/>
        <w:ind w:left="284"/>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641C11" w:rsidRPr="00641C11" w:rsidRDefault="00641C11" w:rsidP="00641C11">
      <w:pPr>
        <w:spacing w:after="0" w:line="240" w:lineRule="auto"/>
        <w:ind w:left="284"/>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En efecto, a pesar de que el artículo 163 del Código de Comercio permite el registro de la revocación de los administradores o revisores fiscales, no es esta inscripción la que pone fin a las obligaciones y responsabilidades de quienes ejercen estos cargos, sino que, por mandato de las normas acusadas, solamente el “registro de un nuevo nombramiento” desvincula definitivamente tal responsabilidad suya frente a la sociedad” (Negrilla fuera del texto)</w:t>
      </w:r>
    </w:p>
    <w:p w:rsidR="00641C11" w:rsidRPr="00641C11" w:rsidRDefault="00641C11" w:rsidP="00641C11">
      <w:pPr>
        <w:spacing w:after="0" w:line="240" w:lineRule="auto"/>
        <w:jc w:val="both"/>
        <w:rPr>
          <w:rFonts w:ascii="Segoe UI" w:eastAsia="Times New Roman" w:hAnsi="Segoe UI" w:cs="Segoe UI"/>
          <w:kern w:val="0"/>
          <w:sz w:val="21"/>
          <w:szCs w:val="21"/>
          <w:lang w:eastAsia="es-CO"/>
          <w14:ligatures w14:val="none"/>
        </w:rPr>
      </w:pPr>
      <w:r w:rsidRPr="00641C11">
        <w:rPr>
          <w:rFonts w:ascii="Segoe UI" w:eastAsia="Times New Roman" w:hAnsi="Segoe UI" w:cs="Segoe UI"/>
          <w:kern w:val="0"/>
          <w:sz w:val="21"/>
          <w:szCs w:val="21"/>
          <w:lang w:eastAsia="es-CO"/>
          <w14:ligatures w14:val="none"/>
        </w:rPr>
        <w:t> </w:t>
      </w:r>
    </w:p>
    <w:p w:rsidR="00F54D5B" w:rsidRDefault="00641C11" w:rsidP="00641C11">
      <w:pPr>
        <w:jc w:val="both"/>
      </w:pPr>
      <w:r w:rsidRPr="00641C11">
        <w:rPr>
          <w:rFonts w:ascii="Segoe UI" w:eastAsia="Times New Roman" w:hAnsi="Segoe UI" w:cs="Segoe UI"/>
          <w:kern w:val="0"/>
          <w:sz w:val="21"/>
          <w:szCs w:val="21"/>
          <w:lang w:eastAsia="es-CO"/>
          <w14:ligatures w14:val="none"/>
        </w:rPr>
        <w:t>Así las cosas, el registro del nombramiento de representante legal o revisor fiscal tiene un carácter constitutivo, en la medida que tal designación sólo produce efectos jurídicos cuando ha sido inscrita en la respectiva cámara de comercio.</w:t>
      </w:r>
    </w:p>
    <w:p w:rsidR="00F54D5B" w:rsidRDefault="00F54D5B" w:rsidP="00641C11">
      <w:pPr>
        <w:spacing w:after="0" w:line="240" w:lineRule="auto"/>
        <w:jc w:val="both"/>
        <w:rPr>
          <w:rFonts w:ascii="Segoe UI" w:eastAsia="Times New Roman" w:hAnsi="Segoe UI" w:cs="Segoe UI"/>
          <w:color w:val="000000"/>
          <w:kern w:val="0"/>
          <w:sz w:val="21"/>
          <w:szCs w:val="21"/>
          <w:lang w:eastAsia="es-CO"/>
          <w14:ligatures w14:val="none"/>
        </w:rPr>
      </w:pPr>
    </w:p>
    <w:p w:rsidR="00F54D5B" w:rsidRDefault="00F54D5B" w:rsidP="00641C11">
      <w:pPr>
        <w:spacing w:after="0" w:line="240" w:lineRule="auto"/>
        <w:jc w:val="both"/>
        <w:rPr>
          <w:rFonts w:ascii="Segoe UI" w:eastAsia="Times New Roman" w:hAnsi="Segoe UI" w:cs="Segoe UI"/>
          <w:color w:val="000000"/>
          <w:kern w:val="0"/>
          <w:sz w:val="21"/>
          <w:szCs w:val="21"/>
          <w:lang w:eastAsia="es-CO"/>
          <w14:ligatures w14:val="none"/>
        </w:rPr>
      </w:pPr>
    </w:p>
    <w:p w:rsidR="00F54D5B" w:rsidRPr="00F54D5B" w:rsidRDefault="00F54D5B" w:rsidP="00641C11">
      <w:pPr>
        <w:spacing w:after="0" w:line="240" w:lineRule="auto"/>
        <w:jc w:val="both"/>
        <w:rPr>
          <w:rFonts w:ascii="Segoe UI" w:eastAsia="Times New Roman" w:hAnsi="Segoe UI" w:cs="Segoe UI"/>
          <w:color w:val="000000"/>
          <w:kern w:val="0"/>
          <w:sz w:val="21"/>
          <w:szCs w:val="21"/>
          <w:lang w:eastAsia="es-CO"/>
          <w14:ligatures w14:val="none"/>
        </w:rPr>
      </w:pPr>
      <w:r w:rsidRPr="00F54D5B">
        <w:rPr>
          <w:rFonts w:ascii="Segoe UI" w:eastAsia="Times New Roman" w:hAnsi="Segoe UI" w:cs="Segoe UI"/>
          <w:color w:val="000000"/>
          <w:kern w:val="0"/>
          <w:sz w:val="21"/>
          <w:szCs w:val="21"/>
          <w:lang w:eastAsia="es-CO"/>
          <w14:ligatures w14:val="none"/>
        </w:rPr>
        <w:t>En los anteriores términos su solicitud ha sido atendida en el plazo y con los efectos descritos en el artículo 28 del Código de Procedimiento Administrativo y de lo Contencioso Administrativo sustituido por el artículo 1º de la Ley 1755 de 2015, no sin antes señalar que puede consultarse en la página web de la Entidad la normatividad, los conceptos jurídicos respecto de los temas de su interés, así como la herramienta tecnológica Tesauro donde podrá encontrar mayor información al respecto de la doctrina y la jurisprudencia emitida por la entidad.</w:t>
      </w:r>
    </w:p>
    <w:p w:rsidR="00F54D5B" w:rsidRPr="00F54D5B" w:rsidRDefault="00F54D5B" w:rsidP="00641C11">
      <w:pPr>
        <w:spacing w:after="0" w:line="240" w:lineRule="auto"/>
        <w:jc w:val="both"/>
        <w:rPr>
          <w:rFonts w:ascii="Segoe UI" w:eastAsia="Times New Roman" w:hAnsi="Segoe UI" w:cs="Segoe UI"/>
          <w:color w:val="000000"/>
          <w:kern w:val="0"/>
          <w:sz w:val="21"/>
          <w:szCs w:val="21"/>
          <w:lang w:eastAsia="es-CO"/>
          <w14:ligatures w14:val="none"/>
        </w:rPr>
      </w:pPr>
      <w:r w:rsidRPr="00F54D5B">
        <w:rPr>
          <w:rFonts w:ascii="Segoe UI" w:eastAsia="Times New Roman" w:hAnsi="Segoe UI" w:cs="Segoe UI"/>
          <w:color w:val="000000"/>
          <w:kern w:val="0"/>
          <w:sz w:val="21"/>
          <w:szCs w:val="21"/>
          <w:lang w:eastAsia="es-CO"/>
          <w14:ligatures w14:val="none"/>
        </w:rPr>
        <w:t> </w:t>
      </w:r>
    </w:p>
    <w:p w:rsidR="00F54D5B" w:rsidRPr="00F54D5B" w:rsidRDefault="00F54D5B" w:rsidP="00F54D5B">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F54D5B">
        <w:rPr>
          <w:rFonts w:ascii="Segoe UI" w:eastAsia="Times New Roman" w:hAnsi="Segoe UI" w:cs="Segoe UI"/>
          <w:b/>
          <w:bCs/>
          <w:color w:val="000000"/>
          <w:kern w:val="0"/>
          <w:sz w:val="21"/>
          <w:szCs w:val="21"/>
          <w:lang w:eastAsia="es-CO"/>
          <w14:ligatures w14:val="none"/>
        </w:rPr>
        <w:t>Notas al pie</w:t>
      </w:r>
    </w:p>
    <w:p w:rsidR="00F54D5B" w:rsidRDefault="00F54D5B"/>
    <w:p w:rsidR="00F54D5B" w:rsidRDefault="00F54D5B">
      <w:r>
        <w:t>____________________________________________________________________________</w:t>
      </w:r>
    </w:p>
    <w:p w:rsidR="00F54D5B" w:rsidRPr="00F54D5B" w:rsidRDefault="00F54D5B" w:rsidP="00F54D5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7" w:anchor="cite_ref-1" w:tooltip="Volver arriba" w:history="1">
        <w:r w:rsidRPr="00F54D5B">
          <w:rPr>
            <w:rFonts w:ascii="Segoe UI" w:eastAsia="Times New Roman" w:hAnsi="Segoe UI" w:cs="Segoe UI"/>
            <w:color w:val="0645AD"/>
            <w:kern w:val="0"/>
            <w:sz w:val="21"/>
            <w:szCs w:val="21"/>
            <w:u w:val="single"/>
            <w:lang w:eastAsia="es-CO"/>
            <w14:ligatures w14:val="none"/>
          </w:rPr>
          <w:t>↑</w:t>
        </w:r>
      </w:hyperlink>
      <w:r w:rsidRPr="00F54D5B">
        <w:rPr>
          <w:rFonts w:ascii="Segoe UI" w:eastAsia="Times New Roman" w:hAnsi="Segoe UI" w:cs="Segoe UI"/>
          <w:color w:val="000000"/>
          <w:kern w:val="0"/>
          <w:sz w:val="21"/>
          <w:szCs w:val="21"/>
          <w:lang w:eastAsia="es-CO"/>
          <w14:ligatures w14:val="none"/>
        </w:rPr>
        <w:t> COLOMBIA. Superintendencia de Sociedades. Oficio 220-49546 (27 de septiembre de 2014). Asunto: Consecuencias jurídicas por el no registro en la Cámara de Comercio, del nombramiento del revisor fiscal. Disponible en: </w:t>
      </w:r>
      <w:hyperlink r:id="rId8" w:tgtFrame="_blank" w:history="1">
        <w:r w:rsidRPr="00F54D5B">
          <w:rPr>
            <w:rFonts w:ascii="Segoe UI" w:eastAsia="Times New Roman" w:hAnsi="Segoe UI" w:cs="Segoe UI"/>
            <w:color w:val="0645AD"/>
            <w:kern w:val="0"/>
            <w:sz w:val="21"/>
            <w:szCs w:val="21"/>
            <w:u w:val="single"/>
            <w:lang w:eastAsia="es-CO"/>
            <w14:ligatures w14:val="none"/>
          </w:rPr>
          <w:t>https://tesauro.supersociedades.gov.co/jsonviewer/1IGLEYIB4r6qVUO6QR7X#/</w:t>
        </w:r>
      </w:hyperlink>
    </w:p>
    <w:p w:rsidR="00F54D5B" w:rsidRPr="00F54D5B" w:rsidRDefault="00F54D5B" w:rsidP="00F54D5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9" w:anchor="cite_ref-2" w:tooltip="Volver arriba" w:history="1">
        <w:r w:rsidRPr="00F54D5B">
          <w:rPr>
            <w:rFonts w:ascii="Segoe UI" w:eastAsia="Times New Roman" w:hAnsi="Segoe UI" w:cs="Segoe UI"/>
            <w:color w:val="0645AD"/>
            <w:kern w:val="0"/>
            <w:sz w:val="21"/>
            <w:szCs w:val="21"/>
            <w:u w:val="single"/>
            <w:lang w:eastAsia="es-CO"/>
            <w14:ligatures w14:val="none"/>
          </w:rPr>
          <w:t>↑</w:t>
        </w:r>
      </w:hyperlink>
      <w:r w:rsidRPr="00F54D5B">
        <w:rPr>
          <w:rFonts w:ascii="Segoe UI" w:eastAsia="Times New Roman" w:hAnsi="Segoe UI" w:cs="Segoe UI"/>
          <w:color w:val="000000"/>
          <w:kern w:val="0"/>
          <w:sz w:val="21"/>
          <w:szCs w:val="21"/>
          <w:lang w:eastAsia="es-CO"/>
          <w14:ligatures w14:val="none"/>
        </w:rPr>
        <w:t> Corte Constitucional, Expediente D-4450 del 29 de julio de 2003. Magistrado Ponente: MARCO GERARDO MONROY CABRA.</w:t>
      </w:r>
    </w:p>
    <w:p w:rsidR="00F54D5B" w:rsidRDefault="00F54D5B"/>
    <w:sectPr w:rsidR="00F54D5B"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2682"/>
    <w:multiLevelType w:val="multilevel"/>
    <w:tmpl w:val="0FE8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959E5"/>
    <w:multiLevelType w:val="multilevel"/>
    <w:tmpl w:val="C0DAF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85348">
    <w:abstractNumId w:val="1"/>
  </w:num>
  <w:num w:numId="2" w16cid:durableId="10107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5B"/>
    <w:rsid w:val="000F3837"/>
    <w:rsid w:val="001E311E"/>
    <w:rsid w:val="00434AE6"/>
    <w:rsid w:val="005D25EE"/>
    <w:rsid w:val="00641C11"/>
    <w:rsid w:val="007F5CC8"/>
    <w:rsid w:val="008779BE"/>
    <w:rsid w:val="00EB5ADB"/>
    <w:rsid w:val="00F54D5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C857"/>
  <w15:chartTrackingRefBased/>
  <w15:docId w15:val="{4F215207-C325-4950-8BCE-16917228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1C11"/>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641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4220">
      <w:bodyDiv w:val="1"/>
      <w:marLeft w:val="0"/>
      <w:marRight w:val="0"/>
      <w:marTop w:val="0"/>
      <w:marBottom w:val="0"/>
      <w:divBdr>
        <w:top w:val="none" w:sz="0" w:space="0" w:color="auto"/>
        <w:left w:val="none" w:sz="0" w:space="0" w:color="auto"/>
        <w:bottom w:val="none" w:sz="0" w:space="0" w:color="auto"/>
        <w:right w:val="none" w:sz="0" w:space="0" w:color="auto"/>
      </w:divBdr>
    </w:div>
    <w:div w:id="550115065">
      <w:bodyDiv w:val="1"/>
      <w:marLeft w:val="0"/>
      <w:marRight w:val="0"/>
      <w:marTop w:val="0"/>
      <w:marBottom w:val="0"/>
      <w:divBdr>
        <w:top w:val="none" w:sz="0" w:space="0" w:color="auto"/>
        <w:left w:val="none" w:sz="0" w:space="0" w:color="auto"/>
        <w:bottom w:val="none" w:sz="0" w:space="0" w:color="auto"/>
        <w:right w:val="none" w:sz="0" w:space="0" w:color="auto"/>
      </w:divBdr>
    </w:div>
    <w:div w:id="558398904">
      <w:bodyDiv w:val="1"/>
      <w:marLeft w:val="0"/>
      <w:marRight w:val="0"/>
      <w:marTop w:val="0"/>
      <w:marBottom w:val="0"/>
      <w:divBdr>
        <w:top w:val="none" w:sz="0" w:space="0" w:color="auto"/>
        <w:left w:val="none" w:sz="0" w:space="0" w:color="auto"/>
        <w:bottom w:val="none" w:sz="0" w:space="0" w:color="auto"/>
        <w:right w:val="none" w:sz="0" w:space="0" w:color="auto"/>
      </w:divBdr>
    </w:div>
    <w:div w:id="1449350012">
      <w:bodyDiv w:val="1"/>
      <w:marLeft w:val="0"/>
      <w:marRight w:val="0"/>
      <w:marTop w:val="0"/>
      <w:marBottom w:val="0"/>
      <w:divBdr>
        <w:top w:val="none" w:sz="0" w:space="0" w:color="auto"/>
        <w:left w:val="none" w:sz="0" w:space="0" w:color="auto"/>
        <w:bottom w:val="none" w:sz="0" w:space="0" w:color="auto"/>
        <w:right w:val="none" w:sz="0" w:space="0" w:color="auto"/>
      </w:divBdr>
    </w:div>
    <w:div w:id="19225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auro.supersociedades.gov.co/jsonviewer/1IGLEYIB4r6qVUO6QR7X"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48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48782" TargetMode="External"/><Relationship Id="rId11" Type="http://schemas.openxmlformats.org/officeDocument/2006/relationships/theme" Target="theme/theme1.xml"/><Relationship Id="rId5" Type="http://schemas.openxmlformats.org/officeDocument/2006/relationships/hyperlink" Target="https://www.ceta.org.co/html/vista_de_un_documento.asp?DocumentoID=487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documento.asp?DocumentoID=487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1020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2023-08-11T16:49:00Z</dcterms:created>
  <dcterms:modified xsi:type="dcterms:W3CDTF">2023-08-11T17:06:00Z</dcterms:modified>
</cp:coreProperties>
</file>