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C697" w14:textId="77777777" w:rsidR="002D2844" w:rsidRPr="002D2844" w:rsidRDefault="002D2844" w:rsidP="002D2844">
      <w:pPr>
        <w:spacing w:after="0" w:line="240" w:lineRule="auto"/>
        <w:jc w:val="right"/>
        <w:rPr>
          <w:rFonts w:ascii="Segoe UI" w:eastAsia="Times New Roman" w:hAnsi="Segoe UI" w:cs="Segoe UI"/>
          <w:color w:val="B4B4B4"/>
          <w:kern w:val="0"/>
          <w:sz w:val="21"/>
          <w:szCs w:val="21"/>
          <w:lang w:eastAsia="es-CO"/>
          <w14:ligatures w14:val="none"/>
        </w:rPr>
      </w:pPr>
      <w:r w:rsidRPr="002D2844">
        <w:rPr>
          <w:rFonts w:ascii="Segoe UI" w:eastAsia="Times New Roman" w:hAnsi="Segoe UI" w:cs="Segoe UI"/>
          <w:b/>
          <w:bCs/>
          <w:color w:val="2558AD"/>
          <w:kern w:val="0"/>
          <w:sz w:val="25"/>
          <w:szCs w:val="25"/>
          <w:lang w:eastAsia="es-CO"/>
          <w14:ligatures w14:val="none"/>
        </w:rPr>
        <w:t>ESTATUTO TRIBUTARIO</w:t>
      </w:r>
      <w:r w:rsidRPr="002D2844">
        <w:rPr>
          <w:rFonts w:ascii="Segoe UI" w:eastAsia="Times New Roman" w:hAnsi="Segoe UI" w:cs="Segoe UI"/>
          <w:color w:val="B4B4B4"/>
          <w:kern w:val="0"/>
          <w:sz w:val="21"/>
          <w:szCs w:val="21"/>
          <w:lang w:eastAsia="es-CO"/>
          <w14:ligatures w14:val="none"/>
        </w:rPr>
        <w:br/>
        <w:t xml:space="preserve">LIBRO QUINTO - </w:t>
      </w:r>
      <w:r w:rsidRPr="002D2844">
        <w:rPr>
          <w:rFonts w:ascii="Segoe UI" w:eastAsia="Times New Roman" w:hAnsi="Segoe UI" w:cs="Segoe UI"/>
          <w:b/>
          <w:bCs/>
          <w:color w:val="B4B4B4"/>
          <w:kern w:val="0"/>
          <w:sz w:val="21"/>
          <w:szCs w:val="21"/>
          <w:lang w:eastAsia="es-CO"/>
          <w14:ligatures w14:val="none"/>
        </w:rPr>
        <w:t>PROCEDIMIENTO TRIBUTARIO</w:t>
      </w:r>
      <w:r w:rsidRPr="002D2844">
        <w:rPr>
          <w:rFonts w:ascii="Segoe UI" w:eastAsia="Times New Roman" w:hAnsi="Segoe UI" w:cs="Segoe UI"/>
          <w:color w:val="B4B4B4"/>
          <w:kern w:val="0"/>
          <w:sz w:val="21"/>
          <w:szCs w:val="21"/>
          <w:lang w:eastAsia="es-CO"/>
          <w14:ligatures w14:val="none"/>
        </w:rPr>
        <w:br/>
        <w:t xml:space="preserve">TÍTULO III - </w:t>
      </w:r>
      <w:r w:rsidRPr="002D2844">
        <w:rPr>
          <w:rFonts w:ascii="Segoe UI" w:eastAsia="Times New Roman" w:hAnsi="Segoe UI" w:cs="Segoe UI"/>
          <w:b/>
          <w:bCs/>
          <w:color w:val="B4B4B4"/>
          <w:kern w:val="0"/>
          <w:sz w:val="21"/>
          <w:szCs w:val="21"/>
          <w:lang w:eastAsia="es-CO"/>
          <w14:ligatures w14:val="none"/>
        </w:rPr>
        <w:t>SANCIONES</w:t>
      </w:r>
    </w:p>
    <w:p w14:paraId="43BE60E7" w14:textId="77777777" w:rsidR="002D2844" w:rsidRPr="002D2844" w:rsidRDefault="002D2844" w:rsidP="002D2844">
      <w:pPr>
        <w:spacing w:after="270" w:line="240" w:lineRule="auto"/>
        <w:jc w:val="both"/>
        <w:rPr>
          <w:rFonts w:ascii="Segoe UI" w:eastAsia="Times New Roman" w:hAnsi="Segoe UI" w:cs="Segoe UI"/>
          <w:kern w:val="0"/>
          <w:sz w:val="27"/>
          <w:szCs w:val="27"/>
          <w:lang w:eastAsia="es-CO"/>
          <w14:ligatures w14:val="none"/>
        </w:rPr>
      </w:pPr>
    </w:p>
    <w:p w14:paraId="799853C8" w14:textId="77777777" w:rsidR="002D2844" w:rsidRPr="002D2844" w:rsidRDefault="002D2844" w:rsidP="002D2844">
      <w:pPr>
        <w:spacing w:after="0" w:line="240" w:lineRule="auto"/>
        <w:jc w:val="both"/>
        <w:rPr>
          <w:rFonts w:ascii="Segoe UI" w:eastAsia="Times New Roman" w:hAnsi="Segoe UI" w:cs="Segoe UI"/>
          <w:b/>
          <w:bCs/>
          <w:kern w:val="0"/>
          <w:sz w:val="36"/>
          <w:szCs w:val="36"/>
          <w:lang w:eastAsia="es-CO"/>
          <w14:ligatures w14:val="none"/>
        </w:rPr>
      </w:pPr>
      <w:r w:rsidRPr="002D2844">
        <w:rPr>
          <w:rFonts w:ascii="Segoe UI" w:eastAsia="Times New Roman" w:hAnsi="Segoe UI" w:cs="Segoe UI"/>
          <w:b/>
          <w:bCs/>
          <w:kern w:val="0"/>
          <w:sz w:val="36"/>
          <w:szCs w:val="36"/>
          <w:lang w:eastAsia="es-CO"/>
          <w14:ligatures w14:val="none"/>
        </w:rPr>
        <w:t>Sanciones relacionadas con la contabilidad y de clausura del establecimiento</w:t>
      </w:r>
    </w:p>
    <w:p w14:paraId="63D32600" w14:textId="77777777" w:rsidR="002D2844" w:rsidRPr="002D2844" w:rsidRDefault="002D2844" w:rsidP="002D2844">
      <w:pPr>
        <w:spacing w:after="270" w:line="240" w:lineRule="auto"/>
        <w:jc w:val="both"/>
        <w:rPr>
          <w:rFonts w:ascii="Segoe UI" w:eastAsia="Times New Roman" w:hAnsi="Segoe UI" w:cs="Segoe UI"/>
          <w:kern w:val="0"/>
          <w:sz w:val="27"/>
          <w:szCs w:val="27"/>
          <w:lang w:eastAsia="es-CO"/>
          <w14:ligatures w14:val="none"/>
        </w:rPr>
      </w:pPr>
      <w:bookmarkStart w:id="0" w:name="INorma817"/>
      <w:bookmarkEnd w:id="0"/>
    </w:p>
    <w:p w14:paraId="3665C211"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b/>
          <w:bCs/>
          <w:kern w:val="0"/>
          <w:sz w:val="27"/>
          <w:szCs w:val="27"/>
          <w:lang w:eastAsia="es-CO"/>
          <w14:ligatures w14:val="none"/>
        </w:rPr>
        <w:t>ARTÍCULO 657. Sanción de clausura del establecimiento.</w:t>
      </w:r>
      <w:r w:rsidRPr="002D2844">
        <w:rPr>
          <w:rFonts w:ascii="Segoe UI" w:eastAsia="Times New Roman" w:hAnsi="Segoe UI" w:cs="Segoe UI"/>
          <w:kern w:val="0"/>
          <w:sz w:val="27"/>
          <w:szCs w:val="27"/>
          <w:lang w:eastAsia="es-CO"/>
          <w14:ligatures w14:val="none"/>
        </w:rPr>
        <w:t xml:space="preserve"> Inciso 1. Modificado. Ley 2010/2019, Art. 111. La Administración Tributaria podrá imponer la sanción de clausura o cierre del establecimiento de comercio, oficina, consultorio y, en general, del sitio donde se ejerza la actividad, profesión u oficio, mediante la imposición de sellos oficiales que contendrán la leyenda "CERRADO POR LA DIAN" en los siguientes casos:</w:t>
      </w:r>
    </w:p>
    <w:p w14:paraId="78D2C783" w14:textId="77777777" w:rsidR="002D2844" w:rsidRPr="002D2844" w:rsidRDefault="002D2844" w:rsidP="002D2844">
      <w:pPr>
        <w:spacing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kern w:val="0"/>
          <w:sz w:val="27"/>
          <w:szCs w:val="27"/>
          <w:highlight w:val="yellow"/>
          <w:lang w:eastAsia="es-CO"/>
          <w14:ligatures w14:val="none"/>
        </w:rPr>
        <w:t xml:space="preserve">1. Por un término de tres (3) días, cuando no se expida factura o documento equivalente estando obligado a ello, o se expida sin los requisitos establecidos en los literales b), c), d), e), f), o g) del </w:t>
      </w:r>
      <w:hyperlink r:id="rId4" w:tooltip="NormaSIT:761" w:history="1">
        <w:r w:rsidRPr="002D2844">
          <w:rPr>
            <w:rFonts w:ascii="Segoe UI" w:eastAsia="Times New Roman" w:hAnsi="Segoe UI" w:cs="Segoe UI"/>
            <w:color w:val="000000"/>
            <w:kern w:val="0"/>
            <w:sz w:val="27"/>
            <w:szCs w:val="27"/>
            <w:highlight w:val="yellow"/>
            <w:u w:val="single"/>
            <w:lang w:eastAsia="es-CO"/>
            <w14:ligatures w14:val="none"/>
          </w:rPr>
          <w:t>artículo 617</w:t>
        </w:r>
      </w:hyperlink>
      <w:r w:rsidRPr="002D2844">
        <w:rPr>
          <w:rFonts w:ascii="Segoe UI" w:eastAsia="Times New Roman" w:hAnsi="Segoe UI" w:cs="Segoe UI"/>
          <w:kern w:val="0"/>
          <w:sz w:val="27"/>
          <w:szCs w:val="27"/>
          <w:highlight w:val="yellow"/>
          <w:lang w:eastAsia="es-CO"/>
          <w14:ligatures w14:val="none"/>
        </w:rPr>
        <w:t xml:space="preserve"> del Estatuto Tributario, o se reincida en la expedición sin el cumplimiento de los requisitos señalados en los literales a), h), o i) del citado artículo.</w:t>
      </w:r>
    </w:p>
    <w:p w14:paraId="493CD56A"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kern w:val="0"/>
          <w:sz w:val="27"/>
          <w:szCs w:val="27"/>
          <w:highlight w:val="yellow"/>
          <w:lang w:eastAsia="es-CO"/>
          <w14:ligatures w14:val="none"/>
        </w:rPr>
        <w:t>2. Por un término de tres (3) días, cuando se establezca que el contribuyente emplea sistemas electrónicos de los que se evidencie la supresión de ingresos y/o de ventas, lleva doble contabilidad, doble facturación o que una factura o documento equivalente, expedido por el contribuyente, no se encuentra registrado en la contabilidad ni en las declaraciones tributarias.</w:t>
      </w:r>
    </w:p>
    <w:p w14:paraId="3DD421D8"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kern w:val="0"/>
          <w:sz w:val="27"/>
          <w:szCs w:val="27"/>
          <w:lang w:eastAsia="es-CO"/>
          <w14:ligatures w14:val="none"/>
        </w:rPr>
        <w:t>3. Por un término de treinta (30) días, cuando las materias primas, activos o bienes que forman parte del inventario, o las mercancías recibidas en consignación o en depósito, sean aprehendidas por violación al régimen aduanero vigente. En este evento, la sanción se aplicará en el mismo acto administrativo de decomiso y se hará efectiva dentro de los dos (2) días siguientes a la fecha de firmeza de este. La clausura se acompañará de la imposición de sellos oficiales que contengan la leyenda "CERRADO POR EVASIÓN Y CONTRABANDO". Esta sanción no será aplicable al tercero tenedor de buena fe, siempre y cuando ello se pruebe.</w:t>
      </w:r>
    </w:p>
    <w:p w14:paraId="0E23293F"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kern w:val="0"/>
          <w:sz w:val="27"/>
          <w:szCs w:val="27"/>
          <w:lang w:eastAsia="es-CO"/>
          <w14:ligatures w14:val="none"/>
        </w:rPr>
        <w:t xml:space="preserve">4. Por un término de tres (3) días, cuando el agente retenedor o el responsable del </w:t>
      </w:r>
      <w:r w:rsidRPr="002D2844">
        <w:rPr>
          <w:rFonts w:ascii="Segoe UI" w:eastAsia="Times New Roman" w:hAnsi="Segoe UI" w:cs="Segoe UI"/>
          <w:kern w:val="0"/>
          <w:sz w:val="27"/>
          <w:szCs w:val="27"/>
          <w:u w:val="single"/>
          <w:lang w:eastAsia="es-CO"/>
          <w14:ligatures w14:val="none"/>
        </w:rPr>
        <w:t>régimen común</w:t>
      </w:r>
      <w:r w:rsidRPr="002D2844">
        <w:rPr>
          <w:rFonts w:ascii="Segoe UI" w:eastAsia="Times New Roman" w:hAnsi="Segoe UI" w:cs="Segoe UI"/>
          <w:kern w:val="0"/>
          <w:sz w:val="27"/>
          <w:szCs w:val="27"/>
          <w:lang w:eastAsia="es-CO"/>
          <w14:ligatures w14:val="none"/>
        </w:rPr>
        <w:t xml:space="preserve"> del impuesto sobre las ventas o del Impuesto Nacional al Consumo, o el responsable del Impuesto Nacional a la Gasolina y al ACPM, o del Impuesto Nacional al Carbono, se encuentre en omisión de la presentación de la declaración o en mora de la cancelación del saldo a pagar, superior a tres (3) meses contados a partir de las fechas de vencimiento para la presentación y pago establecidas por el Gobierno nacional. No habrá lugar a la clausura del establecimiento para aquellos contribuyentes cuya mora se deba a la existencia </w:t>
      </w:r>
      <w:r w:rsidRPr="002D2844">
        <w:rPr>
          <w:rFonts w:ascii="Segoe UI" w:eastAsia="Times New Roman" w:hAnsi="Segoe UI" w:cs="Segoe UI"/>
          <w:kern w:val="0"/>
          <w:sz w:val="27"/>
          <w:szCs w:val="27"/>
          <w:lang w:eastAsia="es-CO"/>
          <w14:ligatures w14:val="none"/>
        </w:rPr>
        <w:lastRenderedPageBreak/>
        <w:t xml:space="preserve">de saldos a favor pendientes de compensar, siempre que se hubiere presentado la solicitud de compensación en los términos establecidos por la ley; tampoco será aplicable la sanción de clausura, siempre que el contribuyente declare y pague. Los eximentes de responsabilidad previstos en el </w:t>
      </w:r>
      <w:hyperlink r:id="rId5" w:tooltip="NormaSIT:828" w:history="1">
        <w:r w:rsidRPr="002D2844">
          <w:rPr>
            <w:rFonts w:ascii="Segoe UI" w:eastAsia="Times New Roman" w:hAnsi="Segoe UI" w:cs="Segoe UI"/>
            <w:color w:val="000000"/>
            <w:kern w:val="0"/>
            <w:sz w:val="27"/>
            <w:szCs w:val="27"/>
            <w:u w:val="single"/>
            <w:lang w:eastAsia="es-CO"/>
            <w14:ligatures w14:val="none"/>
          </w:rPr>
          <w:t>artículo 665</w:t>
        </w:r>
      </w:hyperlink>
      <w:r w:rsidRPr="002D2844">
        <w:rPr>
          <w:rFonts w:ascii="Segoe UI" w:eastAsia="Times New Roman" w:hAnsi="Segoe UI" w:cs="Segoe UI"/>
          <w:kern w:val="0"/>
          <w:sz w:val="27"/>
          <w:szCs w:val="27"/>
          <w:lang w:eastAsia="es-CO"/>
          <w14:ligatures w14:val="none"/>
        </w:rPr>
        <w:t xml:space="preserve"> de este Estatuto se tendrán en cuenta para la aplicación de esta sanción, siempre que se demuestre tal situación en la respuesta al pliego de cargos.</w:t>
      </w:r>
    </w:p>
    <w:p w14:paraId="75F21E31"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b/>
          <w:bCs/>
          <w:i/>
          <w:iCs/>
          <w:kern w:val="0"/>
          <w:sz w:val="27"/>
          <w:szCs w:val="27"/>
          <w:lang w:eastAsia="es-CO"/>
          <w14:ligatures w14:val="none"/>
        </w:rPr>
        <w:t>Nota de CETA al Numeral 4:</w:t>
      </w:r>
      <w:r w:rsidRPr="002D2844">
        <w:rPr>
          <w:rFonts w:ascii="Segoe UI" w:eastAsia="Times New Roman" w:hAnsi="Segoe UI" w:cs="Segoe UI"/>
          <w:i/>
          <w:iCs/>
          <w:kern w:val="0"/>
          <w:sz w:val="27"/>
          <w:szCs w:val="27"/>
          <w:lang w:eastAsia="es-CO"/>
          <w14:ligatures w14:val="none"/>
        </w:rPr>
        <w:t xml:space="preserve"> Por expresa disposición de la Ley 2010/2019, Art. 20: "Las normas que se refieran al régimen común y al régimen simplificado, se entenderán referidas al régimen de responsabilidad del impuesto sobre las ventas - IVA".</w:t>
      </w:r>
    </w:p>
    <w:p w14:paraId="647D2281"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kern w:val="0"/>
          <w:sz w:val="27"/>
          <w:szCs w:val="27"/>
          <w:lang w:eastAsia="es-CO"/>
          <w14:ligatures w14:val="none"/>
        </w:rPr>
        <w:t>5. Adicionado. Ley 2010/2019, Art. 111. Por un término de tres (3) días, cuando se establezca la no adopción o el incumplimiento de sistemas técnicos de control.</w:t>
      </w:r>
    </w:p>
    <w:p w14:paraId="2FA18D80"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b/>
          <w:bCs/>
          <w:kern w:val="0"/>
          <w:sz w:val="27"/>
          <w:szCs w:val="27"/>
          <w:lang w:eastAsia="es-CO"/>
          <w14:ligatures w14:val="none"/>
        </w:rPr>
        <w:t>PARÁGRAFO 1.</w:t>
      </w:r>
      <w:r w:rsidRPr="002D2844">
        <w:rPr>
          <w:rFonts w:ascii="Segoe UI" w:eastAsia="Times New Roman" w:hAnsi="Segoe UI" w:cs="Segoe UI"/>
          <w:kern w:val="0"/>
          <w:sz w:val="27"/>
          <w:szCs w:val="27"/>
          <w:lang w:eastAsia="es-CO"/>
          <w14:ligatures w14:val="none"/>
        </w:rPr>
        <w:t xml:space="preserve"> Cuando el lugar clausurado fuere adicionalmente casa de habitación, se permitirá el acceso de las personas que lo habitan, pero en él no podrán efectuarse operaciones mercantiles ni el desarrollo de la actividad, profesión u oficio por el tiempo que dure la sanción y, en todo caso, se impondrán los sellos correspondientes.</w:t>
      </w:r>
    </w:p>
    <w:p w14:paraId="63BE2AC9"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b/>
          <w:bCs/>
          <w:kern w:val="0"/>
          <w:sz w:val="27"/>
          <w:szCs w:val="27"/>
          <w:lang w:eastAsia="es-CO"/>
          <w14:ligatures w14:val="none"/>
        </w:rPr>
        <w:t>PARÁGRAFO 2.</w:t>
      </w:r>
      <w:r w:rsidRPr="002D2844">
        <w:rPr>
          <w:rFonts w:ascii="Segoe UI" w:eastAsia="Times New Roman" w:hAnsi="Segoe UI" w:cs="Segoe UI"/>
          <w:kern w:val="0"/>
          <w:sz w:val="27"/>
          <w:szCs w:val="27"/>
          <w:lang w:eastAsia="es-CO"/>
          <w14:ligatures w14:val="none"/>
        </w:rPr>
        <w:t xml:space="preserve"> La sanción a que se refiere el presente artículo se impondrá mediante resolución, previo traslado de cargos a la persona o entidad infractora, quien tendrá un término de diez (10) días para responder. Salvo lo previsto en el numeral 3 de este artículo, la sanción se hará efectiva dentro de los diez (10) días siguientes al agotamiento en sede administrativa.</w:t>
      </w:r>
    </w:p>
    <w:p w14:paraId="117C3F35"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b/>
          <w:bCs/>
          <w:kern w:val="0"/>
          <w:sz w:val="27"/>
          <w:szCs w:val="27"/>
          <w:lang w:eastAsia="es-CO"/>
          <w14:ligatures w14:val="none"/>
        </w:rPr>
        <w:t>PARÁGRAFO 3.</w:t>
      </w:r>
      <w:r w:rsidRPr="002D2844">
        <w:rPr>
          <w:rFonts w:ascii="Segoe UI" w:eastAsia="Times New Roman" w:hAnsi="Segoe UI" w:cs="Segoe UI"/>
          <w:kern w:val="0"/>
          <w:sz w:val="27"/>
          <w:szCs w:val="27"/>
          <w:lang w:eastAsia="es-CO"/>
          <w14:ligatures w14:val="none"/>
        </w:rPr>
        <w:t xml:space="preserve"> Sin perjuicio de las sanciones de tipo policivo en que incurra el contribuyente, responsable o agente retenedor cuando rompa los sellos oficiales o por cualquier medio abra o utilice el sitio o sede clausurado durante el término de la clausura, se incrementará el término de clausura al doble del inicialmente impuesto.</w:t>
      </w:r>
    </w:p>
    <w:p w14:paraId="66919417"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kern w:val="0"/>
          <w:sz w:val="27"/>
          <w:szCs w:val="27"/>
          <w:lang w:eastAsia="es-CO"/>
          <w14:ligatures w14:val="none"/>
        </w:rPr>
        <w:t>Esta ampliación de la sanción de clausura se impondrá mediante resolución, previo traslado de cargos por el término de diez (10) días para responder.</w:t>
      </w:r>
    </w:p>
    <w:p w14:paraId="79EB2D43"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b/>
          <w:bCs/>
          <w:kern w:val="0"/>
          <w:sz w:val="27"/>
          <w:szCs w:val="27"/>
          <w:lang w:eastAsia="es-CO"/>
          <w14:ligatures w14:val="none"/>
        </w:rPr>
        <w:t>PARÁGRAFO 4.</w:t>
      </w:r>
      <w:r w:rsidRPr="002D2844">
        <w:rPr>
          <w:rFonts w:ascii="Segoe UI" w:eastAsia="Times New Roman" w:hAnsi="Segoe UI" w:cs="Segoe UI"/>
          <w:kern w:val="0"/>
          <w:sz w:val="27"/>
          <w:szCs w:val="27"/>
          <w:lang w:eastAsia="es-CO"/>
          <w14:ligatures w14:val="none"/>
        </w:rPr>
        <w:t xml:space="preserve"> Para dar aplicación a lo dispuesto en el presente artículo, las autoridades de policía deberán prestar su colaboración cuando los funcionarios competentes de la Administración Tributaria así lo requieran.</w:t>
      </w:r>
    </w:p>
    <w:p w14:paraId="4E346DA8"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b/>
          <w:bCs/>
          <w:kern w:val="0"/>
          <w:sz w:val="27"/>
          <w:szCs w:val="27"/>
          <w:lang w:eastAsia="es-CO"/>
          <w14:ligatures w14:val="none"/>
        </w:rPr>
        <w:t>PARÁGRAFO 5.</w:t>
      </w:r>
      <w:r w:rsidRPr="002D2844">
        <w:rPr>
          <w:rFonts w:ascii="Segoe UI" w:eastAsia="Times New Roman" w:hAnsi="Segoe UI" w:cs="Segoe UI"/>
          <w:kern w:val="0"/>
          <w:sz w:val="27"/>
          <w:szCs w:val="27"/>
          <w:lang w:eastAsia="es-CO"/>
          <w14:ligatures w14:val="none"/>
        </w:rPr>
        <w:t xml:space="preserve"> Se entiende por doble facturación la expedición de dos facturas por un mismo hecho económico, aun cuando alguna de estas no cumpla con los requisitos formales del </w:t>
      </w:r>
      <w:hyperlink r:id="rId6" w:tooltip="NormaSIT:761" w:history="1">
        <w:r w:rsidRPr="002D2844">
          <w:rPr>
            <w:rFonts w:ascii="Segoe UI" w:eastAsia="Times New Roman" w:hAnsi="Segoe UI" w:cs="Segoe UI"/>
            <w:color w:val="000000"/>
            <w:kern w:val="0"/>
            <w:sz w:val="27"/>
            <w:szCs w:val="27"/>
            <w:u w:val="single"/>
            <w:lang w:eastAsia="es-CO"/>
            <w14:ligatures w14:val="none"/>
          </w:rPr>
          <w:t>artículo 617</w:t>
        </w:r>
      </w:hyperlink>
      <w:r w:rsidRPr="002D2844">
        <w:rPr>
          <w:rFonts w:ascii="Segoe UI" w:eastAsia="Times New Roman" w:hAnsi="Segoe UI" w:cs="Segoe UI"/>
          <w:kern w:val="0"/>
          <w:sz w:val="27"/>
          <w:szCs w:val="27"/>
          <w:lang w:eastAsia="es-CO"/>
          <w14:ligatures w14:val="none"/>
        </w:rPr>
        <w:t>, y sin que importe su denominación ni el sistema empleado para su emisión.</w:t>
      </w:r>
    </w:p>
    <w:p w14:paraId="4C5FABDC"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kern w:val="0"/>
          <w:sz w:val="27"/>
          <w:szCs w:val="27"/>
          <w:lang w:eastAsia="es-CO"/>
          <w14:ligatures w14:val="none"/>
        </w:rPr>
        <w:lastRenderedPageBreak/>
        <w:t xml:space="preserve">Se entiende por sistemas electrónicos de los que se evidencie la supresión de ingresos y/o de ventas la utilización de técnicas simples de captura automatizadas e integradas en los sistemas POS valiéndose de programas informáticos, tales como </w:t>
      </w:r>
      <w:proofErr w:type="spellStart"/>
      <w:r w:rsidRPr="002D2844">
        <w:rPr>
          <w:rFonts w:ascii="Segoe UI" w:eastAsia="Times New Roman" w:hAnsi="Segoe UI" w:cs="Segoe UI"/>
          <w:i/>
          <w:iCs/>
          <w:kern w:val="0"/>
          <w:sz w:val="27"/>
          <w:szCs w:val="27"/>
          <w:lang w:eastAsia="es-CO"/>
          <w14:ligatures w14:val="none"/>
        </w:rPr>
        <w:t>Phantomware</w:t>
      </w:r>
      <w:proofErr w:type="spellEnd"/>
      <w:r w:rsidRPr="002D2844">
        <w:rPr>
          <w:rFonts w:ascii="Segoe UI" w:eastAsia="Times New Roman" w:hAnsi="Segoe UI" w:cs="Segoe UI"/>
          <w:kern w:val="0"/>
          <w:sz w:val="27"/>
          <w:szCs w:val="27"/>
          <w:lang w:eastAsia="es-CO"/>
          <w14:ligatures w14:val="none"/>
        </w:rPr>
        <w:t xml:space="preserve"> -software instalado directamente en el sistema POS o programas </w:t>
      </w:r>
      <w:proofErr w:type="spellStart"/>
      <w:r w:rsidRPr="002D2844">
        <w:rPr>
          <w:rFonts w:ascii="Segoe UI" w:eastAsia="Times New Roman" w:hAnsi="Segoe UI" w:cs="Segoe UI"/>
          <w:i/>
          <w:iCs/>
          <w:kern w:val="0"/>
          <w:sz w:val="27"/>
          <w:szCs w:val="27"/>
          <w:lang w:eastAsia="es-CO"/>
          <w14:ligatures w14:val="none"/>
        </w:rPr>
        <w:t>Zapper</w:t>
      </w:r>
      <w:proofErr w:type="spellEnd"/>
      <w:r w:rsidRPr="002D2844">
        <w:rPr>
          <w:rFonts w:ascii="Segoe UI" w:eastAsia="Times New Roman" w:hAnsi="Segoe UI" w:cs="Segoe UI"/>
          <w:kern w:val="0"/>
          <w:sz w:val="27"/>
          <w:szCs w:val="27"/>
          <w:lang w:eastAsia="es-CO"/>
          <w14:ligatures w14:val="none"/>
        </w:rPr>
        <w:t>- programas externos grabados en dispositivos USB, a partir de los cuales se evita que algunas operaciones tales como reembolsos, anulaciones y otras transacciones negativas, aparezcan en el informe o en el historial, se evita que algunas operaciones tales como reembolsos, anulaciones y otras transacciones negativas, se sumen a los totales finales, se reinicializa en cero o en algunos casos, en una cifra específica, los totales finales y otros contadores, genera que ciertos artículos no aparezcan en el registro o en el historial, se borran selectivamente algunas transacciones de venta, o se imprimen informes de venta omitiendo algunas líneas.</w:t>
      </w:r>
    </w:p>
    <w:p w14:paraId="0D50EAFF"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highlight w:val="yellow"/>
          <w:lang w:eastAsia="es-CO"/>
          <w14:ligatures w14:val="none"/>
        </w:rPr>
      </w:pPr>
      <w:r w:rsidRPr="002D2844">
        <w:rPr>
          <w:rFonts w:ascii="Segoe UI" w:eastAsia="Times New Roman" w:hAnsi="Segoe UI" w:cs="Segoe UI"/>
          <w:b/>
          <w:bCs/>
          <w:kern w:val="0"/>
          <w:sz w:val="27"/>
          <w:szCs w:val="27"/>
          <w:highlight w:val="yellow"/>
          <w:lang w:eastAsia="es-CO"/>
          <w14:ligatures w14:val="none"/>
        </w:rPr>
        <w:t>PARÁGRAFO 6.</w:t>
      </w:r>
      <w:r w:rsidRPr="002D2844">
        <w:rPr>
          <w:rFonts w:ascii="Segoe UI" w:eastAsia="Times New Roman" w:hAnsi="Segoe UI" w:cs="Segoe UI"/>
          <w:kern w:val="0"/>
          <w:sz w:val="27"/>
          <w:szCs w:val="27"/>
          <w:highlight w:val="yellow"/>
          <w:lang w:eastAsia="es-CO"/>
          <w14:ligatures w14:val="none"/>
        </w:rPr>
        <w:t xml:space="preserve"> Modificado. Ley 2010/2019, Art. 111. En todos los casos, si el contribuyente objeto de esta sanción se acoge y paga la siguiente multa, la Administración Tributaria se abstendrá de decretar la clausura del establecimiento, así:</w:t>
      </w:r>
    </w:p>
    <w:p w14:paraId="7453E478"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highlight w:val="yellow"/>
          <w:lang w:eastAsia="es-CO"/>
          <w14:ligatures w14:val="none"/>
        </w:rPr>
      </w:pPr>
      <w:r w:rsidRPr="002D2844">
        <w:rPr>
          <w:rFonts w:ascii="Segoe UI" w:eastAsia="Times New Roman" w:hAnsi="Segoe UI" w:cs="Segoe UI"/>
          <w:kern w:val="0"/>
          <w:sz w:val="27"/>
          <w:szCs w:val="27"/>
          <w:highlight w:val="yellow"/>
          <w:lang w:eastAsia="es-CO"/>
          <w14:ligatures w14:val="none"/>
        </w:rPr>
        <w:t>Para efectos de lo dispuesto en el numeral 1, una sanción pecuniaria equivalente al cinco por ciento (5%) de los ingresos operacionales obtenidos en el mes anterior a la fecha en que incurrió en el hecho sancionable.</w:t>
      </w:r>
    </w:p>
    <w:p w14:paraId="5170B366"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highlight w:val="yellow"/>
          <w:lang w:eastAsia="es-CO"/>
          <w14:ligatures w14:val="none"/>
        </w:rPr>
      </w:pPr>
      <w:r w:rsidRPr="002D2844">
        <w:rPr>
          <w:rFonts w:ascii="Segoe UI" w:eastAsia="Times New Roman" w:hAnsi="Segoe UI" w:cs="Segoe UI"/>
          <w:kern w:val="0"/>
          <w:sz w:val="27"/>
          <w:szCs w:val="27"/>
          <w:highlight w:val="yellow"/>
          <w:lang w:eastAsia="es-CO"/>
          <w14:ligatures w14:val="none"/>
        </w:rPr>
        <w:t>Para efectos de lo dispuesto en el numeral 2, una sanción pecuniaria equivalente al diez (10%) de los ingresos operacionales obtenidos en el mes anterior a la fecha en que incurrió en el hecho sancionable.</w:t>
      </w:r>
    </w:p>
    <w:p w14:paraId="6B9F27CB"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highlight w:val="yellow"/>
          <w:lang w:eastAsia="es-CO"/>
          <w14:ligatures w14:val="none"/>
        </w:rPr>
      </w:pPr>
      <w:r w:rsidRPr="002D2844">
        <w:rPr>
          <w:rFonts w:ascii="Segoe UI" w:eastAsia="Times New Roman" w:hAnsi="Segoe UI" w:cs="Segoe UI"/>
          <w:kern w:val="0"/>
          <w:sz w:val="27"/>
          <w:szCs w:val="27"/>
          <w:highlight w:val="yellow"/>
          <w:lang w:eastAsia="es-CO"/>
          <w14:ligatures w14:val="none"/>
        </w:rPr>
        <w:t>Para efectos de lo dispuesto en los numerales 3 y 4, una sanción pecuniaria equivalente al quince por ciento (15%) de los ingresos operacionales obtenidos en el mes anterior a la fecha en que incurrió en el hecho sancionable.</w:t>
      </w:r>
    </w:p>
    <w:p w14:paraId="53C68B7C"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kern w:val="0"/>
          <w:sz w:val="27"/>
          <w:szCs w:val="27"/>
          <w:highlight w:val="yellow"/>
          <w:lang w:eastAsia="es-CO"/>
          <w14:ligatures w14:val="none"/>
        </w:rPr>
        <w:t>Para efectos de lo dispuesto en el numeral 5, una sanción pecuniaria equivalente al diez por ciento (10%) de los ingresos operacionales obtenidos en el mes anterior a la fecha en que incurrió en el hecho sancionable.</w:t>
      </w:r>
    </w:p>
    <w:p w14:paraId="02E1EDE4" w14:textId="77777777" w:rsidR="002D2844" w:rsidRPr="002D2844" w:rsidRDefault="002D2844" w:rsidP="002D2844">
      <w:pPr>
        <w:spacing w:before="100" w:beforeAutospacing="1" w:after="100" w:afterAutospacing="1" w:line="240" w:lineRule="auto"/>
        <w:jc w:val="both"/>
        <w:rPr>
          <w:rFonts w:ascii="Segoe UI" w:eastAsia="Times New Roman" w:hAnsi="Segoe UI" w:cs="Segoe UI"/>
          <w:kern w:val="0"/>
          <w:sz w:val="27"/>
          <w:szCs w:val="27"/>
          <w:lang w:eastAsia="es-CO"/>
          <w14:ligatures w14:val="none"/>
        </w:rPr>
      </w:pPr>
      <w:r w:rsidRPr="002D2844">
        <w:rPr>
          <w:rFonts w:ascii="Segoe UI" w:eastAsia="Times New Roman" w:hAnsi="Segoe UI" w:cs="Segoe UI"/>
          <w:b/>
          <w:bCs/>
          <w:kern w:val="0"/>
          <w:sz w:val="27"/>
          <w:szCs w:val="27"/>
          <w:lang w:eastAsia="es-CO"/>
          <w14:ligatures w14:val="none"/>
        </w:rPr>
        <w:t>PARÁGRAFO 7.</w:t>
      </w:r>
      <w:r w:rsidRPr="002D2844">
        <w:rPr>
          <w:rFonts w:ascii="Segoe UI" w:eastAsia="Times New Roman" w:hAnsi="Segoe UI" w:cs="Segoe UI"/>
          <w:kern w:val="0"/>
          <w:sz w:val="27"/>
          <w:szCs w:val="27"/>
          <w:lang w:eastAsia="es-CO"/>
          <w14:ligatures w14:val="none"/>
        </w:rPr>
        <w:t xml:space="preserve"> La Dirección de Impuestos y Aduanas Nacionales informará en su página web las sanciones de clausura del establecimiento que sean anuladas en la Jurisdicción de lo Contencioso Administrativo.</w:t>
      </w:r>
    </w:p>
    <w:p w14:paraId="77E0A516" w14:textId="306FEF23" w:rsidR="007F5CC8" w:rsidRDefault="002D2844" w:rsidP="002D2844">
      <w:r w:rsidRPr="002D2844">
        <w:rPr>
          <w:rFonts w:ascii="Segoe UI" w:eastAsia="Times New Roman" w:hAnsi="Segoe UI" w:cs="Segoe UI"/>
          <w:kern w:val="0"/>
          <w:sz w:val="27"/>
          <w:szCs w:val="27"/>
          <w:lang w:eastAsia="es-CO"/>
          <w14:ligatures w14:val="none"/>
        </w:rPr>
        <w:pict w14:anchorId="6E08268C"/>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44"/>
    <w:rsid w:val="000F3837"/>
    <w:rsid w:val="001E311E"/>
    <w:rsid w:val="002D2844"/>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20DF"/>
  <w15:chartTrackingRefBased/>
  <w15:docId w15:val="{16F43418-3882-49B9-963D-803668BF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4006">
      <w:blockQuote w:val="1"/>
      <w:marLeft w:val="720"/>
      <w:marRight w:val="0"/>
      <w:marTop w:val="100"/>
      <w:marBottom w:val="100"/>
      <w:divBdr>
        <w:top w:val="none" w:sz="0" w:space="0" w:color="auto"/>
        <w:left w:val="none" w:sz="0" w:space="0" w:color="auto"/>
        <w:bottom w:val="none" w:sz="0" w:space="0" w:color="auto"/>
        <w:right w:val="none" w:sz="0" w:space="0" w:color="auto"/>
      </w:divBdr>
    </w:div>
    <w:div w:id="1580092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6379</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2023-11-03T01:07:00Z</dcterms:created>
  <dcterms:modified xsi:type="dcterms:W3CDTF">2023-11-03T01:09:00Z</dcterms:modified>
</cp:coreProperties>
</file>