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56771" w14:textId="77777777" w:rsidR="005173FD" w:rsidRPr="005173FD" w:rsidRDefault="005173FD" w:rsidP="005173FD">
      <w:pPr>
        <w:spacing w:after="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36"/>
          <w:szCs w:val="36"/>
          <w:lang w:eastAsia="es-CO"/>
          <w14:ligatures w14:val="none"/>
        </w:rPr>
        <w:t>OFICIO 3054 (</w:t>
      </w:r>
      <w:proofErr w:type="spellStart"/>
      <w:r w:rsidRPr="005173FD">
        <w:rPr>
          <w:rFonts w:ascii="Roboto Condensed" w:eastAsia="Times New Roman" w:hAnsi="Roboto Condensed" w:cs="Times New Roman"/>
          <w:b/>
          <w:bCs/>
          <w:spacing w:val="2"/>
          <w:kern w:val="0"/>
          <w:sz w:val="36"/>
          <w:szCs w:val="36"/>
          <w:lang w:eastAsia="es-CO"/>
          <w14:ligatures w14:val="none"/>
        </w:rPr>
        <w:t>Int</w:t>
      </w:r>
      <w:proofErr w:type="spellEnd"/>
      <w:r w:rsidRPr="005173FD">
        <w:rPr>
          <w:rFonts w:ascii="Roboto Condensed" w:eastAsia="Times New Roman" w:hAnsi="Roboto Condensed" w:cs="Times New Roman"/>
          <w:b/>
          <w:bCs/>
          <w:spacing w:val="2"/>
          <w:kern w:val="0"/>
          <w:sz w:val="36"/>
          <w:szCs w:val="36"/>
          <w:lang w:eastAsia="es-CO"/>
          <w14:ligatures w14:val="none"/>
        </w:rPr>
        <w:t>. 325) DE 2023</w:t>
      </w:r>
    </w:p>
    <w:p w14:paraId="078E3C83" w14:textId="77777777" w:rsidR="005173FD" w:rsidRPr="005173FD" w:rsidRDefault="005173FD" w:rsidP="005173FD">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(marzo 14)</w:t>
      </w:r>
    </w:p>
    <w:p w14:paraId="76B414A0" w14:textId="77777777" w:rsidR="005173FD" w:rsidRPr="005173FD" w:rsidRDefault="005173FD" w:rsidP="005173FD">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&lt;Fuente: Archivo interno entidad emisora&gt;</w:t>
      </w:r>
    </w:p>
    <w:p w14:paraId="75883050" w14:textId="77777777" w:rsidR="005173FD" w:rsidRPr="005173FD" w:rsidRDefault="005173FD" w:rsidP="005173FD">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&lt;Publicado en la página web de la DIAN: 21 de marzo de 2023&gt;</w:t>
      </w:r>
    </w:p>
    <w:p w14:paraId="04B26660" w14:textId="77777777" w:rsidR="005173FD" w:rsidRPr="005173FD" w:rsidRDefault="005173FD" w:rsidP="005173FD">
      <w:pPr>
        <w:spacing w:after="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DIRECCIÓN DE IMPUESTOS Y ADUANAS NACIONALES</w:t>
      </w:r>
    </w:p>
    <w:p w14:paraId="4B0E2759" w14:textId="77777777" w:rsidR="005173FD" w:rsidRPr="005173FD" w:rsidRDefault="005173FD" w:rsidP="005173FD">
      <w:pPr>
        <w:spacing w:after="240" w:line="480" w:lineRule="atLeast"/>
        <w:jc w:val="center"/>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Unidad Informática de Doctrina</w:t>
      </w:r>
    </w:p>
    <w:p w14:paraId="79085D31"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roofErr w:type="spellStart"/>
      <w:r w:rsidRPr="005173FD">
        <w:rPr>
          <w:rFonts w:ascii="Roboto Condensed" w:eastAsia="Times New Roman" w:hAnsi="Roboto Condensed" w:cs="Times New Roman"/>
          <w:spacing w:val="2"/>
          <w:kern w:val="0"/>
          <w:sz w:val="27"/>
          <w:szCs w:val="27"/>
          <w:lang w:eastAsia="es-CO"/>
          <w14:ligatures w14:val="none"/>
        </w:rPr>
        <w:t>Area</w:t>
      </w:r>
      <w:proofErr w:type="spellEnd"/>
      <w:r w:rsidRPr="005173FD">
        <w:rPr>
          <w:rFonts w:ascii="Roboto Condensed" w:eastAsia="Times New Roman" w:hAnsi="Roboto Condensed" w:cs="Times New Roman"/>
          <w:spacing w:val="2"/>
          <w:kern w:val="0"/>
          <w:sz w:val="27"/>
          <w:szCs w:val="27"/>
          <w:lang w:eastAsia="es-CO"/>
          <w14:ligatures w14:val="none"/>
        </w:rPr>
        <w:t xml:space="preserve"> del Derecho</w:t>
      </w:r>
    </w:p>
    <w:p w14:paraId="50EC152A"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Tributario</w:t>
      </w:r>
    </w:p>
    <w:p w14:paraId="0BF4C98C"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Banco de Datos</w:t>
      </w:r>
    </w:p>
    <w:p w14:paraId="48E4B8CE"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Régimen Unificado de Tributación SIMPLE</w:t>
      </w:r>
    </w:p>
    <w:p w14:paraId="0992927A"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Descriptores</w:t>
      </w:r>
    </w:p>
    <w:p w14:paraId="570A0B6A"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SUJETOS PASIVOS</w:t>
      </w:r>
    </w:p>
    <w:p w14:paraId="3764CB15"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Fuentes Formales</w:t>
      </w:r>
    </w:p>
    <w:p w14:paraId="30CFBBD9"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4" w:anchor="906" w:history="1">
        <w:r w:rsidRPr="005173FD">
          <w:rPr>
            <w:rFonts w:ascii="Roboto Condensed" w:eastAsia="Times New Roman" w:hAnsi="Roboto Condensed" w:cs="Times New Roman"/>
            <w:color w:val="0000FF"/>
            <w:spacing w:val="2"/>
            <w:kern w:val="0"/>
            <w:sz w:val="27"/>
            <w:szCs w:val="27"/>
            <w:u w:val="single"/>
            <w:lang w:eastAsia="es-CO"/>
            <w14:ligatures w14:val="none"/>
          </w:rPr>
          <w:t>906</w:t>
        </w:r>
      </w:hyperlink>
    </w:p>
    <w:p w14:paraId="2C6637CB"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5" w:anchor="905" w:history="1">
        <w:r w:rsidRPr="005173FD">
          <w:rPr>
            <w:rFonts w:ascii="Roboto Condensed" w:eastAsia="Times New Roman" w:hAnsi="Roboto Condensed" w:cs="Times New Roman"/>
            <w:color w:val="0000FF"/>
            <w:spacing w:val="2"/>
            <w:kern w:val="0"/>
            <w:sz w:val="27"/>
            <w:szCs w:val="27"/>
            <w:u w:val="single"/>
            <w:lang w:eastAsia="es-CO"/>
            <w14:ligatures w14:val="none"/>
          </w:rPr>
          <w:t>905</w:t>
        </w:r>
      </w:hyperlink>
    </w:p>
    <w:p w14:paraId="687736EB"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6" w:anchor="910" w:history="1">
        <w:r w:rsidRPr="005173FD">
          <w:rPr>
            <w:rFonts w:ascii="Roboto Condensed" w:eastAsia="Times New Roman" w:hAnsi="Roboto Condensed" w:cs="Times New Roman"/>
            <w:color w:val="0000FF"/>
            <w:spacing w:val="2"/>
            <w:kern w:val="0"/>
            <w:sz w:val="27"/>
            <w:szCs w:val="27"/>
            <w:u w:val="single"/>
            <w:lang w:eastAsia="es-CO"/>
            <w14:ligatures w14:val="none"/>
          </w:rPr>
          <w:t>910</w:t>
        </w:r>
      </w:hyperlink>
    </w:p>
    <w:p w14:paraId="4082BCD9"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7" w:anchor="914" w:history="1">
        <w:r w:rsidRPr="005173FD">
          <w:rPr>
            <w:rFonts w:ascii="Roboto Condensed" w:eastAsia="Times New Roman" w:hAnsi="Roboto Condensed" w:cs="Times New Roman"/>
            <w:color w:val="0000FF"/>
            <w:spacing w:val="2"/>
            <w:kern w:val="0"/>
            <w:sz w:val="27"/>
            <w:szCs w:val="27"/>
            <w:u w:val="single"/>
            <w:lang w:eastAsia="es-CO"/>
            <w14:ligatures w14:val="none"/>
          </w:rPr>
          <w:t>914</w:t>
        </w:r>
      </w:hyperlink>
    </w:p>
    <w:p w14:paraId="7293A4C0"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8" w:anchor="814" w:history="1">
        <w:r w:rsidRPr="005173FD">
          <w:rPr>
            <w:rFonts w:ascii="Roboto Condensed" w:eastAsia="Times New Roman" w:hAnsi="Roboto Condensed" w:cs="Times New Roman"/>
            <w:color w:val="0000FF"/>
            <w:spacing w:val="2"/>
            <w:kern w:val="0"/>
            <w:sz w:val="27"/>
            <w:szCs w:val="27"/>
            <w:u w:val="single"/>
            <w:lang w:eastAsia="es-CO"/>
            <w14:ligatures w14:val="none"/>
          </w:rPr>
          <w:t>814</w:t>
        </w:r>
      </w:hyperlink>
    </w:p>
    <w:p w14:paraId="25244460"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ESTATUTO TRIBUTARIO DECRETO 624 DE 1989 ART. </w:t>
      </w:r>
      <w:hyperlink r:id="rId9" w:anchor="607" w:history="1">
        <w:r w:rsidRPr="005173FD">
          <w:rPr>
            <w:rFonts w:ascii="Roboto Condensed" w:eastAsia="Times New Roman" w:hAnsi="Roboto Condensed" w:cs="Times New Roman"/>
            <w:color w:val="0000FF"/>
            <w:spacing w:val="2"/>
            <w:kern w:val="0"/>
            <w:sz w:val="27"/>
            <w:szCs w:val="27"/>
            <w:u w:val="single"/>
            <w:lang w:eastAsia="es-CO"/>
            <w14:ligatures w14:val="none"/>
          </w:rPr>
          <w:t>607</w:t>
        </w:r>
      </w:hyperlink>
    </w:p>
    <w:p w14:paraId="7B5FDCA1"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CÓDIGO SUSTANTIVO DEL TRABAJO ART. 23</w:t>
      </w:r>
    </w:p>
    <w:p w14:paraId="27A010D0"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DECRETO 1625 DE 2016 ART. </w:t>
      </w:r>
      <w:hyperlink r:id="rId10" w:anchor="1.6.2.6.2" w:history="1">
        <w:r w:rsidRPr="005173FD">
          <w:rPr>
            <w:rFonts w:ascii="Roboto Condensed" w:eastAsia="Times New Roman" w:hAnsi="Roboto Condensed" w:cs="Times New Roman"/>
            <w:color w:val="0000FF"/>
            <w:spacing w:val="2"/>
            <w:kern w:val="0"/>
            <w:sz w:val="27"/>
            <w:szCs w:val="27"/>
            <w:u w:val="single"/>
            <w:lang w:eastAsia="es-CO"/>
            <w14:ligatures w14:val="none"/>
          </w:rPr>
          <w:t>1.6.2.6.2</w:t>
        </w:r>
      </w:hyperlink>
      <w:r w:rsidRPr="005173FD">
        <w:rPr>
          <w:rFonts w:ascii="Roboto Condensed" w:eastAsia="Times New Roman" w:hAnsi="Roboto Condensed" w:cs="Times New Roman"/>
          <w:spacing w:val="2"/>
          <w:kern w:val="0"/>
          <w:sz w:val="27"/>
          <w:szCs w:val="27"/>
          <w:lang w:eastAsia="es-CO"/>
          <w14:ligatures w14:val="none"/>
        </w:rPr>
        <w:t>.</w:t>
      </w:r>
    </w:p>
    <w:p w14:paraId="42B1CD02" w14:textId="77777777" w:rsidR="005173FD" w:rsidRPr="005173FD" w:rsidRDefault="005173FD" w:rsidP="005173FD">
      <w:pPr>
        <w:spacing w:after="0" w:line="240" w:lineRule="auto"/>
        <w:jc w:val="both"/>
        <w:rPr>
          <w:rFonts w:ascii="Roboto Condensed" w:eastAsia="Times New Roman" w:hAnsi="Roboto Condensed" w:cs="Times New Roman"/>
          <w:color w:val="454545"/>
          <w:kern w:val="0"/>
          <w:sz w:val="27"/>
          <w:szCs w:val="27"/>
          <w:lang w:eastAsia="es-CO"/>
          <w14:ligatures w14:val="none"/>
        </w:rPr>
      </w:pPr>
      <w:hyperlink r:id="rId11" w:history="1">
        <w:r w:rsidRPr="005173FD">
          <w:rPr>
            <w:rFonts w:ascii="Roboto Condensed" w:eastAsia="Times New Roman" w:hAnsi="Roboto Condensed" w:cs="Times New Roman"/>
            <w:color w:val="0000FF"/>
            <w:kern w:val="0"/>
            <w:szCs w:val="24"/>
            <w:u w:val="single"/>
            <w:lang w:eastAsia="es-CO"/>
            <w14:ligatures w14:val="none"/>
          </w:rPr>
          <w:t>Resumen de Notas de Vigencia</w:t>
        </w:r>
      </w:hyperlink>
    </w:p>
    <w:p w14:paraId="3A12B093"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Extracto</w:t>
      </w:r>
    </w:p>
    <w:p w14:paraId="7A0CD1FD"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highlight w:val="yellow"/>
          <w:lang w:eastAsia="es-CO"/>
          <w14:ligatures w14:val="none"/>
        </w:rPr>
        <w:t>Segunda adición al Concepto General sobre el Régimen Simple de Tributación - SIMPLE con motivo de la Ley </w:t>
      </w:r>
      <w:hyperlink r:id="rId12" w:anchor="INICIO" w:history="1">
        <w:r w:rsidRPr="005173FD">
          <w:rPr>
            <w:rFonts w:ascii="Roboto Condensed" w:eastAsia="Times New Roman" w:hAnsi="Roboto Condensed" w:cs="Times New Roman"/>
            <w:color w:val="0000FF"/>
            <w:spacing w:val="2"/>
            <w:kern w:val="0"/>
            <w:sz w:val="27"/>
            <w:szCs w:val="27"/>
            <w:highlight w:val="yellow"/>
            <w:u w:val="single"/>
            <w:lang w:eastAsia="es-CO"/>
            <w14:ligatures w14:val="none"/>
          </w:rPr>
          <w:t>2277</w:t>
        </w:r>
      </w:hyperlink>
      <w:r w:rsidRPr="005173FD">
        <w:rPr>
          <w:rFonts w:ascii="Roboto Condensed" w:eastAsia="Times New Roman" w:hAnsi="Roboto Condensed" w:cs="Times New Roman"/>
          <w:spacing w:val="2"/>
          <w:kern w:val="0"/>
          <w:sz w:val="27"/>
          <w:szCs w:val="27"/>
          <w:highlight w:val="yellow"/>
          <w:lang w:eastAsia="es-CO"/>
          <w14:ligatures w14:val="none"/>
        </w:rPr>
        <w:t> de 2022</w:t>
      </w:r>
    </w:p>
    <w:p w14:paraId="0E055196"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58E0C7E7" w14:textId="1CCD60BF"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De conformidad con el artículo </w:t>
      </w:r>
      <w:hyperlink r:id="rId13" w:anchor="56" w:history="1">
        <w:r w:rsidRPr="005173FD">
          <w:rPr>
            <w:rFonts w:ascii="Roboto Condensed" w:eastAsia="Times New Roman" w:hAnsi="Roboto Condensed" w:cs="Times New Roman"/>
            <w:color w:val="0000FF"/>
            <w:spacing w:val="2"/>
            <w:kern w:val="0"/>
            <w:sz w:val="27"/>
            <w:szCs w:val="27"/>
            <w:u w:val="single"/>
            <w:lang w:eastAsia="es-CO"/>
            <w14:ligatures w14:val="none"/>
          </w:rPr>
          <w:t>56</w:t>
        </w:r>
      </w:hyperlink>
      <w:r w:rsidRPr="005173FD">
        <w:rPr>
          <w:rFonts w:ascii="Roboto Condensed" w:eastAsia="Times New Roman" w:hAnsi="Roboto Condensed" w:cs="Times New Roman"/>
          <w:spacing w:val="2"/>
          <w:kern w:val="0"/>
          <w:sz w:val="27"/>
          <w:szCs w:val="27"/>
          <w:lang w:eastAsia="es-CO"/>
          <w14:ligatures w14:val="none"/>
        </w:rPr>
        <w:t xml:space="preserve"> del Decreto 1742 de 2020, este Despacho está facultado para absolver las consultas escritas generales que se formulen sobre la interpretación y aplicación de las normas tributarias, aduaneras y de fiscalización </w:t>
      </w:r>
      <w:r w:rsidRPr="005173FD">
        <w:rPr>
          <w:rFonts w:ascii="Roboto Condensed" w:eastAsia="Times New Roman" w:hAnsi="Roboto Condensed" w:cs="Times New Roman"/>
          <w:spacing w:val="2"/>
          <w:kern w:val="0"/>
          <w:sz w:val="27"/>
          <w:szCs w:val="27"/>
          <w:lang w:eastAsia="es-CO"/>
          <w14:ligatures w14:val="none"/>
        </w:rPr>
        <w:lastRenderedPageBreak/>
        <w:t>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0F1F3C92"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4261BF76" w14:textId="7D17A4EE"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Mediante el presente pronunciamiento, esta Subdirección absolverá diferentes interrogantes que se han formulado en torno a la interpretación y aplicación del impuesto unificado bajo el Régimen Simple de Tributación - SIMPLE («SIMPLE» en adelante) con motivo de la Ley </w:t>
      </w:r>
      <w:hyperlink r:id="rId14" w:anchor="INICIO" w:history="1">
        <w:r w:rsidRPr="005173FD">
          <w:rPr>
            <w:rFonts w:ascii="Roboto Condensed" w:eastAsia="Times New Roman" w:hAnsi="Roboto Condensed" w:cs="Times New Roman"/>
            <w:color w:val="0000FF"/>
            <w:spacing w:val="2"/>
            <w:kern w:val="0"/>
            <w:sz w:val="27"/>
            <w:szCs w:val="27"/>
            <w:u w:val="single"/>
            <w:lang w:eastAsia="es-CO"/>
            <w14:ligatures w14:val="none"/>
          </w:rPr>
          <w:t>2277</w:t>
        </w:r>
      </w:hyperlink>
      <w:r w:rsidRPr="005173FD">
        <w:rPr>
          <w:rFonts w:ascii="Roboto Condensed" w:eastAsia="Times New Roman" w:hAnsi="Roboto Condensed" w:cs="Times New Roman"/>
          <w:spacing w:val="2"/>
          <w:kern w:val="0"/>
          <w:sz w:val="27"/>
          <w:szCs w:val="27"/>
          <w:lang w:eastAsia="es-CO"/>
          <w14:ligatures w14:val="none"/>
        </w:rPr>
        <w:t> de 2022, con la adición al Concepto General de la referencia (Concepto 00</w:t>
      </w:r>
      <w:hyperlink r:id="rId15" w:anchor="INICIO" w:history="1">
        <w:r w:rsidRPr="005173FD">
          <w:rPr>
            <w:rFonts w:ascii="Roboto Condensed" w:eastAsia="Times New Roman" w:hAnsi="Roboto Condensed" w:cs="Times New Roman"/>
            <w:color w:val="0000FF"/>
            <w:spacing w:val="2"/>
            <w:kern w:val="0"/>
            <w:sz w:val="27"/>
            <w:szCs w:val="27"/>
            <w:u w:val="single"/>
            <w:lang w:eastAsia="es-CO"/>
            <w14:ligatures w14:val="none"/>
          </w:rPr>
          <w:t>0977</w:t>
        </w:r>
      </w:hyperlink>
      <w:r w:rsidRPr="005173FD">
        <w:rPr>
          <w:rFonts w:ascii="Roboto Condensed" w:eastAsia="Times New Roman" w:hAnsi="Roboto Condensed" w:cs="Times New Roman"/>
          <w:spacing w:val="2"/>
          <w:kern w:val="0"/>
          <w:sz w:val="27"/>
          <w:szCs w:val="27"/>
          <w:lang w:eastAsia="es-CO"/>
          <w14:ligatures w14:val="none"/>
        </w:rPr>
        <w:t> - interno 131 del 30 de enero de 2023).</w:t>
      </w:r>
    </w:p>
    <w:p w14:paraId="49C58D48"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3AFAE3D7" w14:textId="3C635520"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hyperlink r:id="rId16" w:anchor="1" w:history="1">
        <w:r w:rsidRPr="005173FD">
          <w:rPr>
            <w:rFonts w:ascii="Roboto Condensed" w:eastAsia="Times New Roman" w:hAnsi="Roboto Condensed" w:cs="Times New Roman"/>
            <w:b/>
            <w:bCs/>
            <w:spacing w:val="2"/>
            <w:kern w:val="0"/>
            <w:sz w:val="27"/>
            <w:szCs w:val="27"/>
            <w:lang w:eastAsia="es-CO"/>
            <w14:ligatures w14:val="none"/>
          </w:rPr>
          <w:t>1.</w:t>
        </w:r>
      </w:hyperlink>
      <w:r w:rsidRPr="005173FD">
        <w:rPr>
          <w:rFonts w:ascii="Roboto Condensed" w:eastAsia="Times New Roman" w:hAnsi="Roboto Condensed" w:cs="Times New Roman"/>
          <w:b/>
          <w:bCs/>
          <w:spacing w:val="2"/>
          <w:kern w:val="0"/>
          <w:sz w:val="27"/>
          <w:szCs w:val="27"/>
          <w:lang w:eastAsia="es-CO"/>
          <w14:ligatures w14:val="none"/>
        </w:rPr>
        <w:t> SUJETOS PASIVOS</w:t>
      </w:r>
    </w:p>
    <w:p w14:paraId="6F019F5B"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46037E01" w14:textId="3AC9E922"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Se adiciona al final de lo expresado en el punto #1.9 lo siguiente:</w:t>
      </w:r>
    </w:p>
    <w:p w14:paraId="0F05D079"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Aunado a lo antes señalado, es importante poner de presente que NO es consecuencia de la Ley </w:t>
      </w:r>
      <w:hyperlink r:id="rId17" w:anchor="INICIO" w:history="1">
        <w:r w:rsidRPr="005173FD">
          <w:rPr>
            <w:rFonts w:ascii="Roboto Condensed" w:eastAsia="Times New Roman" w:hAnsi="Roboto Condensed" w:cs="Times New Roman"/>
            <w:color w:val="0000FF"/>
            <w:spacing w:val="2"/>
            <w:kern w:val="0"/>
            <w:sz w:val="27"/>
            <w:szCs w:val="27"/>
            <w:u w:val="single"/>
            <w:lang w:eastAsia="es-CO"/>
            <w14:ligatures w14:val="none"/>
          </w:rPr>
          <w:t>2277</w:t>
        </w:r>
      </w:hyperlink>
      <w:r w:rsidRPr="005173FD">
        <w:rPr>
          <w:rFonts w:ascii="Roboto Condensed" w:eastAsia="Times New Roman" w:hAnsi="Roboto Condensed" w:cs="Times New Roman"/>
          <w:spacing w:val="2"/>
          <w:kern w:val="0"/>
          <w:sz w:val="27"/>
          <w:szCs w:val="27"/>
          <w:lang w:eastAsia="es-CO"/>
          <w14:ligatures w14:val="none"/>
        </w:rPr>
        <w:t> de 2022 el hecho de que no pueda pertenecer/permanecer en el SIMPLE una persona natural que, además de desarrollar una actividad empresarial, está vinculada con una institución de educación a través de una relación laboral docente.</w:t>
      </w:r>
    </w:p>
    <w:p w14:paraId="613D8581"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6D1B58D8" w14:textId="2C4B5661"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En efecto, el artículo </w:t>
      </w:r>
      <w:hyperlink r:id="rId18" w:anchor="906" w:history="1">
        <w:r w:rsidRPr="005173FD">
          <w:rPr>
            <w:rFonts w:ascii="Roboto Condensed" w:eastAsia="Times New Roman" w:hAnsi="Roboto Condensed" w:cs="Times New Roman"/>
            <w:color w:val="0000FF"/>
            <w:spacing w:val="2"/>
            <w:kern w:val="0"/>
            <w:sz w:val="27"/>
            <w:szCs w:val="27"/>
            <w:u w:val="single"/>
            <w:lang w:eastAsia="es-CO"/>
            <w14:ligatures w14:val="none"/>
          </w:rPr>
          <w:t>906</w:t>
        </w:r>
      </w:hyperlink>
      <w:r w:rsidRPr="005173FD">
        <w:rPr>
          <w:rFonts w:ascii="Roboto Condensed" w:eastAsia="Times New Roman" w:hAnsi="Roboto Condensed" w:cs="Times New Roman"/>
          <w:spacing w:val="2"/>
          <w:kern w:val="0"/>
          <w:sz w:val="27"/>
          <w:szCs w:val="27"/>
          <w:lang w:eastAsia="es-CO"/>
          <w14:ligatures w14:val="none"/>
        </w:rPr>
        <w:t> del Estatuto Tributario, que impide optar por el impuesto unificado bajo el SIMPLE a «Las </w:t>
      </w:r>
      <w:r w:rsidRPr="005173FD">
        <w:rPr>
          <w:rFonts w:ascii="Roboto Condensed" w:eastAsia="Times New Roman" w:hAnsi="Roboto Condensed" w:cs="Times New Roman"/>
          <w:i/>
          <w:iCs/>
          <w:spacing w:val="2"/>
          <w:kern w:val="0"/>
          <w:sz w:val="27"/>
          <w:szCs w:val="27"/>
          <w:lang w:eastAsia="es-CO"/>
          <w14:ligatures w14:val="none"/>
        </w:rPr>
        <w:t>personas naturales residentes en el país que en el ejercicio de sus actividades </w:t>
      </w:r>
      <w:r w:rsidRPr="005173FD">
        <w:rPr>
          <w:rFonts w:ascii="Roboto Condensed" w:eastAsia="Times New Roman" w:hAnsi="Roboto Condensed" w:cs="Times New Roman"/>
          <w:i/>
          <w:iCs/>
          <w:spacing w:val="2"/>
          <w:kern w:val="0"/>
          <w:sz w:val="27"/>
          <w:szCs w:val="27"/>
          <w:u w:val="single"/>
          <w:lang w:eastAsia="es-CO"/>
          <w14:ligatures w14:val="none"/>
        </w:rPr>
        <w:t>configuren los elementos propios de un contrato realidad laboral</w:t>
      </w:r>
      <w:r w:rsidRPr="005173FD">
        <w:rPr>
          <w:rFonts w:ascii="Roboto Condensed" w:eastAsia="Times New Roman" w:hAnsi="Roboto Condensed" w:cs="Times New Roman"/>
          <w:i/>
          <w:iCs/>
          <w:spacing w:val="2"/>
          <w:kern w:val="0"/>
          <w:sz w:val="27"/>
          <w:szCs w:val="27"/>
          <w:lang w:eastAsia="es-CO"/>
          <w14:ligatures w14:val="none"/>
        </w:rPr>
        <w:t> o relación legal y reglamentaria de acuerdo con las normas vigentes»</w:t>
      </w:r>
      <w:r w:rsidRPr="005173FD">
        <w:rPr>
          <w:rFonts w:ascii="Roboto Condensed" w:eastAsia="Times New Roman" w:hAnsi="Roboto Condensed" w:cs="Times New Roman"/>
          <w:spacing w:val="2"/>
          <w:kern w:val="0"/>
          <w:sz w:val="27"/>
          <w:szCs w:val="27"/>
          <w:lang w:eastAsia="es-CO"/>
          <w14:ligatures w14:val="none"/>
        </w:rPr>
        <w:t> (énfasis propio), fue inicialmente adicionado por el artículo </w:t>
      </w:r>
      <w:hyperlink r:id="rId19" w:anchor="66" w:history="1">
        <w:r w:rsidRPr="005173FD">
          <w:rPr>
            <w:rFonts w:ascii="Roboto Condensed" w:eastAsia="Times New Roman" w:hAnsi="Roboto Condensed" w:cs="Times New Roman"/>
            <w:color w:val="0000FF"/>
            <w:spacing w:val="2"/>
            <w:kern w:val="0"/>
            <w:sz w:val="27"/>
            <w:szCs w:val="27"/>
            <w:u w:val="single"/>
            <w:lang w:eastAsia="es-CO"/>
            <w14:ligatures w14:val="none"/>
          </w:rPr>
          <w:t>66</w:t>
        </w:r>
      </w:hyperlink>
      <w:r w:rsidRPr="005173FD">
        <w:rPr>
          <w:rFonts w:ascii="Roboto Condensed" w:eastAsia="Times New Roman" w:hAnsi="Roboto Condensed" w:cs="Times New Roman"/>
          <w:spacing w:val="2"/>
          <w:kern w:val="0"/>
          <w:sz w:val="27"/>
          <w:szCs w:val="27"/>
          <w:lang w:eastAsia="es-CO"/>
          <w14:ligatures w14:val="none"/>
        </w:rPr>
        <w:t> de la Ley 1943 de 2018 y posteriormente sustituido por el artículo </w:t>
      </w:r>
      <w:hyperlink r:id="rId20" w:anchor="74" w:history="1">
        <w:r w:rsidRPr="005173FD">
          <w:rPr>
            <w:rFonts w:ascii="Roboto Condensed" w:eastAsia="Times New Roman" w:hAnsi="Roboto Condensed" w:cs="Times New Roman"/>
            <w:color w:val="0000FF"/>
            <w:spacing w:val="2"/>
            <w:kern w:val="0"/>
            <w:sz w:val="27"/>
            <w:szCs w:val="27"/>
            <w:u w:val="single"/>
            <w:lang w:eastAsia="es-CO"/>
            <w14:ligatures w14:val="none"/>
          </w:rPr>
          <w:t>74</w:t>
        </w:r>
      </w:hyperlink>
      <w:r w:rsidRPr="005173FD">
        <w:rPr>
          <w:rFonts w:ascii="Roboto Condensed" w:eastAsia="Times New Roman" w:hAnsi="Roboto Condensed" w:cs="Times New Roman"/>
          <w:spacing w:val="2"/>
          <w:kern w:val="0"/>
          <w:sz w:val="27"/>
          <w:szCs w:val="27"/>
          <w:lang w:eastAsia="es-CO"/>
          <w14:ligatures w14:val="none"/>
        </w:rPr>
        <w:t> de la Ley 2010 de 2019.</w:t>
      </w:r>
    </w:p>
    <w:p w14:paraId="3BD791D0"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4D2C3AB9" w14:textId="10377D88"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Ahora bien, es menester hacer hincapié en que el citado artículo </w:t>
      </w:r>
      <w:hyperlink r:id="rId21" w:anchor="906" w:history="1">
        <w:r w:rsidRPr="005173FD">
          <w:rPr>
            <w:rFonts w:ascii="Roboto Condensed" w:eastAsia="Times New Roman" w:hAnsi="Roboto Condensed" w:cs="Times New Roman"/>
            <w:color w:val="0000FF"/>
            <w:spacing w:val="2"/>
            <w:kern w:val="0"/>
            <w:sz w:val="27"/>
            <w:szCs w:val="27"/>
            <w:u w:val="single"/>
            <w:lang w:eastAsia="es-CO"/>
            <w14:ligatures w14:val="none"/>
          </w:rPr>
          <w:t>906</w:t>
        </w:r>
      </w:hyperlink>
      <w:r w:rsidRPr="005173FD">
        <w:rPr>
          <w:rFonts w:ascii="Roboto Condensed" w:eastAsia="Times New Roman" w:hAnsi="Roboto Condensed" w:cs="Times New Roman"/>
          <w:spacing w:val="2"/>
          <w:kern w:val="0"/>
          <w:sz w:val="27"/>
          <w:szCs w:val="27"/>
          <w:lang w:eastAsia="es-CO"/>
          <w14:ligatures w14:val="none"/>
        </w:rPr>
        <w:t> (específicamente su numeral 3) hace referencia a «los </w:t>
      </w:r>
      <w:r w:rsidRPr="005173FD">
        <w:rPr>
          <w:rFonts w:ascii="Roboto Condensed" w:eastAsia="Times New Roman" w:hAnsi="Roboto Condensed" w:cs="Times New Roman"/>
          <w:i/>
          <w:iCs/>
          <w:spacing w:val="2"/>
          <w:kern w:val="0"/>
          <w:sz w:val="27"/>
          <w:szCs w:val="27"/>
          <w:u w:val="single"/>
          <w:lang w:eastAsia="es-CO"/>
          <w14:ligatures w14:val="none"/>
        </w:rPr>
        <w:t>elementos propios</w:t>
      </w:r>
      <w:r w:rsidRPr="005173FD">
        <w:rPr>
          <w:rFonts w:ascii="Roboto Condensed" w:eastAsia="Times New Roman" w:hAnsi="Roboto Condensed" w:cs="Times New Roman"/>
          <w:i/>
          <w:iCs/>
          <w:spacing w:val="2"/>
          <w:kern w:val="0"/>
          <w:sz w:val="27"/>
          <w:szCs w:val="27"/>
          <w:lang w:eastAsia="es-CO"/>
          <w14:ligatures w14:val="none"/>
        </w:rPr>
        <w:t> de un contrato realidad laboral»</w:t>
      </w:r>
      <w:r w:rsidRPr="005173FD">
        <w:rPr>
          <w:rFonts w:ascii="Roboto Condensed" w:eastAsia="Times New Roman" w:hAnsi="Roboto Condensed" w:cs="Times New Roman"/>
          <w:spacing w:val="2"/>
          <w:kern w:val="0"/>
          <w:sz w:val="27"/>
          <w:szCs w:val="27"/>
          <w:lang w:eastAsia="es-CO"/>
          <w14:ligatures w14:val="none"/>
        </w:rPr>
        <w:t> (énfasis propio) y no solamente al </w:t>
      </w:r>
      <w:r w:rsidRPr="005173FD">
        <w:rPr>
          <w:rFonts w:ascii="Roboto Condensed" w:eastAsia="Times New Roman" w:hAnsi="Roboto Condensed" w:cs="Times New Roman"/>
          <w:i/>
          <w:iCs/>
          <w:spacing w:val="2"/>
          <w:kern w:val="0"/>
          <w:sz w:val="27"/>
          <w:szCs w:val="27"/>
          <w:lang w:eastAsia="es-CO"/>
          <w14:ligatures w14:val="none"/>
        </w:rPr>
        <w:t>«contrato realidad laboral»</w:t>
      </w:r>
      <w:r w:rsidRPr="005173FD">
        <w:rPr>
          <w:rFonts w:ascii="Roboto Condensed" w:eastAsia="Times New Roman" w:hAnsi="Roboto Condensed" w:cs="Times New Roman"/>
          <w:spacing w:val="2"/>
          <w:kern w:val="0"/>
          <w:sz w:val="27"/>
          <w:szCs w:val="27"/>
          <w:lang w:eastAsia="es-CO"/>
          <w14:ligatures w14:val="none"/>
        </w:rPr>
        <w:t xml:space="preserve">; elementos propios que consisten en la prestación personal de un servicio, la subordinación y la remuneración como contraprestación del servicio, tal y como fuera expresado por el Consejo de Estado, Sala de lo Contencioso Administrativo, Sección Segunda, </w:t>
      </w:r>
      <w:r w:rsidRPr="005173FD">
        <w:rPr>
          <w:rFonts w:ascii="Roboto Condensed" w:eastAsia="Times New Roman" w:hAnsi="Roboto Condensed" w:cs="Times New Roman"/>
          <w:spacing w:val="2"/>
          <w:kern w:val="0"/>
          <w:sz w:val="27"/>
          <w:szCs w:val="27"/>
          <w:lang w:eastAsia="es-CO"/>
          <w14:ligatures w14:val="none"/>
        </w:rPr>
        <w:lastRenderedPageBreak/>
        <w:t>Subsección A, C.P. RAFAEL FRANCISCO SUÁREZ VARGAS, en sentencia del 12 de septiembre de 2019, Radicación No. 47001-23-33-000-2014-0009201(0583-15):</w:t>
      </w:r>
    </w:p>
    <w:p w14:paraId="54BE443C"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34D5A68C" w14:textId="5801B65F"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 el denominado «contrato realidad» hace referencia a la materialización del principio constitucional de la primacía de la realidad sobre las formalidades, contenido en el artículo 53 de la Constitución Política, teniendo en cuenta que es aquel modo de vinculación que aunque no esté definido como tal o se pretenda ocultar mediante otros tipos de contratación, </w:t>
      </w:r>
      <w:r w:rsidRPr="005173FD">
        <w:rPr>
          <w:rFonts w:ascii="Roboto Condensed" w:eastAsia="Times New Roman" w:hAnsi="Roboto Condensed" w:cs="Times New Roman"/>
          <w:i/>
          <w:iCs/>
          <w:spacing w:val="2"/>
          <w:kern w:val="0"/>
          <w:sz w:val="27"/>
          <w:szCs w:val="27"/>
          <w:u w:val="single"/>
          <w:lang w:eastAsia="es-CO"/>
          <w14:ligatures w14:val="none"/>
        </w:rPr>
        <w:t xml:space="preserve">se presentan los elementos que configuran una verdadera relación laboral; estos elementos son: i) la prestación personal del servicio, </w:t>
      </w:r>
      <w:proofErr w:type="spellStart"/>
      <w:r w:rsidRPr="005173FD">
        <w:rPr>
          <w:rFonts w:ascii="Roboto Condensed" w:eastAsia="Times New Roman" w:hAnsi="Roboto Condensed" w:cs="Times New Roman"/>
          <w:i/>
          <w:iCs/>
          <w:spacing w:val="2"/>
          <w:kern w:val="0"/>
          <w:sz w:val="27"/>
          <w:szCs w:val="27"/>
          <w:u w:val="single"/>
          <w:lang w:eastAsia="es-CO"/>
          <w14:ligatures w14:val="none"/>
        </w:rPr>
        <w:t>ii</w:t>
      </w:r>
      <w:proofErr w:type="spellEnd"/>
      <w:r w:rsidRPr="005173FD">
        <w:rPr>
          <w:rFonts w:ascii="Roboto Condensed" w:eastAsia="Times New Roman" w:hAnsi="Roboto Condensed" w:cs="Times New Roman"/>
          <w:i/>
          <w:iCs/>
          <w:spacing w:val="2"/>
          <w:kern w:val="0"/>
          <w:sz w:val="27"/>
          <w:szCs w:val="27"/>
          <w:u w:val="single"/>
          <w:lang w:eastAsia="es-CO"/>
          <w14:ligatures w14:val="none"/>
        </w:rPr>
        <w:t xml:space="preserve">) la subordinación y </w:t>
      </w:r>
      <w:proofErr w:type="spellStart"/>
      <w:r w:rsidRPr="005173FD">
        <w:rPr>
          <w:rFonts w:ascii="Roboto Condensed" w:eastAsia="Times New Roman" w:hAnsi="Roboto Condensed" w:cs="Times New Roman"/>
          <w:i/>
          <w:iCs/>
          <w:spacing w:val="2"/>
          <w:kern w:val="0"/>
          <w:sz w:val="27"/>
          <w:szCs w:val="27"/>
          <w:u w:val="single"/>
          <w:lang w:eastAsia="es-CO"/>
          <w14:ligatures w14:val="none"/>
        </w:rPr>
        <w:t>iii</w:t>
      </w:r>
      <w:proofErr w:type="spellEnd"/>
      <w:r w:rsidRPr="005173FD">
        <w:rPr>
          <w:rFonts w:ascii="Roboto Condensed" w:eastAsia="Times New Roman" w:hAnsi="Roboto Condensed" w:cs="Times New Roman"/>
          <w:i/>
          <w:iCs/>
          <w:spacing w:val="2"/>
          <w:kern w:val="0"/>
          <w:sz w:val="27"/>
          <w:szCs w:val="27"/>
          <w:u w:val="single"/>
          <w:lang w:eastAsia="es-CO"/>
          <w14:ligatures w14:val="none"/>
        </w:rPr>
        <w:t>) una remuneración como contraprestación de los servicios, también denominado salario</w:t>
      </w:r>
      <w:r w:rsidRPr="005173FD">
        <w:rPr>
          <w:rFonts w:ascii="Roboto Condensed" w:eastAsia="Times New Roman" w:hAnsi="Roboto Condensed" w:cs="Times New Roman"/>
          <w:i/>
          <w:iCs/>
          <w:spacing w:val="2"/>
          <w:kern w:val="0"/>
          <w:sz w:val="27"/>
          <w:szCs w:val="27"/>
          <w:lang w:eastAsia="es-CO"/>
          <w14:ligatures w14:val="none"/>
        </w:rPr>
        <w:t>.»</w:t>
      </w:r>
      <w:r w:rsidRPr="005173FD">
        <w:rPr>
          <w:rFonts w:ascii="Roboto Condensed" w:eastAsia="Times New Roman" w:hAnsi="Roboto Condensed" w:cs="Times New Roman"/>
          <w:spacing w:val="2"/>
          <w:kern w:val="0"/>
          <w:sz w:val="27"/>
          <w:szCs w:val="27"/>
          <w:lang w:eastAsia="es-CO"/>
          <w14:ligatures w14:val="none"/>
        </w:rPr>
        <w:t> (énfasis propio)</w:t>
      </w:r>
    </w:p>
    <w:p w14:paraId="6F47CA5B"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03630C73" w14:textId="224C96F4"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Dichos elementos, de hecho, son los mismos presentes en el contrato de trabajo, tal y como lo prevé el artículo 23 del Código Sustantivo del Trabajo:</w:t>
      </w:r>
    </w:p>
    <w:p w14:paraId="09E1451D"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«ARTICULO 23. ELEMENTOS ESENCIALES. &lt;Artículo subrogado por el artículo 1o. de la Ley 50 de 1990. El nuevo texto es el siguiente:&gt;</w:t>
      </w:r>
    </w:p>
    <w:p w14:paraId="7C1F9C66"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222518E4" w14:textId="302AFC59"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1. Para que haya contrato de trabajo se requiere que concurran estos </w:t>
      </w:r>
      <w:r w:rsidRPr="005173FD">
        <w:rPr>
          <w:rFonts w:ascii="Roboto Condensed" w:eastAsia="Times New Roman" w:hAnsi="Roboto Condensed" w:cs="Times New Roman"/>
          <w:i/>
          <w:iCs/>
          <w:spacing w:val="2"/>
          <w:kern w:val="0"/>
          <w:sz w:val="27"/>
          <w:szCs w:val="27"/>
          <w:u w:val="single"/>
          <w:lang w:eastAsia="es-CO"/>
          <w14:ligatures w14:val="none"/>
        </w:rPr>
        <w:t>tres elementos esenciales</w:t>
      </w:r>
      <w:r w:rsidRPr="005173FD">
        <w:rPr>
          <w:rFonts w:ascii="Roboto Condensed" w:eastAsia="Times New Roman" w:hAnsi="Roboto Condensed" w:cs="Times New Roman"/>
          <w:i/>
          <w:iCs/>
          <w:spacing w:val="2"/>
          <w:kern w:val="0"/>
          <w:sz w:val="27"/>
          <w:szCs w:val="27"/>
          <w:lang w:eastAsia="es-CO"/>
          <w14:ligatures w14:val="none"/>
        </w:rPr>
        <w:t>:</w:t>
      </w:r>
    </w:p>
    <w:p w14:paraId="54E065EE"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0438B4E1" w14:textId="63BFEC7D"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 </w:t>
      </w:r>
      <w:r w:rsidRPr="005173FD">
        <w:rPr>
          <w:rFonts w:ascii="Roboto Condensed" w:eastAsia="Times New Roman" w:hAnsi="Roboto Condensed" w:cs="Times New Roman"/>
          <w:i/>
          <w:iCs/>
          <w:spacing w:val="2"/>
          <w:kern w:val="0"/>
          <w:sz w:val="27"/>
          <w:szCs w:val="27"/>
          <w:lang w:eastAsia="es-CO"/>
          <w14:ligatures w14:val="none"/>
        </w:rPr>
        <w:t>La </w:t>
      </w:r>
      <w:r w:rsidRPr="005173FD">
        <w:rPr>
          <w:rFonts w:ascii="Roboto Condensed" w:eastAsia="Times New Roman" w:hAnsi="Roboto Condensed" w:cs="Times New Roman"/>
          <w:i/>
          <w:iCs/>
          <w:spacing w:val="2"/>
          <w:kern w:val="0"/>
          <w:sz w:val="27"/>
          <w:szCs w:val="27"/>
          <w:u w:val="single"/>
          <w:lang w:eastAsia="es-CO"/>
          <w14:ligatures w14:val="none"/>
        </w:rPr>
        <w:t>actividad personal</w:t>
      </w:r>
      <w:r w:rsidRPr="005173FD">
        <w:rPr>
          <w:rFonts w:ascii="Roboto Condensed" w:eastAsia="Times New Roman" w:hAnsi="Roboto Condensed" w:cs="Times New Roman"/>
          <w:i/>
          <w:iCs/>
          <w:spacing w:val="2"/>
          <w:kern w:val="0"/>
          <w:sz w:val="27"/>
          <w:szCs w:val="27"/>
          <w:lang w:eastAsia="es-CO"/>
          <w14:ligatures w14:val="none"/>
        </w:rPr>
        <w:t> del trabajador, es decir, realizada por sí mismo;</w:t>
      </w:r>
    </w:p>
    <w:p w14:paraId="0E7FCB3F"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b. </w:t>
      </w:r>
      <w:r w:rsidRPr="005173FD">
        <w:rPr>
          <w:rFonts w:ascii="Roboto Condensed" w:eastAsia="Times New Roman" w:hAnsi="Roboto Condensed" w:cs="Times New Roman"/>
          <w:i/>
          <w:iCs/>
          <w:spacing w:val="2"/>
          <w:kern w:val="0"/>
          <w:sz w:val="27"/>
          <w:szCs w:val="27"/>
          <w:lang w:eastAsia="es-CO"/>
          <w14:ligatures w14:val="none"/>
        </w:rPr>
        <w:t>La </w:t>
      </w:r>
      <w:r w:rsidRPr="005173FD">
        <w:rPr>
          <w:rFonts w:ascii="Roboto Condensed" w:eastAsia="Times New Roman" w:hAnsi="Roboto Condensed" w:cs="Times New Roman"/>
          <w:i/>
          <w:iCs/>
          <w:spacing w:val="2"/>
          <w:kern w:val="0"/>
          <w:sz w:val="27"/>
          <w:szCs w:val="27"/>
          <w:u w:val="single"/>
          <w:lang w:eastAsia="es-CO"/>
          <w14:ligatures w14:val="none"/>
        </w:rPr>
        <w:t>continuada subordinación o dependencia</w:t>
      </w:r>
      <w:r w:rsidRPr="005173FD">
        <w:rPr>
          <w:rFonts w:ascii="Roboto Condensed" w:eastAsia="Times New Roman" w:hAnsi="Roboto Condensed" w:cs="Times New Roman"/>
          <w:i/>
          <w:iCs/>
          <w:spacing w:val="2"/>
          <w:kern w:val="0"/>
          <w:sz w:val="27"/>
          <w:szCs w:val="27"/>
          <w:lang w:eastAsia="es-CO"/>
          <w14:ligatures w14:val="none"/>
        </w:rPr>
        <w:t> del trabajador respecto del empleador, que faculta a éste para exigirle el cumplimiento de órdenes, en cualquier momento, en cuanto al modo, tiempo o cantidad de trabajo, e imponerle reglamentos, la cual debe mantenerse por todo el tiempo de duración del contrato (...); y</w:t>
      </w:r>
    </w:p>
    <w:p w14:paraId="57A4E981"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c. </w:t>
      </w:r>
      <w:r w:rsidRPr="005173FD">
        <w:rPr>
          <w:rFonts w:ascii="Roboto Condensed" w:eastAsia="Times New Roman" w:hAnsi="Roboto Condensed" w:cs="Times New Roman"/>
          <w:i/>
          <w:iCs/>
          <w:spacing w:val="2"/>
          <w:kern w:val="0"/>
          <w:sz w:val="27"/>
          <w:szCs w:val="27"/>
          <w:lang w:eastAsia="es-CO"/>
          <w14:ligatures w14:val="none"/>
        </w:rPr>
        <w:t>Un </w:t>
      </w:r>
      <w:r w:rsidRPr="005173FD">
        <w:rPr>
          <w:rFonts w:ascii="Roboto Condensed" w:eastAsia="Times New Roman" w:hAnsi="Roboto Condensed" w:cs="Times New Roman"/>
          <w:i/>
          <w:iCs/>
          <w:spacing w:val="2"/>
          <w:kern w:val="0"/>
          <w:sz w:val="27"/>
          <w:szCs w:val="27"/>
          <w:u w:val="single"/>
          <w:lang w:eastAsia="es-CO"/>
          <w14:ligatures w14:val="none"/>
        </w:rPr>
        <w:t>salario</w:t>
      </w:r>
      <w:r w:rsidRPr="005173FD">
        <w:rPr>
          <w:rFonts w:ascii="Roboto Condensed" w:eastAsia="Times New Roman" w:hAnsi="Roboto Condensed" w:cs="Times New Roman"/>
          <w:i/>
          <w:iCs/>
          <w:spacing w:val="2"/>
          <w:kern w:val="0"/>
          <w:sz w:val="27"/>
          <w:szCs w:val="27"/>
          <w:lang w:eastAsia="es-CO"/>
          <w14:ligatures w14:val="none"/>
        </w:rPr>
        <w:t> como retribución del servicio.</w:t>
      </w:r>
    </w:p>
    <w:p w14:paraId="589AC1F2"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6C9EEDDA" w14:textId="3FB3323A"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2. Una vez reunidos los tres elementos de que trata este artículo, </w:t>
      </w:r>
      <w:r w:rsidRPr="005173FD">
        <w:rPr>
          <w:rFonts w:ascii="Roboto Condensed" w:eastAsia="Times New Roman" w:hAnsi="Roboto Condensed" w:cs="Times New Roman"/>
          <w:i/>
          <w:iCs/>
          <w:spacing w:val="2"/>
          <w:kern w:val="0"/>
          <w:sz w:val="27"/>
          <w:szCs w:val="27"/>
          <w:u w:val="single"/>
          <w:lang w:eastAsia="es-CO"/>
          <w14:ligatures w14:val="none"/>
        </w:rPr>
        <w:t>se entiende que existe contrato de trabajo y no deja de serlo por razón del nombre que se le dé</w:t>
      </w:r>
      <w:r w:rsidRPr="005173FD">
        <w:rPr>
          <w:rFonts w:ascii="Roboto Condensed" w:eastAsia="Times New Roman" w:hAnsi="Roboto Condensed" w:cs="Times New Roman"/>
          <w:i/>
          <w:iCs/>
          <w:spacing w:val="2"/>
          <w:kern w:val="0"/>
          <w:sz w:val="27"/>
          <w:szCs w:val="27"/>
          <w:lang w:eastAsia="es-CO"/>
          <w14:ligatures w14:val="none"/>
        </w:rPr>
        <w:t> ni de otras condiciones o modalidades que se le agreguen.»</w:t>
      </w:r>
      <w:r w:rsidRPr="005173FD">
        <w:rPr>
          <w:rFonts w:ascii="Roboto Condensed" w:eastAsia="Times New Roman" w:hAnsi="Roboto Condensed" w:cs="Times New Roman"/>
          <w:spacing w:val="2"/>
          <w:kern w:val="0"/>
          <w:sz w:val="27"/>
          <w:szCs w:val="27"/>
          <w:lang w:eastAsia="es-CO"/>
          <w14:ligatures w14:val="none"/>
        </w:rPr>
        <w:t> (énfasis propio)</w:t>
      </w:r>
    </w:p>
    <w:p w14:paraId="198F95CB"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2817A4EE" w14:textId="440F49D0"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lastRenderedPageBreak/>
        <w:t>Por ende, siempre que estén presentes los referidos elementos en el ejercicio de la actividad económica, la persona natural no podrá optar por el impuesto unificado bajo el SIMPLE, ya sea que exista un contrato de trabajo o se configure un contrato realidad laboral.</w:t>
      </w:r>
    </w:p>
    <w:p w14:paraId="2E1F051F"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1.10. Cuando una persona natural desarrolla una actividad empresarial y simultáneamente obtiene ingresos por salarios ¿puede pertenecer/permanecer en el SIMPLE siempre que la actividad empresarial sea la fuente principal de sus ingresos?</w:t>
      </w:r>
    </w:p>
    <w:p w14:paraId="771434C0"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Es fundamental comprender que el SIMPLE no prevé la posibilidad de pertenecer/permanecer en el SIMPLE a una persona natural que obtiene ingresos tanto por el ejercicio de una actividad empresarial como por el desarrollo de un contrato de trabajo o contrato realidad laboral.</w:t>
      </w:r>
    </w:p>
    <w:p w14:paraId="5D389652"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 la par, es de advertir que la Ley tampoco prevé una regla de ponderación o proporcionalidad cuando se obtienen estos tipos de ingresos que permita sopesar unos sobre otros en aras de optar por el impuesto unificado bajo el SIMPLE.</w:t>
      </w:r>
    </w:p>
    <w:p w14:paraId="5EEBA945"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Al respecto, el artículo </w:t>
      </w:r>
      <w:hyperlink r:id="rId22" w:anchor="905" w:history="1">
        <w:r w:rsidRPr="005173FD">
          <w:rPr>
            <w:rFonts w:ascii="Roboto Condensed" w:eastAsia="Times New Roman" w:hAnsi="Roboto Condensed" w:cs="Times New Roman"/>
            <w:color w:val="0000FF"/>
            <w:spacing w:val="2"/>
            <w:kern w:val="0"/>
            <w:sz w:val="27"/>
            <w:szCs w:val="27"/>
            <w:u w:val="single"/>
            <w:lang w:eastAsia="es-CO"/>
            <w14:ligatures w14:val="none"/>
          </w:rPr>
          <w:t>905</w:t>
        </w:r>
      </w:hyperlink>
      <w:r w:rsidRPr="005173FD">
        <w:rPr>
          <w:rFonts w:ascii="Roboto Condensed" w:eastAsia="Times New Roman" w:hAnsi="Roboto Condensed" w:cs="Times New Roman"/>
          <w:spacing w:val="2"/>
          <w:kern w:val="0"/>
          <w:sz w:val="27"/>
          <w:szCs w:val="27"/>
          <w:lang w:eastAsia="es-CO"/>
          <w14:ligatures w14:val="none"/>
        </w:rPr>
        <w:t> del Estatuto Tributario señala que podrá ser sujeto pasivo del referido impuesto unificado la persona natural que desarrolle una empresa, además del cumplimiento de otros requisitos. A su vez, el artículo </w:t>
      </w:r>
      <w:hyperlink r:id="rId23" w:anchor="906" w:history="1">
        <w:r w:rsidRPr="005173FD">
          <w:rPr>
            <w:rFonts w:ascii="Roboto Condensed" w:eastAsia="Times New Roman" w:hAnsi="Roboto Condensed" w:cs="Times New Roman"/>
            <w:color w:val="0000FF"/>
            <w:spacing w:val="2"/>
            <w:kern w:val="0"/>
            <w:sz w:val="27"/>
            <w:szCs w:val="27"/>
            <w:u w:val="single"/>
            <w:lang w:eastAsia="es-CO"/>
            <w14:ligatures w14:val="none"/>
          </w:rPr>
          <w:t>906</w:t>
        </w:r>
      </w:hyperlink>
      <w:r w:rsidRPr="005173FD">
        <w:rPr>
          <w:rFonts w:ascii="Roboto Condensed" w:eastAsia="Times New Roman" w:hAnsi="Roboto Condensed" w:cs="Times New Roman"/>
          <w:spacing w:val="2"/>
          <w:kern w:val="0"/>
          <w:sz w:val="27"/>
          <w:szCs w:val="27"/>
          <w:lang w:eastAsia="es-CO"/>
          <w14:ligatures w14:val="none"/>
        </w:rPr>
        <w:t> </w:t>
      </w:r>
      <w:r w:rsidRPr="005173FD">
        <w:rPr>
          <w:rFonts w:ascii="Roboto Condensed" w:eastAsia="Times New Roman" w:hAnsi="Roboto Condensed" w:cs="Times New Roman"/>
          <w:i/>
          <w:iCs/>
          <w:spacing w:val="2"/>
          <w:kern w:val="0"/>
          <w:sz w:val="27"/>
          <w:szCs w:val="27"/>
          <w:lang w:eastAsia="es-CO"/>
          <w14:ligatures w14:val="none"/>
        </w:rPr>
        <w:t>ibidem</w:t>
      </w:r>
      <w:r w:rsidRPr="005173FD">
        <w:rPr>
          <w:rFonts w:ascii="Roboto Condensed" w:eastAsia="Times New Roman" w:hAnsi="Roboto Condensed" w:cs="Times New Roman"/>
          <w:spacing w:val="2"/>
          <w:kern w:val="0"/>
          <w:sz w:val="27"/>
          <w:szCs w:val="27"/>
          <w:lang w:eastAsia="es-CO"/>
          <w14:ligatures w14:val="none"/>
        </w:rPr>
        <w:t> precisa que, entre otros sujetos, no pueden optar por el impuesto unificado </w:t>
      </w:r>
      <w:r w:rsidRPr="005173FD">
        <w:rPr>
          <w:rFonts w:ascii="Roboto Condensed" w:eastAsia="Times New Roman" w:hAnsi="Roboto Condensed" w:cs="Times New Roman"/>
          <w:i/>
          <w:iCs/>
          <w:spacing w:val="2"/>
          <w:kern w:val="0"/>
          <w:sz w:val="27"/>
          <w:szCs w:val="27"/>
          <w:lang w:eastAsia="es-CO"/>
          <w14:ligatures w14:val="none"/>
        </w:rPr>
        <w:t>«Las personas naturales residentes en el país que en el ejercicio de sus actividades configuren los elementos propios de un contrato realidad laboral o relación legal y reglamentaria de acuerdo con las normas vigentes»</w:t>
      </w:r>
      <w:r w:rsidRPr="005173FD">
        <w:rPr>
          <w:rFonts w:ascii="Roboto Condensed" w:eastAsia="Times New Roman" w:hAnsi="Roboto Condensed" w:cs="Times New Roman"/>
          <w:spacing w:val="2"/>
          <w:kern w:val="0"/>
          <w:sz w:val="27"/>
          <w:szCs w:val="27"/>
          <w:lang w:eastAsia="es-CO"/>
          <w14:ligatures w14:val="none"/>
        </w:rPr>
        <w:t>.</w:t>
      </w:r>
    </w:p>
    <w:p w14:paraId="205E2221"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11C9A1F9" w14:textId="34724F6F"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Nótese que esta última disposición NO establece particularidades relacionadas con el porcentaje que puedan representar los ingresos originados de un contrato de trabajo o realidad laboral en la totalidad de los ingresos (ordinarios o extraordinarios) del período gravable, con lo cual, la circunstancia de que éstos sean inferiores (desde el 0,1% hasta el 49,9% de la mencionada totalidad) a los provenientes del desarrollo de una actividad empresarial no abre la posibilidad para la respectiva persona natural de pertenecer al SIMPLE.</w:t>
      </w:r>
    </w:p>
    <w:p w14:paraId="7F578221"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lastRenderedPageBreak/>
        <w:t>Por ende, una persona natural, vinculada a través de un contrato laboral, queda sometida al régimen ordinario del impuesto sobre la renta (cfr. Oficio 0</w:t>
      </w:r>
      <w:hyperlink r:id="rId24" w:anchor="INICIO" w:history="1">
        <w:r w:rsidRPr="005173FD">
          <w:rPr>
            <w:rFonts w:ascii="Roboto Condensed" w:eastAsia="Times New Roman" w:hAnsi="Roboto Condensed" w:cs="Times New Roman"/>
            <w:color w:val="0000FF"/>
            <w:spacing w:val="2"/>
            <w:kern w:val="0"/>
            <w:sz w:val="27"/>
            <w:szCs w:val="27"/>
            <w:u w:val="single"/>
            <w:lang w:eastAsia="es-CO"/>
            <w14:ligatures w14:val="none"/>
          </w:rPr>
          <w:t>18301</w:t>
        </w:r>
      </w:hyperlink>
      <w:r w:rsidRPr="005173FD">
        <w:rPr>
          <w:rFonts w:ascii="Roboto Condensed" w:eastAsia="Times New Roman" w:hAnsi="Roboto Condensed" w:cs="Times New Roman"/>
          <w:spacing w:val="2"/>
          <w:kern w:val="0"/>
          <w:sz w:val="27"/>
          <w:szCs w:val="27"/>
          <w:lang w:eastAsia="es-CO"/>
          <w14:ligatures w14:val="none"/>
        </w:rPr>
        <w:t> del 16 de julio de 2019).</w:t>
      </w:r>
    </w:p>
    <w:p w14:paraId="57139DE0"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5B28206D" w14:textId="5650066E"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hyperlink r:id="rId25" w:anchor="4" w:history="1">
        <w:r w:rsidRPr="005173FD">
          <w:rPr>
            <w:rFonts w:ascii="Roboto Condensed" w:eastAsia="Times New Roman" w:hAnsi="Roboto Condensed" w:cs="Times New Roman"/>
            <w:b/>
            <w:bCs/>
            <w:spacing w:val="2"/>
            <w:kern w:val="0"/>
            <w:sz w:val="27"/>
            <w:szCs w:val="27"/>
            <w:lang w:eastAsia="es-CO"/>
            <w14:ligatures w14:val="none"/>
          </w:rPr>
          <w:t>4.</w:t>
        </w:r>
      </w:hyperlink>
      <w:r w:rsidRPr="005173FD">
        <w:rPr>
          <w:rFonts w:ascii="Roboto Condensed" w:eastAsia="Times New Roman" w:hAnsi="Roboto Condensed" w:cs="Times New Roman"/>
          <w:b/>
          <w:bCs/>
          <w:spacing w:val="2"/>
          <w:kern w:val="0"/>
          <w:sz w:val="27"/>
          <w:szCs w:val="27"/>
          <w:lang w:eastAsia="es-CO"/>
          <w14:ligatures w14:val="none"/>
        </w:rPr>
        <w:t> DECLARACIÓN Y PAGO</w:t>
      </w:r>
    </w:p>
    <w:p w14:paraId="5B2053C8"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2D70D9EE" w14:textId="269C7424"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El artículo </w:t>
      </w:r>
      <w:hyperlink r:id="rId26" w:anchor="45" w:history="1">
        <w:r w:rsidRPr="005173FD">
          <w:rPr>
            <w:rFonts w:ascii="Roboto Condensed" w:eastAsia="Times New Roman" w:hAnsi="Roboto Condensed" w:cs="Times New Roman"/>
            <w:color w:val="0000FF"/>
            <w:spacing w:val="2"/>
            <w:kern w:val="0"/>
            <w:sz w:val="27"/>
            <w:szCs w:val="27"/>
            <w:u w:val="single"/>
            <w:lang w:eastAsia="es-CO"/>
            <w14:ligatures w14:val="none"/>
          </w:rPr>
          <w:t>45</w:t>
        </w:r>
      </w:hyperlink>
      <w:r w:rsidRPr="005173FD">
        <w:rPr>
          <w:rFonts w:ascii="Roboto Condensed" w:eastAsia="Times New Roman" w:hAnsi="Roboto Condensed" w:cs="Times New Roman"/>
          <w:spacing w:val="2"/>
          <w:kern w:val="0"/>
          <w:sz w:val="27"/>
          <w:szCs w:val="27"/>
          <w:lang w:eastAsia="es-CO"/>
          <w14:ligatures w14:val="none"/>
        </w:rPr>
        <w:t> de la Ley 2277 de 2022 dispone:</w:t>
      </w:r>
    </w:p>
    <w:p w14:paraId="5D653B41"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ARTÍCULO </w:t>
      </w:r>
      <w:hyperlink r:id="rId27" w:anchor="45" w:history="1">
        <w:r w:rsidRPr="005173FD">
          <w:rPr>
            <w:rFonts w:ascii="Roboto Condensed" w:eastAsia="Times New Roman" w:hAnsi="Roboto Condensed" w:cs="Times New Roman"/>
            <w:color w:val="0000FF"/>
            <w:spacing w:val="2"/>
            <w:kern w:val="0"/>
            <w:sz w:val="27"/>
            <w:szCs w:val="27"/>
            <w:u w:val="single"/>
            <w:lang w:eastAsia="es-CO"/>
            <w14:ligatures w14:val="none"/>
          </w:rPr>
          <w:t>45</w:t>
        </w:r>
      </w:hyperlink>
      <w:r w:rsidRPr="005173FD">
        <w:rPr>
          <w:rFonts w:ascii="Roboto Condensed" w:eastAsia="Times New Roman" w:hAnsi="Roboto Condensed" w:cs="Times New Roman"/>
          <w:spacing w:val="2"/>
          <w:kern w:val="0"/>
          <w:sz w:val="27"/>
          <w:szCs w:val="27"/>
          <w:lang w:eastAsia="es-CO"/>
          <w14:ligatures w14:val="none"/>
        </w:rPr>
        <w:t>. Adiciónense un parágrafo 2 y un parágrafo 3 al Artículo </w:t>
      </w:r>
      <w:hyperlink r:id="rId28" w:anchor="910" w:history="1">
        <w:r w:rsidRPr="005173FD">
          <w:rPr>
            <w:rFonts w:ascii="Roboto Condensed" w:eastAsia="Times New Roman" w:hAnsi="Roboto Condensed" w:cs="Times New Roman"/>
            <w:color w:val="0000FF"/>
            <w:spacing w:val="2"/>
            <w:kern w:val="0"/>
            <w:sz w:val="27"/>
            <w:szCs w:val="27"/>
            <w:u w:val="single"/>
            <w:lang w:eastAsia="es-CO"/>
            <w14:ligatures w14:val="none"/>
          </w:rPr>
          <w:t>910</w:t>
        </w:r>
      </w:hyperlink>
      <w:r w:rsidRPr="005173FD">
        <w:rPr>
          <w:rFonts w:ascii="Roboto Condensed" w:eastAsia="Times New Roman" w:hAnsi="Roboto Condensed" w:cs="Times New Roman"/>
          <w:spacing w:val="2"/>
          <w:kern w:val="0"/>
          <w:sz w:val="27"/>
          <w:szCs w:val="27"/>
          <w:lang w:eastAsia="es-CO"/>
          <w14:ligatures w14:val="none"/>
        </w:rPr>
        <w:t> del Estatuto Tributario, así:</w:t>
      </w:r>
    </w:p>
    <w:p w14:paraId="2C0F2879"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0F9F0482" w14:textId="023AFD2C"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«PARÁGRAFO 2o. Para que se entienda cumplida la obligación de pagar los anticipos en los recibos electrónicos del SIMPLE en los términos del parágrafo 4 del Artículo </w:t>
      </w:r>
      <w:hyperlink r:id="rId29" w:anchor="908" w:history="1">
        <w:r w:rsidRPr="005173FD">
          <w:rPr>
            <w:rFonts w:ascii="Roboto Condensed" w:eastAsia="Times New Roman" w:hAnsi="Roboto Condensed" w:cs="Times New Roman"/>
            <w:color w:val="0000FF"/>
            <w:spacing w:val="2"/>
            <w:kern w:val="0"/>
            <w:sz w:val="27"/>
            <w:szCs w:val="27"/>
            <w:u w:val="single"/>
            <w:lang w:eastAsia="es-CO"/>
            <w14:ligatures w14:val="none"/>
          </w:rPr>
          <w:t>908</w:t>
        </w:r>
      </w:hyperlink>
      <w:r w:rsidRPr="005173FD">
        <w:rPr>
          <w:rFonts w:ascii="Roboto Condensed" w:eastAsia="Times New Roman" w:hAnsi="Roboto Condensed" w:cs="Times New Roman"/>
          <w:spacing w:val="2"/>
          <w:kern w:val="0"/>
          <w:sz w:val="27"/>
          <w:szCs w:val="27"/>
          <w:lang w:eastAsia="es-CO"/>
          <w14:ligatures w14:val="none"/>
        </w:rPr>
        <w:t> de este Estatuto, al igual que se entienda cumplida la obligación de presentar la declaración del SIMPLE de acuerdo con lo previsto en este Artículo, es obligatorio para el contribuyente del SIMPLE realizar el pago total del anticipo de los valores a pagar determinados en la declaración anual mediante el recibo oficial de pago, previo diligenciamiento del recibo electrónico del SIMPLE, o de la declaración del SIMPLE, según el caso, a través de los servicios informáticos electrónicos de la U.A.E. Dirección de Impuestos y Aduanas Nacionales (DIAN).</w:t>
      </w:r>
    </w:p>
    <w:p w14:paraId="2D87C405"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627CA52C" w14:textId="5C90793B"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Por lo tanto, adicional a lo contemplado en el Artículo </w:t>
      </w:r>
      <w:hyperlink r:id="rId30" w:anchor="580" w:history="1">
        <w:r w:rsidRPr="005173FD">
          <w:rPr>
            <w:rFonts w:ascii="Roboto Condensed" w:eastAsia="Times New Roman" w:hAnsi="Roboto Condensed" w:cs="Times New Roman"/>
            <w:color w:val="0000FF"/>
            <w:spacing w:val="2"/>
            <w:kern w:val="0"/>
            <w:sz w:val="27"/>
            <w:szCs w:val="27"/>
            <w:u w:val="single"/>
            <w:lang w:eastAsia="es-CO"/>
            <w14:ligatures w14:val="none"/>
          </w:rPr>
          <w:t>580</w:t>
        </w:r>
      </w:hyperlink>
      <w:r w:rsidRPr="005173FD">
        <w:rPr>
          <w:rFonts w:ascii="Roboto Condensed" w:eastAsia="Times New Roman" w:hAnsi="Roboto Condensed" w:cs="Times New Roman"/>
          <w:spacing w:val="2"/>
          <w:kern w:val="0"/>
          <w:sz w:val="27"/>
          <w:szCs w:val="27"/>
          <w:lang w:eastAsia="es-CO"/>
          <w14:ligatures w14:val="none"/>
        </w:rPr>
        <w:t> de este Estatuto, no se entenderá presentada la declaración del SIMPLE que no se acompañe del respectivo pago total; sin perjuicio de lo previsto en el Artículo </w:t>
      </w:r>
      <w:hyperlink r:id="rId31" w:anchor="914" w:history="1">
        <w:r w:rsidRPr="005173FD">
          <w:rPr>
            <w:rFonts w:ascii="Roboto Condensed" w:eastAsia="Times New Roman" w:hAnsi="Roboto Condensed" w:cs="Times New Roman"/>
            <w:color w:val="0000FF"/>
            <w:spacing w:val="2"/>
            <w:kern w:val="0"/>
            <w:sz w:val="27"/>
            <w:szCs w:val="27"/>
            <w:u w:val="single"/>
            <w:lang w:eastAsia="es-CO"/>
            <w14:ligatures w14:val="none"/>
          </w:rPr>
          <w:t>914</w:t>
        </w:r>
      </w:hyperlink>
      <w:r w:rsidRPr="005173FD">
        <w:rPr>
          <w:rFonts w:ascii="Roboto Condensed" w:eastAsia="Times New Roman" w:hAnsi="Roboto Condensed" w:cs="Times New Roman"/>
          <w:spacing w:val="2"/>
          <w:kern w:val="0"/>
          <w:sz w:val="27"/>
          <w:szCs w:val="27"/>
          <w:lang w:eastAsia="es-CO"/>
          <w14:ligatures w14:val="none"/>
        </w:rPr>
        <w:t> de este Estatuto.</w:t>
      </w:r>
    </w:p>
    <w:p w14:paraId="2A83FE6E"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62D980CB" w14:textId="4C77C9C2"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PARÁGRAFO 3o. Los contribuyentes personas naturales pertenecientes al Régimen Simple e Tributación - SIMPLE que no superen las tres mil quinientas (3.500) UVT de ingreso, deberán presentar únicamente una declaración anual consolidada y pago anual sin necesidad de realizar pagos anticipados a través del recibo electrónico SIMPLE.»</w:t>
      </w:r>
    </w:p>
    <w:p w14:paraId="4D2ED698"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4.1. La declaración anual consolidada, de que trata el artículo </w:t>
      </w:r>
      <w:hyperlink r:id="rId32" w:anchor="910" w:history="1">
        <w:r w:rsidRPr="005173FD">
          <w:rPr>
            <w:rFonts w:ascii="Roboto Condensed" w:eastAsia="Times New Roman" w:hAnsi="Roboto Condensed" w:cs="Times New Roman"/>
            <w:color w:val="0000FF"/>
            <w:spacing w:val="2"/>
            <w:kern w:val="0"/>
            <w:sz w:val="27"/>
            <w:szCs w:val="27"/>
            <w:u w:val="single"/>
            <w:lang w:eastAsia="es-CO"/>
            <w14:ligatures w14:val="none"/>
          </w:rPr>
          <w:t>910</w:t>
        </w:r>
      </w:hyperlink>
      <w:r w:rsidRPr="005173FD">
        <w:rPr>
          <w:rFonts w:ascii="Roboto Condensed" w:eastAsia="Times New Roman" w:hAnsi="Roboto Condensed" w:cs="Times New Roman"/>
          <w:b/>
          <w:bCs/>
          <w:spacing w:val="2"/>
          <w:kern w:val="0"/>
          <w:sz w:val="27"/>
          <w:szCs w:val="27"/>
          <w:lang w:eastAsia="es-CO"/>
          <w14:ligatures w14:val="none"/>
        </w:rPr>
        <w:t> del Estatuto Tributario, que se presente sin pago total ¿puede ser objeto de facilidad para el pago en los términos del artículo </w:t>
      </w:r>
      <w:hyperlink r:id="rId33" w:anchor="814" w:history="1">
        <w:r w:rsidRPr="005173FD">
          <w:rPr>
            <w:rFonts w:ascii="Roboto Condensed" w:eastAsia="Times New Roman" w:hAnsi="Roboto Condensed" w:cs="Times New Roman"/>
            <w:color w:val="0000FF"/>
            <w:spacing w:val="2"/>
            <w:kern w:val="0"/>
            <w:sz w:val="27"/>
            <w:szCs w:val="27"/>
            <w:u w:val="single"/>
            <w:lang w:eastAsia="es-CO"/>
            <w14:ligatures w14:val="none"/>
          </w:rPr>
          <w:t>814</w:t>
        </w:r>
      </w:hyperlink>
      <w:r w:rsidRPr="005173FD">
        <w:rPr>
          <w:rFonts w:ascii="Roboto Condensed" w:eastAsia="Times New Roman" w:hAnsi="Roboto Condensed" w:cs="Times New Roman"/>
          <w:b/>
          <w:bCs/>
          <w:spacing w:val="2"/>
          <w:kern w:val="0"/>
          <w:sz w:val="27"/>
          <w:szCs w:val="27"/>
          <w:lang w:eastAsia="es-CO"/>
          <w14:ligatures w14:val="none"/>
        </w:rPr>
        <w:t> </w:t>
      </w:r>
      <w:r w:rsidRPr="005173FD">
        <w:rPr>
          <w:rFonts w:ascii="Roboto Condensed" w:eastAsia="Times New Roman" w:hAnsi="Roboto Condensed" w:cs="Times New Roman"/>
          <w:spacing w:val="2"/>
          <w:kern w:val="0"/>
          <w:sz w:val="27"/>
          <w:szCs w:val="27"/>
          <w:lang w:eastAsia="es-CO"/>
          <w14:ligatures w14:val="none"/>
        </w:rPr>
        <w:t>ibidem </w:t>
      </w:r>
      <w:r w:rsidRPr="005173FD">
        <w:rPr>
          <w:rFonts w:ascii="Roboto Condensed" w:eastAsia="Times New Roman" w:hAnsi="Roboto Condensed" w:cs="Times New Roman"/>
          <w:b/>
          <w:bCs/>
          <w:spacing w:val="2"/>
          <w:kern w:val="0"/>
          <w:sz w:val="27"/>
          <w:szCs w:val="27"/>
          <w:lang w:eastAsia="es-CO"/>
          <w14:ligatures w14:val="none"/>
        </w:rPr>
        <w:t>?</w:t>
      </w:r>
    </w:p>
    <w:p w14:paraId="23273557"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18EB5FCF" w14:textId="24C48B78"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lastRenderedPageBreak/>
        <w:t>El artículo </w:t>
      </w:r>
      <w:hyperlink r:id="rId34" w:anchor="910" w:history="1">
        <w:r w:rsidRPr="005173FD">
          <w:rPr>
            <w:rFonts w:ascii="Roboto Condensed" w:eastAsia="Times New Roman" w:hAnsi="Roboto Condensed" w:cs="Times New Roman"/>
            <w:color w:val="0000FF"/>
            <w:spacing w:val="2"/>
            <w:kern w:val="0"/>
            <w:sz w:val="27"/>
            <w:szCs w:val="27"/>
            <w:u w:val="single"/>
            <w:lang w:eastAsia="es-CO"/>
            <w14:ligatures w14:val="none"/>
          </w:rPr>
          <w:t>910</w:t>
        </w:r>
      </w:hyperlink>
      <w:r w:rsidRPr="005173FD">
        <w:rPr>
          <w:rFonts w:ascii="Roboto Condensed" w:eastAsia="Times New Roman" w:hAnsi="Roboto Condensed" w:cs="Times New Roman"/>
          <w:spacing w:val="2"/>
          <w:kern w:val="0"/>
          <w:sz w:val="27"/>
          <w:szCs w:val="27"/>
          <w:lang w:eastAsia="es-CO"/>
          <w14:ligatures w14:val="none"/>
        </w:rPr>
        <w:t> del Estatuto Tributario señala en su inciso 2° que «La declaración anual consolidada del impuesto </w:t>
      </w:r>
      <w:r w:rsidRPr="005173FD">
        <w:rPr>
          <w:rFonts w:ascii="Roboto Condensed" w:eastAsia="Times New Roman" w:hAnsi="Roboto Condensed" w:cs="Times New Roman"/>
          <w:i/>
          <w:iCs/>
          <w:spacing w:val="2"/>
          <w:kern w:val="0"/>
          <w:sz w:val="27"/>
          <w:szCs w:val="27"/>
          <w:lang w:eastAsia="es-CO"/>
          <w14:ligatures w14:val="none"/>
        </w:rPr>
        <w:t>unificado bajo el régimen simple de tributación - SIMPLE deberá transmitirse y </w:t>
      </w:r>
      <w:r w:rsidRPr="005173FD">
        <w:rPr>
          <w:rFonts w:ascii="Roboto Condensed" w:eastAsia="Times New Roman" w:hAnsi="Roboto Condensed" w:cs="Times New Roman"/>
          <w:i/>
          <w:iCs/>
          <w:spacing w:val="2"/>
          <w:kern w:val="0"/>
          <w:sz w:val="27"/>
          <w:szCs w:val="27"/>
          <w:u w:val="single"/>
          <w:lang w:eastAsia="es-CO"/>
          <w14:ligatures w14:val="none"/>
        </w:rPr>
        <w:t>presentarse con pago</w:t>
      </w:r>
      <w:r w:rsidRPr="005173FD">
        <w:rPr>
          <w:rFonts w:ascii="Roboto Condensed" w:eastAsia="Times New Roman" w:hAnsi="Roboto Condensed" w:cs="Times New Roman"/>
          <w:i/>
          <w:iCs/>
          <w:spacing w:val="2"/>
          <w:kern w:val="0"/>
          <w:sz w:val="27"/>
          <w:szCs w:val="27"/>
          <w:lang w:eastAsia="es-CO"/>
          <w14:ligatures w14:val="none"/>
        </w:rPr>
        <w:t> mediante los sistemas electrónicos de la Dirección de Impuestos y Aduanas Nacionales (DIAN), dentro de los plazos que fije el Gobierno nacional y deberá incluir los ingresos del año gravable reportados mediante los recibos electrónicos del SIMPLE»</w:t>
      </w:r>
      <w:r w:rsidRPr="005173FD">
        <w:rPr>
          <w:rFonts w:ascii="Roboto Condensed" w:eastAsia="Times New Roman" w:hAnsi="Roboto Condensed" w:cs="Times New Roman"/>
          <w:spacing w:val="2"/>
          <w:kern w:val="0"/>
          <w:sz w:val="27"/>
          <w:szCs w:val="27"/>
          <w:lang w:eastAsia="es-CO"/>
          <w14:ligatures w14:val="none"/>
        </w:rPr>
        <w:t> (énfasis propio).</w:t>
      </w:r>
    </w:p>
    <w:p w14:paraId="5EB72266"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18C752D5" w14:textId="32360DAB"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 la par, el inciso 2° del parágrafo 2° de esta misma disposición establece que </w:t>
      </w:r>
      <w:r w:rsidRPr="005173FD">
        <w:rPr>
          <w:rFonts w:ascii="Roboto Condensed" w:eastAsia="Times New Roman" w:hAnsi="Roboto Condensed" w:cs="Times New Roman"/>
          <w:i/>
          <w:iCs/>
          <w:spacing w:val="2"/>
          <w:kern w:val="0"/>
          <w:sz w:val="27"/>
          <w:szCs w:val="27"/>
          <w:lang w:eastAsia="es-CO"/>
          <w14:ligatures w14:val="none"/>
        </w:rPr>
        <w:t>«adicional a lo contemplado en el Artículo </w:t>
      </w:r>
      <w:hyperlink r:id="rId35" w:anchor="580" w:history="1">
        <w:r w:rsidRPr="005173FD">
          <w:rPr>
            <w:rFonts w:ascii="Roboto Condensed" w:eastAsia="Times New Roman" w:hAnsi="Roboto Condensed" w:cs="Times New Roman"/>
            <w:i/>
            <w:iCs/>
            <w:color w:val="0000FF"/>
            <w:spacing w:val="2"/>
            <w:kern w:val="0"/>
            <w:sz w:val="27"/>
            <w:szCs w:val="27"/>
            <w:u w:val="single"/>
            <w:lang w:eastAsia="es-CO"/>
            <w14:ligatures w14:val="none"/>
          </w:rPr>
          <w:t>580</w:t>
        </w:r>
      </w:hyperlink>
      <w:r w:rsidRPr="005173FD">
        <w:rPr>
          <w:rFonts w:ascii="Roboto Condensed" w:eastAsia="Times New Roman" w:hAnsi="Roboto Condensed" w:cs="Times New Roman"/>
          <w:i/>
          <w:iCs/>
          <w:spacing w:val="2"/>
          <w:kern w:val="0"/>
          <w:sz w:val="27"/>
          <w:szCs w:val="27"/>
          <w:lang w:eastAsia="es-CO"/>
          <w14:ligatures w14:val="none"/>
        </w:rPr>
        <w:t> de este Estatuto, </w:t>
      </w:r>
      <w:r w:rsidRPr="005173FD">
        <w:rPr>
          <w:rFonts w:ascii="Roboto Condensed" w:eastAsia="Times New Roman" w:hAnsi="Roboto Condensed" w:cs="Times New Roman"/>
          <w:i/>
          <w:iCs/>
          <w:spacing w:val="2"/>
          <w:kern w:val="0"/>
          <w:sz w:val="27"/>
          <w:szCs w:val="27"/>
          <w:u w:val="single"/>
          <w:lang w:eastAsia="es-CO"/>
          <w14:ligatures w14:val="none"/>
        </w:rPr>
        <w:t>no se entenderá presentada la declaración del SIMPLE que no se acompañe del respectivo pago total</w:t>
      </w:r>
      <w:r w:rsidRPr="005173FD">
        <w:rPr>
          <w:rFonts w:ascii="Roboto Condensed" w:eastAsia="Times New Roman" w:hAnsi="Roboto Condensed" w:cs="Times New Roman"/>
          <w:i/>
          <w:iCs/>
          <w:spacing w:val="2"/>
          <w:kern w:val="0"/>
          <w:sz w:val="27"/>
          <w:szCs w:val="27"/>
          <w:lang w:eastAsia="es-CO"/>
          <w14:ligatures w14:val="none"/>
        </w:rPr>
        <w:t>; sin perjuicio de lo previsto en el Artículo </w:t>
      </w:r>
      <w:hyperlink r:id="rId36" w:anchor="914" w:history="1">
        <w:r w:rsidRPr="005173FD">
          <w:rPr>
            <w:rFonts w:ascii="Roboto Condensed" w:eastAsia="Times New Roman" w:hAnsi="Roboto Condensed" w:cs="Times New Roman"/>
            <w:i/>
            <w:iCs/>
            <w:color w:val="0000FF"/>
            <w:spacing w:val="2"/>
            <w:kern w:val="0"/>
            <w:sz w:val="27"/>
            <w:szCs w:val="27"/>
            <w:u w:val="single"/>
            <w:lang w:eastAsia="es-CO"/>
            <w14:ligatures w14:val="none"/>
          </w:rPr>
          <w:t>914</w:t>
        </w:r>
      </w:hyperlink>
      <w:r w:rsidRPr="005173FD">
        <w:rPr>
          <w:rFonts w:ascii="Roboto Condensed" w:eastAsia="Times New Roman" w:hAnsi="Roboto Condensed" w:cs="Times New Roman"/>
          <w:i/>
          <w:iCs/>
          <w:spacing w:val="2"/>
          <w:kern w:val="0"/>
          <w:sz w:val="27"/>
          <w:szCs w:val="27"/>
          <w:lang w:eastAsia="es-CO"/>
          <w14:ligatures w14:val="none"/>
        </w:rPr>
        <w:t> de este Estatuto»</w:t>
      </w:r>
      <w:r w:rsidRPr="005173FD">
        <w:rPr>
          <w:rFonts w:ascii="Roboto Condensed" w:eastAsia="Times New Roman" w:hAnsi="Roboto Condensed" w:cs="Times New Roman"/>
          <w:spacing w:val="2"/>
          <w:kern w:val="0"/>
          <w:sz w:val="27"/>
          <w:szCs w:val="27"/>
          <w:lang w:eastAsia="es-CO"/>
          <w14:ligatures w14:val="none"/>
        </w:rPr>
        <w:t> (énfasis propio).</w:t>
      </w:r>
    </w:p>
    <w:p w14:paraId="150BC430"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31C1658F" w14:textId="32AF959F"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Para efectos de lo anterior, es menester expedir el correspondiente auto declarativo, sobre lo cual resulta apropiado traer a colación lo manifestado en el Oficio 0</w:t>
      </w:r>
      <w:hyperlink r:id="rId37" w:anchor="INICIO" w:history="1">
        <w:r w:rsidRPr="005173FD">
          <w:rPr>
            <w:rFonts w:ascii="Roboto Condensed" w:eastAsia="Times New Roman" w:hAnsi="Roboto Condensed" w:cs="Times New Roman"/>
            <w:color w:val="0000FF"/>
            <w:spacing w:val="2"/>
            <w:kern w:val="0"/>
            <w:sz w:val="27"/>
            <w:szCs w:val="27"/>
            <w:u w:val="single"/>
            <w:lang w:eastAsia="es-CO"/>
            <w14:ligatures w14:val="none"/>
          </w:rPr>
          <w:t>22417</w:t>
        </w:r>
      </w:hyperlink>
      <w:r w:rsidRPr="005173FD">
        <w:rPr>
          <w:rFonts w:ascii="Roboto Condensed" w:eastAsia="Times New Roman" w:hAnsi="Roboto Condensed" w:cs="Times New Roman"/>
          <w:spacing w:val="2"/>
          <w:kern w:val="0"/>
          <w:sz w:val="27"/>
          <w:szCs w:val="27"/>
          <w:lang w:eastAsia="es-CO"/>
          <w14:ligatures w14:val="none"/>
        </w:rPr>
        <w:t> del 18 de octubre de 2016:</w:t>
      </w:r>
    </w:p>
    <w:p w14:paraId="5A4BF6FC"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6361F0EB" w14:textId="7F722D9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 vale la pena tener en cuenta la jurisprudencia de Corte Constitucional y del Consejo de Estado, mediante la cual han determinado que para considerar como no presentada una declaración tributaria no basta con que la misma este incursa en la causal contemplada en la norma legal, sino que </w:t>
      </w:r>
      <w:r w:rsidRPr="005173FD">
        <w:rPr>
          <w:rFonts w:ascii="Roboto Condensed" w:eastAsia="Times New Roman" w:hAnsi="Roboto Condensed" w:cs="Times New Roman"/>
          <w:i/>
          <w:iCs/>
          <w:spacing w:val="2"/>
          <w:kern w:val="0"/>
          <w:sz w:val="27"/>
          <w:szCs w:val="27"/>
          <w:u w:val="single"/>
          <w:lang w:eastAsia="es-CO"/>
          <w14:ligatures w14:val="none"/>
        </w:rPr>
        <w:t>es necesaria la expedición de un auto declarativo que así lo ordene</w:t>
      </w:r>
      <w:r w:rsidRPr="005173FD">
        <w:rPr>
          <w:rFonts w:ascii="Roboto Condensed" w:eastAsia="Times New Roman" w:hAnsi="Roboto Condensed" w:cs="Times New Roman"/>
          <w:i/>
          <w:iCs/>
          <w:spacing w:val="2"/>
          <w:kern w:val="0"/>
          <w:sz w:val="27"/>
          <w:szCs w:val="27"/>
          <w:lang w:eastAsia="es-CO"/>
          <w14:ligatures w14:val="none"/>
        </w:rPr>
        <w:t>, el cual deberá estar debidamente motivado y sujeto a los principios de contradicción y defensa. En tanto no se profiera el mencionado auto, las declaraciones se consideran válidamente presentadas (...)</w:t>
      </w:r>
    </w:p>
    <w:p w14:paraId="3F645CA2"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w:t>
      </w:r>
    </w:p>
    <w:p w14:paraId="084296F6"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Lo anterior </w:t>
      </w:r>
      <w:r w:rsidRPr="005173FD">
        <w:rPr>
          <w:rFonts w:ascii="Roboto Condensed" w:eastAsia="Times New Roman" w:hAnsi="Roboto Condensed" w:cs="Times New Roman"/>
          <w:i/>
          <w:iCs/>
          <w:spacing w:val="2"/>
          <w:kern w:val="0"/>
          <w:sz w:val="27"/>
          <w:szCs w:val="27"/>
          <w:u w:val="single"/>
          <w:lang w:eastAsia="es-CO"/>
          <w14:ligatures w14:val="none"/>
        </w:rPr>
        <w:t>sin perjuicio de que el contribuyente deba pagar los valores adeudados</w:t>
      </w:r>
      <w:r w:rsidRPr="005173FD">
        <w:rPr>
          <w:rFonts w:ascii="Roboto Condensed" w:eastAsia="Times New Roman" w:hAnsi="Roboto Condensed" w:cs="Times New Roman"/>
          <w:i/>
          <w:iCs/>
          <w:spacing w:val="2"/>
          <w:kern w:val="0"/>
          <w:sz w:val="27"/>
          <w:szCs w:val="27"/>
          <w:lang w:eastAsia="es-CO"/>
          <w14:ligatures w14:val="none"/>
        </w:rPr>
        <w:t> (...): “(...) así no se haya proferido acto administrativo alguno -auto declarativo -, sobre la declaración (...) el contribuyente debe cancelar los valores adeudados o pendientes de pago, </w:t>
      </w:r>
      <w:r w:rsidRPr="005173FD">
        <w:rPr>
          <w:rFonts w:ascii="Roboto Condensed" w:eastAsia="Times New Roman" w:hAnsi="Roboto Condensed" w:cs="Times New Roman"/>
          <w:i/>
          <w:iCs/>
          <w:spacing w:val="2"/>
          <w:kern w:val="0"/>
          <w:sz w:val="27"/>
          <w:szCs w:val="27"/>
          <w:u w:val="single"/>
          <w:lang w:eastAsia="es-CO"/>
          <w14:ligatures w14:val="none"/>
        </w:rPr>
        <w:t>liquidándose los intereses moratorios a que haya lugar</w:t>
      </w:r>
      <w:r w:rsidRPr="005173FD">
        <w:rPr>
          <w:rFonts w:ascii="Roboto Condensed" w:eastAsia="Times New Roman" w:hAnsi="Roboto Condensed" w:cs="Times New Roman"/>
          <w:i/>
          <w:iCs/>
          <w:spacing w:val="2"/>
          <w:kern w:val="0"/>
          <w:sz w:val="27"/>
          <w:szCs w:val="27"/>
          <w:lang w:eastAsia="es-CO"/>
          <w14:ligatures w14:val="none"/>
        </w:rPr>
        <w:t> (...)”»</w:t>
      </w:r>
      <w:r w:rsidRPr="005173FD">
        <w:rPr>
          <w:rFonts w:ascii="Roboto Condensed" w:eastAsia="Times New Roman" w:hAnsi="Roboto Condensed" w:cs="Times New Roman"/>
          <w:spacing w:val="2"/>
          <w:kern w:val="0"/>
          <w:sz w:val="27"/>
          <w:szCs w:val="27"/>
          <w:lang w:eastAsia="es-CO"/>
          <w14:ligatures w14:val="none"/>
        </w:rPr>
        <w:t> (énfasis propio).</w:t>
      </w:r>
    </w:p>
    <w:p w14:paraId="7DA60240" w14:textId="77777777"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Ahora bien, en cuanto a la facilidad para el pago, se debe examinar la siguiente normativa:</w:t>
      </w:r>
    </w:p>
    <w:p w14:paraId="64B15BDE"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El artículo </w:t>
      </w:r>
      <w:hyperlink r:id="rId38" w:anchor="814" w:history="1">
        <w:r w:rsidRPr="005173FD">
          <w:rPr>
            <w:rFonts w:ascii="Roboto Condensed" w:eastAsia="Times New Roman" w:hAnsi="Roboto Condensed" w:cs="Times New Roman"/>
            <w:color w:val="0000FF"/>
            <w:spacing w:val="2"/>
            <w:kern w:val="0"/>
            <w:sz w:val="27"/>
            <w:szCs w:val="27"/>
            <w:u w:val="single"/>
            <w:lang w:eastAsia="es-CO"/>
            <w14:ligatures w14:val="none"/>
          </w:rPr>
          <w:t>814</w:t>
        </w:r>
      </w:hyperlink>
      <w:r w:rsidRPr="005173FD">
        <w:rPr>
          <w:rFonts w:ascii="Roboto Condensed" w:eastAsia="Times New Roman" w:hAnsi="Roboto Condensed" w:cs="Times New Roman"/>
          <w:spacing w:val="2"/>
          <w:kern w:val="0"/>
          <w:sz w:val="27"/>
          <w:szCs w:val="27"/>
          <w:lang w:eastAsia="es-CO"/>
          <w14:ligatures w14:val="none"/>
        </w:rPr>
        <w:t> del Estatuto Tributario permite conceder facilidades para el pago de cualquier impuesto administrado por la DIAN, así como para la cancelación de intereses y demás sanciones a que haya lugar.</w:t>
      </w:r>
    </w:p>
    <w:p w14:paraId="031E2EFD"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lastRenderedPageBreak/>
        <w:t>- El artículo </w:t>
      </w:r>
      <w:hyperlink r:id="rId39" w:anchor="1.6.2.6.2" w:history="1">
        <w:r w:rsidRPr="005173FD">
          <w:rPr>
            <w:rFonts w:ascii="Roboto Condensed" w:eastAsia="Times New Roman" w:hAnsi="Roboto Condensed" w:cs="Times New Roman"/>
            <w:color w:val="0000FF"/>
            <w:spacing w:val="2"/>
            <w:kern w:val="0"/>
            <w:sz w:val="27"/>
            <w:szCs w:val="27"/>
            <w:u w:val="single"/>
            <w:lang w:eastAsia="es-CO"/>
            <w14:ligatures w14:val="none"/>
          </w:rPr>
          <w:t>1.6.2.6.2</w:t>
        </w:r>
      </w:hyperlink>
      <w:r w:rsidRPr="005173FD">
        <w:rPr>
          <w:rFonts w:ascii="Roboto Condensed" w:eastAsia="Times New Roman" w:hAnsi="Roboto Condensed" w:cs="Times New Roman"/>
          <w:spacing w:val="2"/>
          <w:kern w:val="0"/>
          <w:sz w:val="27"/>
          <w:szCs w:val="27"/>
          <w:lang w:eastAsia="es-CO"/>
          <w14:ligatures w14:val="none"/>
        </w:rPr>
        <w:t>. del Decreto 1625 de 2016 indica que «Para establecer el monto de las </w:t>
      </w:r>
      <w:r w:rsidRPr="005173FD">
        <w:rPr>
          <w:rFonts w:ascii="Roboto Condensed" w:eastAsia="Times New Roman" w:hAnsi="Roboto Condensed" w:cs="Times New Roman"/>
          <w:i/>
          <w:iCs/>
          <w:spacing w:val="2"/>
          <w:kern w:val="0"/>
          <w:sz w:val="27"/>
          <w:szCs w:val="27"/>
          <w:lang w:eastAsia="es-CO"/>
          <w14:ligatures w14:val="none"/>
        </w:rPr>
        <w:t>obligaciones fiscales </w:t>
      </w:r>
      <w:r w:rsidRPr="005173FD">
        <w:rPr>
          <w:rFonts w:ascii="Roboto Condensed" w:eastAsia="Times New Roman" w:hAnsi="Roboto Condensed" w:cs="Times New Roman"/>
          <w:i/>
          <w:iCs/>
          <w:spacing w:val="2"/>
          <w:kern w:val="0"/>
          <w:sz w:val="27"/>
          <w:szCs w:val="27"/>
          <w:u w:val="single"/>
          <w:lang w:eastAsia="es-CO"/>
          <w14:ligatures w14:val="none"/>
        </w:rPr>
        <w:t>exigibles y pendientes de pago</w:t>
      </w:r>
      <w:r w:rsidRPr="005173FD">
        <w:rPr>
          <w:rFonts w:ascii="Roboto Condensed" w:eastAsia="Times New Roman" w:hAnsi="Roboto Condensed" w:cs="Times New Roman"/>
          <w:i/>
          <w:iCs/>
          <w:spacing w:val="2"/>
          <w:kern w:val="0"/>
          <w:sz w:val="27"/>
          <w:szCs w:val="27"/>
          <w:lang w:eastAsia="es-CO"/>
          <w14:ligatures w14:val="none"/>
        </w:rPr>
        <w:t> al momento de la expedición de la resolución que concede la facilidad para el pago»</w:t>
      </w:r>
      <w:r w:rsidRPr="005173FD">
        <w:rPr>
          <w:rFonts w:ascii="Roboto Condensed" w:eastAsia="Times New Roman" w:hAnsi="Roboto Condensed" w:cs="Times New Roman"/>
          <w:spacing w:val="2"/>
          <w:kern w:val="0"/>
          <w:sz w:val="27"/>
          <w:szCs w:val="27"/>
          <w:lang w:eastAsia="es-CO"/>
          <w14:ligatures w14:val="none"/>
        </w:rPr>
        <w:t> (énfasis propio) se deberá tener en cuenta </w:t>
      </w:r>
      <w:r w:rsidRPr="005173FD">
        <w:rPr>
          <w:rFonts w:ascii="Roboto Condensed" w:eastAsia="Times New Roman" w:hAnsi="Roboto Condensed" w:cs="Times New Roman"/>
          <w:i/>
          <w:iCs/>
          <w:spacing w:val="2"/>
          <w:kern w:val="0"/>
          <w:sz w:val="27"/>
          <w:szCs w:val="27"/>
          <w:lang w:eastAsia="es-CO"/>
          <w14:ligatures w14:val="none"/>
        </w:rPr>
        <w:t>«La totalidad de los impuestos, anticipos, retenciones y sanciones adeudados»</w:t>
      </w:r>
      <w:r w:rsidRPr="005173FD">
        <w:rPr>
          <w:rFonts w:ascii="Roboto Condensed" w:eastAsia="Times New Roman" w:hAnsi="Roboto Condensed" w:cs="Times New Roman"/>
          <w:spacing w:val="2"/>
          <w:kern w:val="0"/>
          <w:sz w:val="27"/>
          <w:szCs w:val="27"/>
          <w:lang w:eastAsia="es-CO"/>
          <w14:ligatures w14:val="none"/>
        </w:rPr>
        <w:t> y </w:t>
      </w:r>
      <w:r w:rsidRPr="005173FD">
        <w:rPr>
          <w:rFonts w:ascii="Roboto Condensed" w:eastAsia="Times New Roman" w:hAnsi="Roboto Condensed" w:cs="Times New Roman"/>
          <w:i/>
          <w:iCs/>
          <w:spacing w:val="2"/>
          <w:kern w:val="0"/>
          <w:sz w:val="27"/>
          <w:szCs w:val="27"/>
          <w:lang w:eastAsia="es-CO"/>
          <w14:ligatures w14:val="none"/>
        </w:rPr>
        <w:t>«Los intereses de mora causados»</w:t>
      </w:r>
      <w:r w:rsidRPr="005173FD">
        <w:rPr>
          <w:rFonts w:ascii="Roboto Condensed" w:eastAsia="Times New Roman" w:hAnsi="Roboto Condensed" w:cs="Times New Roman"/>
          <w:spacing w:val="2"/>
          <w:kern w:val="0"/>
          <w:sz w:val="27"/>
          <w:szCs w:val="27"/>
          <w:lang w:eastAsia="es-CO"/>
          <w14:ligatures w14:val="none"/>
        </w:rPr>
        <w:t>.</w:t>
      </w:r>
    </w:p>
    <w:p w14:paraId="0608BFE1"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37FD637F" w14:textId="2F4F0893"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highlight w:val="yellow"/>
          <w:lang w:eastAsia="es-CO"/>
          <w14:ligatures w14:val="none"/>
        </w:rPr>
        <w:t>Por lo anterior, no resulta admisible conceder una facilidad para el pago de los montos insolutos liquidados en la declaración anual consolidada del impuesto unificado bajo el SIMPLE, ya que al haberse presentado ésta sin el pago total, la misma se tiene por no presentada de conformidad con el artículo </w:t>
      </w:r>
      <w:hyperlink r:id="rId40" w:anchor="910" w:history="1">
        <w:r w:rsidRPr="005173FD">
          <w:rPr>
            <w:rFonts w:ascii="Roboto Condensed" w:eastAsia="Times New Roman" w:hAnsi="Roboto Condensed" w:cs="Times New Roman"/>
            <w:color w:val="0000FF"/>
            <w:spacing w:val="2"/>
            <w:kern w:val="0"/>
            <w:sz w:val="27"/>
            <w:szCs w:val="27"/>
            <w:highlight w:val="yellow"/>
            <w:u w:val="single"/>
            <w:lang w:eastAsia="es-CO"/>
            <w14:ligatures w14:val="none"/>
          </w:rPr>
          <w:t>910</w:t>
        </w:r>
      </w:hyperlink>
      <w:r w:rsidRPr="005173FD">
        <w:rPr>
          <w:rFonts w:ascii="Roboto Condensed" w:eastAsia="Times New Roman" w:hAnsi="Roboto Condensed" w:cs="Times New Roman"/>
          <w:spacing w:val="2"/>
          <w:kern w:val="0"/>
          <w:sz w:val="27"/>
          <w:szCs w:val="27"/>
          <w:highlight w:val="yellow"/>
          <w:lang w:eastAsia="es-CO"/>
          <w14:ligatures w14:val="none"/>
        </w:rPr>
        <w:t> del Estatuto Tributario; con lo cual, en lugar de expedir una resolución concediendo la mencionada facilidad, la Administración Tributaria debe expedir el respectivo auto declarativo en el sentido indicado.</w:t>
      </w:r>
    </w:p>
    <w:p w14:paraId="122DA039"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0EDED2D6" w14:textId="18B5D15D"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Aunado a lo anterior, no sobra advertir la exclusión del impuesto unificado bajo el régimen simple de tributación - SIMPLE de que trata el artículo </w:t>
      </w:r>
      <w:hyperlink r:id="rId41" w:anchor="914" w:history="1">
        <w:r w:rsidRPr="005173FD">
          <w:rPr>
            <w:rFonts w:ascii="Roboto Condensed" w:eastAsia="Times New Roman" w:hAnsi="Roboto Condensed" w:cs="Times New Roman"/>
            <w:color w:val="0000FF"/>
            <w:spacing w:val="2"/>
            <w:kern w:val="0"/>
            <w:sz w:val="27"/>
            <w:szCs w:val="27"/>
            <w:u w:val="single"/>
            <w:lang w:eastAsia="es-CO"/>
            <w14:ligatures w14:val="none"/>
          </w:rPr>
          <w:t>914</w:t>
        </w:r>
      </w:hyperlink>
      <w:r w:rsidRPr="005173FD">
        <w:rPr>
          <w:rFonts w:ascii="Roboto Condensed" w:eastAsia="Times New Roman" w:hAnsi="Roboto Condensed" w:cs="Times New Roman"/>
          <w:spacing w:val="2"/>
          <w:kern w:val="0"/>
          <w:sz w:val="27"/>
          <w:szCs w:val="27"/>
          <w:lang w:eastAsia="es-CO"/>
          <w14:ligatures w14:val="none"/>
        </w:rPr>
        <w:t> del Estatuto Tributario:</w:t>
      </w:r>
    </w:p>
    <w:p w14:paraId="70AF6330"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154B221A" w14:textId="7B687076"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«ARTÍCULO </w:t>
      </w:r>
      <w:hyperlink r:id="rId42" w:anchor="914" w:history="1">
        <w:r w:rsidRPr="005173FD">
          <w:rPr>
            <w:rFonts w:ascii="Roboto Condensed" w:eastAsia="Times New Roman" w:hAnsi="Roboto Condensed" w:cs="Times New Roman"/>
            <w:i/>
            <w:iCs/>
            <w:color w:val="0000FF"/>
            <w:spacing w:val="2"/>
            <w:kern w:val="0"/>
            <w:sz w:val="27"/>
            <w:szCs w:val="27"/>
            <w:u w:val="single"/>
            <w:lang w:eastAsia="es-CO"/>
            <w14:ligatures w14:val="none"/>
          </w:rPr>
          <w:t>914</w:t>
        </w:r>
      </w:hyperlink>
      <w:r w:rsidRPr="005173FD">
        <w:rPr>
          <w:rFonts w:ascii="Roboto Condensed" w:eastAsia="Times New Roman" w:hAnsi="Roboto Condensed" w:cs="Times New Roman"/>
          <w:i/>
          <w:iCs/>
          <w:spacing w:val="2"/>
          <w:kern w:val="0"/>
          <w:sz w:val="27"/>
          <w:szCs w:val="27"/>
          <w:lang w:eastAsia="es-CO"/>
          <w14:ligatures w14:val="none"/>
        </w:rPr>
        <w:t>. EXCLUSIÓN DEL IMPUESTO UNIFICADO BAJO EL RÉGIMEN SIMPLE DE TRIBUTACIÓN - SIMPLE POR INCUMPLIMIENTO. &lt;Artículo modificado por el artículo </w:t>
      </w:r>
      <w:hyperlink r:id="rId43" w:anchor="74" w:history="1">
        <w:r w:rsidRPr="005173FD">
          <w:rPr>
            <w:rFonts w:ascii="Roboto Condensed" w:eastAsia="Times New Roman" w:hAnsi="Roboto Condensed" w:cs="Times New Roman"/>
            <w:i/>
            <w:iCs/>
            <w:color w:val="0000FF"/>
            <w:spacing w:val="2"/>
            <w:kern w:val="0"/>
            <w:sz w:val="27"/>
            <w:szCs w:val="27"/>
            <w:u w:val="single"/>
            <w:lang w:eastAsia="es-CO"/>
            <w14:ligatures w14:val="none"/>
          </w:rPr>
          <w:t>74</w:t>
        </w:r>
      </w:hyperlink>
      <w:r w:rsidRPr="005173FD">
        <w:rPr>
          <w:rFonts w:ascii="Roboto Condensed" w:eastAsia="Times New Roman" w:hAnsi="Roboto Condensed" w:cs="Times New Roman"/>
          <w:i/>
          <w:iCs/>
          <w:spacing w:val="2"/>
          <w:kern w:val="0"/>
          <w:sz w:val="27"/>
          <w:szCs w:val="27"/>
          <w:lang w:eastAsia="es-CO"/>
          <w14:ligatures w14:val="none"/>
        </w:rPr>
        <w:t> de la Ley 2010 de 2019. El nuevo texto es el siguiente:&gt; Cuando el contribuyente incumpla los pagos correspondientes al total del periodo del impuesto unificado bajo el régimen simple de tributación - SIMPLE, será excluido del Régimen y no podrá optar por este en el año gravable siguiente al del año gravable de la omisión o retardo en el pago. </w:t>
      </w:r>
      <w:r w:rsidRPr="005173FD">
        <w:rPr>
          <w:rFonts w:ascii="Roboto Condensed" w:eastAsia="Times New Roman" w:hAnsi="Roboto Condensed" w:cs="Times New Roman"/>
          <w:i/>
          <w:iCs/>
          <w:spacing w:val="2"/>
          <w:kern w:val="0"/>
          <w:sz w:val="27"/>
          <w:szCs w:val="27"/>
          <w:u w:val="single"/>
          <w:lang w:eastAsia="es-CO"/>
          <w14:ligatures w14:val="none"/>
        </w:rPr>
        <w:t>Se entenderá incumplido cuando el retardo en la declaración o en el pago del recibo SIMPLE sea mayor a un (1) mes calendario</w:t>
      </w:r>
      <w:r w:rsidRPr="005173FD">
        <w:rPr>
          <w:rFonts w:ascii="Roboto Condensed" w:eastAsia="Times New Roman" w:hAnsi="Roboto Condensed" w:cs="Times New Roman"/>
          <w:i/>
          <w:iCs/>
          <w:spacing w:val="2"/>
          <w:kern w:val="0"/>
          <w:sz w:val="27"/>
          <w:szCs w:val="27"/>
          <w:lang w:eastAsia="es-CO"/>
          <w14:ligatures w14:val="none"/>
        </w:rPr>
        <w:t>.»</w:t>
      </w:r>
      <w:r w:rsidRPr="005173FD">
        <w:rPr>
          <w:rFonts w:ascii="Roboto Condensed" w:eastAsia="Times New Roman" w:hAnsi="Roboto Condensed" w:cs="Times New Roman"/>
          <w:spacing w:val="2"/>
          <w:kern w:val="0"/>
          <w:sz w:val="27"/>
          <w:szCs w:val="27"/>
          <w:lang w:eastAsia="es-CO"/>
          <w14:ligatures w14:val="none"/>
        </w:rPr>
        <w:t> (énfasis propio)</w:t>
      </w:r>
    </w:p>
    <w:p w14:paraId="424AFBCF"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7E68086C" w14:textId="137D2040"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hyperlink r:id="rId44" w:anchor="5" w:history="1">
        <w:r w:rsidRPr="005173FD">
          <w:rPr>
            <w:rFonts w:ascii="Roboto Condensed" w:eastAsia="Times New Roman" w:hAnsi="Roboto Condensed" w:cs="Times New Roman"/>
            <w:color w:val="0000FF"/>
            <w:spacing w:val="2"/>
            <w:kern w:val="0"/>
            <w:sz w:val="27"/>
            <w:szCs w:val="27"/>
            <w:u w:val="single"/>
            <w:lang w:eastAsia="es-CO"/>
            <w14:ligatures w14:val="none"/>
          </w:rPr>
          <w:t>5.</w:t>
        </w:r>
      </w:hyperlink>
      <w:r w:rsidRPr="005173FD">
        <w:rPr>
          <w:rFonts w:ascii="Roboto Condensed" w:eastAsia="Times New Roman" w:hAnsi="Roboto Condensed" w:cs="Times New Roman"/>
          <w:spacing w:val="2"/>
          <w:kern w:val="0"/>
          <w:sz w:val="27"/>
          <w:szCs w:val="27"/>
          <w:lang w:eastAsia="es-CO"/>
          <w14:ligatures w14:val="none"/>
        </w:rPr>
        <w:t> </w:t>
      </w:r>
      <w:r w:rsidRPr="005173FD">
        <w:rPr>
          <w:rFonts w:ascii="Roboto Condensed" w:eastAsia="Times New Roman" w:hAnsi="Roboto Condensed" w:cs="Times New Roman"/>
          <w:b/>
          <w:bCs/>
          <w:spacing w:val="2"/>
          <w:kern w:val="0"/>
          <w:sz w:val="27"/>
          <w:szCs w:val="27"/>
          <w:lang w:eastAsia="es-CO"/>
          <w14:ligatures w14:val="none"/>
        </w:rPr>
        <w:t>OTRAS OBLIGACIONES TRIBUTARIAS</w:t>
      </w:r>
    </w:p>
    <w:p w14:paraId="2B6E79FC" w14:textId="77777777" w:rsidR="005173FD" w:rsidRDefault="005173FD" w:rsidP="005173FD">
      <w:pPr>
        <w:spacing w:after="0" w:line="480" w:lineRule="atLeast"/>
        <w:jc w:val="both"/>
        <w:rPr>
          <w:rFonts w:ascii="Roboto Condensed" w:eastAsia="Times New Roman" w:hAnsi="Roboto Condensed" w:cs="Times New Roman"/>
          <w:b/>
          <w:bCs/>
          <w:spacing w:val="2"/>
          <w:kern w:val="0"/>
          <w:sz w:val="27"/>
          <w:szCs w:val="27"/>
          <w:lang w:eastAsia="es-CO"/>
          <w14:ligatures w14:val="none"/>
        </w:rPr>
      </w:pPr>
    </w:p>
    <w:p w14:paraId="78181449" w14:textId="51AB15C1"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b/>
          <w:bCs/>
          <w:spacing w:val="2"/>
          <w:kern w:val="0"/>
          <w:sz w:val="27"/>
          <w:szCs w:val="27"/>
          <w:lang w:eastAsia="es-CO"/>
          <w14:ligatures w14:val="none"/>
        </w:rPr>
        <w:t>5.1. ¿Están obligados los contribuyentes del impuesto unificado bajo el SIMPLE a presentar la declaración anual de activos en el exterior?</w:t>
      </w:r>
    </w:p>
    <w:p w14:paraId="6F6E96AE" w14:textId="77777777" w:rsid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p>
    <w:p w14:paraId="4ECF3ADE" w14:textId="484A8F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El artículo </w:t>
      </w:r>
      <w:hyperlink r:id="rId45" w:anchor="607" w:history="1">
        <w:r w:rsidRPr="005173FD">
          <w:rPr>
            <w:rFonts w:ascii="Roboto Condensed" w:eastAsia="Times New Roman" w:hAnsi="Roboto Condensed" w:cs="Times New Roman"/>
            <w:color w:val="0000FF"/>
            <w:spacing w:val="2"/>
            <w:kern w:val="0"/>
            <w:sz w:val="27"/>
            <w:szCs w:val="27"/>
            <w:u w:val="single"/>
            <w:lang w:eastAsia="es-CO"/>
            <w14:ligatures w14:val="none"/>
          </w:rPr>
          <w:t>607</w:t>
        </w:r>
      </w:hyperlink>
      <w:r w:rsidRPr="005173FD">
        <w:rPr>
          <w:rFonts w:ascii="Roboto Condensed" w:eastAsia="Times New Roman" w:hAnsi="Roboto Condensed" w:cs="Times New Roman"/>
          <w:spacing w:val="2"/>
          <w:kern w:val="0"/>
          <w:sz w:val="27"/>
          <w:szCs w:val="27"/>
          <w:lang w:eastAsia="es-CO"/>
          <w14:ligatures w14:val="none"/>
        </w:rPr>
        <w:t> del Estatuto Tributario establece:</w:t>
      </w:r>
    </w:p>
    <w:p w14:paraId="7F122458"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lastRenderedPageBreak/>
        <w:t>«ARTÍCULO </w:t>
      </w:r>
      <w:hyperlink r:id="rId46" w:anchor="607" w:history="1">
        <w:r w:rsidRPr="005173FD">
          <w:rPr>
            <w:rFonts w:ascii="Roboto Condensed" w:eastAsia="Times New Roman" w:hAnsi="Roboto Condensed" w:cs="Times New Roman"/>
            <w:i/>
            <w:iCs/>
            <w:color w:val="0000FF"/>
            <w:spacing w:val="2"/>
            <w:kern w:val="0"/>
            <w:sz w:val="27"/>
            <w:szCs w:val="27"/>
            <w:u w:val="single"/>
            <w:lang w:eastAsia="es-CO"/>
            <w14:ligatures w14:val="none"/>
          </w:rPr>
          <w:t>607</w:t>
        </w:r>
      </w:hyperlink>
      <w:r w:rsidRPr="005173FD">
        <w:rPr>
          <w:rFonts w:ascii="Roboto Condensed" w:eastAsia="Times New Roman" w:hAnsi="Roboto Condensed" w:cs="Times New Roman"/>
          <w:i/>
          <w:iCs/>
          <w:spacing w:val="2"/>
          <w:kern w:val="0"/>
          <w:sz w:val="27"/>
          <w:szCs w:val="27"/>
          <w:lang w:eastAsia="es-CO"/>
          <w14:ligatures w14:val="none"/>
        </w:rPr>
        <w:t>. CONTENIDO DE LA DECLARACIÓN ANUAL DE ACTIVOS EN EL EXTERIOR. &lt;Artículo adicionado por el artículo </w:t>
      </w:r>
      <w:hyperlink r:id="rId47" w:anchor="43" w:history="1">
        <w:r w:rsidRPr="005173FD">
          <w:rPr>
            <w:rFonts w:ascii="Roboto Condensed" w:eastAsia="Times New Roman" w:hAnsi="Roboto Condensed" w:cs="Times New Roman"/>
            <w:i/>
            <w:iCs/>
            <w:color w:val="0000FF"/>
            <w:spacing w:val="2"/>
            <w:kern w:val="0"/>
            <w:sz w:val="27"/>
            <w:szCs w:val="27"/>
            <w:u w:val="single"/>
            <w:lang w:eastAsia="es-CO"/>
            <w14:ligatures w14:val="none"/>
          </w:rPr>
          <w:t>43</w:t>
        </w:r>
      </w:hyperlink>
      <w:r w:rsidRPr="005173FD">
        <w:rPr>
          <w:rFonts w:ascii="Roboto Condensed" w:eastAsia="Times New Roman" w:hAnsi="Roboto Condensed" w:cs="Times New Roman"/>
          <w:i/>
          <w:iCs/>
          <w:spacing w:val="2"/>
          <w:kern w:val="0"/>
          <w:sz w:val="27"/>
          <w:szCs w:val="27"/>
          <w:lang w:eastAsia="es-CO"/>
          <w14:ligatures w14:val="none"/>
        </w:rPr>
        <w:t> de la Ley 1739 de 2014. El nuevo texto es el siguiente:&gt;</w:t>
      </w:r>
    </w:p>
    <w:p w14:paraId="4CF837C6"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76095208" w14:textId="009771DF"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&lt;Inciso modificado por el artículo </w:t>
      </w:r>
      <w:hyperlink r:id="rId48" w:anchor="63" w:history="1">
        <w:r w:rsidRPr="005173FD">
          <w:rPr>
            <w:rFonts w:ascii="Roboto Condensed" w:eastAsia="Times New Roman" w:hAnsi="Roboto Condensed" w:cs="Times New Roman"/>
            <w:i/>
            <w:iCs/>
            <w:color w:val="0000FF"/>
            <w:spacing w:val="2"/>
            <w:kern w:val="0"/>
            <w:sz w:val="27"/>
            <w:szCs w:val="27"/>
            <w:u w:val="single"/>
            <w:lang w:eastAsia="es-CO"/>
            <w14:ligatures w14:val="none"/>
          </w:rPr>
          <w:t>63</w:t>
        </w:r>
      </w:hyperlink>
      <w:r w:rsidRPr="005173FD">
        <w:rPr>
          <w:rFonts w:ascii="Roboto Condensed" w:eastAsia="Times New Roman" w:hAnsi="Roboto Condensed" w:cs="Times New Roman"/>
          <w:i/>
          <w:iCs/>
          <w:spacing w:val="2"/>
          <w:kern w:val="0"/>
          <w:sz w:val="27"/>
          <w:szCs w:val="27"/>
          <w:lang w:eastAsia="es-CO"/>
          <w14:ligatures w14:val="none"/>
        </w:rPr>
        <w:t> de la Ley 2277 de 2022. El nuevo texto es el siguiente:&gt; Los contribuyentes del impuesto sobre la renta y complementarios, sujetos a este impuesto respecto de sus ingresos de fuente nacional y extranjera, y de su patrimonio poseído dentro y fuera del país, que posean activos en el exterior de cualquier naturaleza, estarán obligados a presentar la declaración anual de activos en el exterior. </w:t>
      </w:r>
      <w:r w:rsidRPr="005173FD">
        <w:rPr>
          <w:rFonts w:ascii="Roboto Condensed" w:eastAsia="Times New Roman" w:hAnsi="Roboto Condensed" w:cs="Times New Roman"/>
          <w:i/>
          <w:iCs/>
          <w:spacing w:val="2"/>
          <w:kern w:val="0"/>
          <w:sz w:val="27"/>
          <w:szCs w:val="27"/>
          <w:u w:val="single"/>
          <w:lang w:eastAsia="es-CO"/>
          <w14:ligatures w14:val="none"/>
        </w:rPr>
        <w:t>También estarán obligados los contribuyentes de regímenes sustitutivos del impuesto sobre la renta</w:t>
      </w:r>
      <w:r w:rsidRPr="005173FD">
        <w:rPr>
          <w:rFonts w:ascii="Roboto Condensed" w:eastAsia="Times New Roman" w:hAnsi="Roboto Condensed" w:cs="Times New Roman"/>
          <w:i/>
          <w:iCs/>
          <w:spacing w:val="2"/>
          <w:kern w:val="0"/>
          <w:sz w:val="27"/>
          <w:szCs w:val="27"/>
          <w:lang w:eastAsia="es-CO"/>
          <w14:ligatures w14:val="none"/>
        </w:rPr>
        <w:t>.</w:t>
      </w:r>
    </w:p>
    <w:p w14:paraId="0528DC8E" w14:textId="77777777" w:rsidR="005173FD" w:rsidRDefault="005173FD" w:rsidP="005173FD">
      <w:pPr>
        <w:spacing w:after="0" w:line="480" w:lineRule="atLeast"/>
        <w:jc w:val="both"/>
        <w:rPr>
          <w:rFonts w:ascii="Roboto Condensed" w:eastAsia="Times New Roman" w:hAnsi="Roboto Condensed" w:cs="Times New Roman"/>
          <w:i/>
          <w:iCs/>
          <w:spacing w:val="2"/>
          <w:kern w:val="0"/>
          <w:sz w:val="27"/>
          <w:szCs w:val="27"/>
          <w:lang w:eastAsia="es-CO"/>
          <w14:ligatures w14:val="none"/>
        </w:rPr>
      </w:pPr>
    </w:p>
    <w:p w14:paraId="5E9CE5BB" w14:textId="698096DF"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i/>
          <w:iCs/>
          <w:spacing w:val="2"/>
          <w:kern w:val="0"/>
          <w:sz w:val="27"/>
          <w:szCs w:val="27"/>
          <w:lang w:eastAsia="es-CO"/>
          <w14:ligatures w14:val="none"/>
        </w:rPr>
        <w:t>(...)»</w:t>
      </w:r>
      <w:r w:rsidRPr="005173FD">
        <w:rPr>
          <w:rFonts w:ascii="Roboto Condensed" w:eastAsia="Times New Roman" w:hAnsi="Roboto Condensed" w:cs="Times New Roman"/>
          <w:spacing w:val="2"/>
          <w:kern w:val="0"/>
          <w:sz w:val="27"/>
          <w:szCs w:val="27"/>
          <w:lang w:eastAsia="es-CO"/>
          <w14:ligatures w14:val="none"/>
        </w:rPr>
        <w:t> (énfasis propio)</w:t>
      </w:r>
    </w:p>
    <w:p w14:paraId="5DAE5C89"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44261545" w14:textId="0BA1EA83"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Nótese como, en la actualidad, la reseñada disposición comprende como sujetos obligados a presentar la declaración informativa, objeto de consulta, a los contribuyentes de regímenes sustitutivos del impuesto sobre la renta, como es el caso del impuesto unificado bajo el SIMPLE.</w:t>
      </w:r>
    </w:p>
    <w:p w14:paraId="040AC5D9" w14:textId="77777777" w:rsidR="005173FD" w:rsidRPr="005173FD" w:rsidRDefault="005173FD" w:rsidP="005173FD">
      <w:pPr>
        <w:spacing w:after="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Precisamente, el artículo </w:t>
      </w:r>
      <w:hyperlink r:id="rId49" w:anchor="903" w:history="1">
        <w:r w:rsidRPr="005173FD">
          <w:rPr>
            <w:rFonts w:ascii="Roboto Condensed" w:eastAsia="Times New Roman" w:hAnsi="Roboto Condensed" w:cs="Times New Roman"/>
            <w:color w:val="0000FF"/>
            <w:spacing w:val="2"/>
            <w:kern w:val="0"/>
            <w:sz w:val="27"/>
            <w:szCs w:val="27"/>
            <w:u w:val="single"/>
            <w:lang w:eastAsia="es-CO"/>
            <w14:ligatures w14:val="none"/>
          </w:rPr>
          <w:t>903</w:t>
        </w:r>
      </w:hyperlink>
      <w:r w:rsidRPr="005173FD">
        <w:rPr>
          <w:rFonts w:ascii="Roboto Condensed" w:eastAsia="Times New Roman" w:hAnsi="Roboto Condensed" w:cs="Times New Roman"/>
          <w:spacing w:val="2"/>
          <w:kern w:val="0"/>
          <w:sz w:val="27"/>
          <w:szCs w:val="27"/>
          <w:lang w:eastAsia="es-CO"/>
          <w14:ligatures w14:val="none"/>
        </w:rPr>
        <w:t> </w:t>
      </w:r>
      <w:r w:rsidRPr="005173FD">
        <w:rPr>
          <w:rFonts w:ascii="Roboto Condensed" w:eastAsia="Times New Roman" w:hAnsi="Roboto Condensed" w:cs="Times New Roman"/>
          <w:i/>
          <w:iCs/>
          <w:spacing w:val="2"/>
          <w:kern w:val="0"/>
          <w:sz w:val="27"/>
          <w:szCs w:val="27"/>
          <w:lang w:eastAsia="es-CO"/>
          <w14:ligatures w14:val="none"/>
        </w:rPr>
        <w:t>ibidem</w:t>
      </w:r>
      <w:r w:rsidRPr="005173FD">
        <w:rPr>
          <w:rFonts w:ascii="Roboto Condensed" w:eastAsia="Times New Roman" w:hAnsi="Roboto Condensed" w:cs="Times New Roman"/>
          <w:spacing w:val="2"/>
          <w:kern w:val="0"/>
          <w:sz w:val="27"/>
          <w:szCs w:val="27"/>
          <w:lang w:eastAsia="es-CO"/>
          <w14:ligatures w14:val="none"/>
        </w:rPr>
        <w:t> consagra que </w:t>
      </w:r>
      <w:r w:rsidRPr="005173FD">
        <w:rPr>
          <w:rFonts w:ascii="Roboto Condensed" w:eastAsia="Times New Roman" w:hAnsi="Roboto Condensed" w:cs="Times New Roman"/>
          <w:i/>
          <w:iCs/>
          <w:spacing w:val="2"/>
          <w:kern w:val="0"/>
          <w:sz w:val="27"/>
          <w:szCs w:val="27"/>
          <w:lang w:eastAsia="es-CO"/>
          <w14:ligatures w14:val="none"/>
        </w:rPr>
        <w:t>«El impuesto unificado bajo el Régimen Simple de Tributación - Simple es un modelo de tributación opcional de determinación integral, de declaración anual y anticipo bimestral, </w:t>
      </w:r>
      <w:r w:rsidRPr="005173FD">
        <w:rPr>
          <w:rFonts w:ascii="Roboto Condensed" w:eastAsia="Times New Roman" w:hAnsi="Roboto Condensed" w:cs="Times New Roman"/>
          <w:i/>
          <w:iCs/>
          <w:spacing w:val="2"/>
          <w:kern w:val="0"/>
          <w:sz w:val="27"/>
          <w:szCs w:val="27"/>
          <w:u w:val="single"/>
          <w:lang w:eastAsia="es-CO"/>
          <w14:ligatures w14:val="none"/>
        </w:rPr>
        <w:t>que sustituye el impuesto sobre la renta</w:t>
      </w:r>
      <w:r w:rsidRPr="005173FD">
        <w:rPr>
          <w:rFonts w:ascii="Roboto Condensed" w:eastAsia="Times New Roman" w:hAnsi="Roboto Condensed" w:cs="Times New Roman"/>
          <w:i/>
          <w:iCs/>
          <w:spacing w:val="2"/>
          <w:kern w:val="0"/>
          <w:sz w:val="27"/>
          <w:szCs w:val="27"/>
          <w:lang w:eastAsia="es-CO"/>
          <w14:ligatures w14:val="none"/>
        </w:rPr>
        <w:t>, e integra el impuesto nacional al consumo y el impuesto de industria y comercio consolidado, a cargo de los contribuyentes que opten voluntariamente por acogerse al mismo»</w:t>
      </w:r>
      <w:r w:rsidRPr="005173FD">
        <w:rPr>
          <w:rFonts w:ascii="Roboto Condensed" w:eastAsia="Times New Roman" w:hAnsi="Roboto Condensed" w:cs="Times New Roman"/>
          <w:spacing w:val="2"/>
          <w:kern w:val="0"/>
          <w:sz w:val="27"/>
          <w:szCs w:val="27"/>
          <w:lang w:eastAsia="es-CO"/>
          <w14:ligatures w14:val="none"/>
        </w:rPr>
        <w:t> (énfasis propio).</w:t>
      </w:r>
    </w:p>
    <w:p w14:paraId="56C1A83D"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p>
    <w:p w14:paraId="2C54B7C7" w14:textId="0520CF69"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highlight w:val="yellow"/>
          <w:lang w:eastAsia="es-CO"/>
          <w14:ligatures w14:val="none"/>
        </w:rPr>
        <w:t>En consecuencia, los contribuyentes del impuesto unificado bajo el SIMPLE, que posean activos en el exterior de cualquier naturaleza, estarán obligados a presentar la declaración anual de activos en el exterior.</w:t>
      </w:r>
    </w:p>
    <w:p w14:paraId="491B0BA2" w14:textId="77777777" w:rsid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sidRPr="005173FD">
        <w:rPr>
          <w:rFonts w:ascii="Roboto Condensed" w:eastAsia="Times New Roman" w:hAnsi="Roboto Condensed" w:cs="Times New Roman"/>
          <w:spacing w:val="2"/>
          <w:kern w:val="0"/>
          <w:sz w:val="27"/>
          <w:szCs w:val="27"/>
          <w:lang w:eastAsia="es-CO"/>
          <w14:ligatures w14:val="none"/>
        </w:rPr>
        <w:t xml:space="preserve">En los anteriores términos se resuelve su solicitud y finalmente le manifestamos que la Dirección de Impuestos y Aduanas Nacionales-DIAN-, con el fin de facilitar a los contribuyentes, usuarios y público en general el acceso directo a sus pronunciamientos doctrinarios, ha publicado en su página de internet www.dian.gov.co, la base de </w:t>
      </w:r>
      <w:r w:rsidRPr="005173FD">
        <w:rPr>
          <w:rFonts w:ascii="Roboto Condensed" w:eastAsia="Times New Roman" w:hAnsi="Roboto Condensed" w:cs="Times New Roman"/>
          <w:spacing w:val="2"/>
          <w:kern w:val="0"/>
          <w:sz w:val="27"/>
          <w:szCs w:val="27"/>
          <w:lang w:eastAsia="es-CO"/>
          <w14:ligatures w14:val="none"/>
        </w:rPr>
        <w:lastRenderedPageBreak/>
        <w:t>conceptos en materia tributaria, aduanera y cambiaria expedidos desde el año 2001, la cual se puede ingresar por el ícono de «Normatividad» -«Doctrina», oprimiendo el vínculo «Doctrina Dirección de Gestión Jurídica».</w:t>
      </w:r>
    </w:p>
    <w:p w14:paraId="272EA484" w14:textId="78E2248E" w:rsidR="005173FD" w:rsidRPr="005173FD" w:rsidRDefault="005173FD" w:rsidP="005173FD">
      <w:pPr>
        <w:spacing w:after="240" w:line="480" w:lineRule="atLeast"/>
        <w:jc w:val="both"/>
        <w:rPr>
          <w:rFonts w:ascii="Roboto Condensed" w:eastAsia="Times New Roman" w:hAnsi="Roboto Condensed" w:cs="Times New Roman"/>
          <w:spacing w:val="2"/>
          <w:kern w:val="0"/>
          <w:sz w:val="27"/>
          <w:szCs w:val="27"/>
          <w:lang w:eastAsia="es-CO"/>
          <w14:ligatures w14:val="none"/>
        </w:rPr>
      </w:pPr>
      <w:r>
        <w:rPr>
          <w:rFonts w:ascii="Roboto Condensed" w:eastAsia="Times New Roman" w:hAnsi="Roboto Condensed" w:cs="Times New Roman"/>
          <w:spacing w:val="2"/>
          <w:kern w:val="0"/>
          <w:sz w:val="27"/>
          <w:szCs w:val="27"/>
          <w:lang w:eastAsia="es-CO"/>
          <w14:ligatures w14:val="none"/>
        </w:rPr>
        <w:t>____________________________________________________________________________________</w:t>
      </w:r>
    </w:p>
    <w:p w14:paraId="2D9A247D" w14:textId="77777777" w:rsidR="005173FD" w:rsidRPr="005173FD" w:rsidRDefault="005173FD" w:rsidP="005173FD">
      <w:pPr>
        <w:spacing w:after="0" w:line="240" w:lineRule="auto"/>
        <w:jc w:val="both"/>
        <w:rPr>
          <w:rFonts w:ascii="Roboto Condensed" w:eastAsia="Times New Roman" w:hAnsi="Roboto Condensed" w:cs="Times New Roman"/>
          <w:color w:val="454545"/>
          <w:kern w:val="0"/>
          <w:sz w:val="27"/>
          <w:szCs w:val="27"/>
          <w:lang w:eastAsia="es-CO"/>
          <w14:ligatures w14:val="none"/>
        </w:rPr>
      </w:pPr>
      <w:r w:rsidRPr="005173FD">
        <w:rPr>
          <w:rFonts w:ascii="Roboto Condensed" w:eastAsia="Times New Roman" w:hAnsi="Roboto Condensed" w:cs="Times New Roman"/>
          <w:noProof/>
          <w:color w:val="0000FF"/>
          <w:kern w:val="0"/>
          <w:sz w:val="27"/>
          <w:szCs w:val="27"/>
          <w:lang w:eastAsia="es-CO"/>
          <w14:ligatures w14:val="none"/>
        </w:rPr>
        <mc:AlternateContent>
          <mc:Choice Requires="wps">
            <w:drawing>
              <wp:inline distT="0" distB="0" distL="0" distR="0" wp14:anchorId="0D7692B3" wp14:editId="18E694DA">
                <wp:extent cx="304800" cy="304800"/>
                <wp:effectExtent l="0" t="0" r="0" b="0"/>
                <wp:docPr id="362658229" name="AutoShape 2" descr="Ir al inicio">
                  <a:hlinkClick xmlns:a="http://schemas.openxmlformats.org/drawingml/2006/main" r:id="rId50" tooltip="&quot;Ir al inicio&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6E28A2C" id="AutoShape 2" o:spid="_x0000_s1026" alt="Ir al inicio" href="https://normograma.dian.gov.co/dian/compilacion/docs/oficio_dian_3054_2023.htm#documento_top" title="&quot;Ir al inicio&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" o:button="t" filled="f" stroked="f">
                <v:fill o:detectmouseclick="t"/>
                <o:lock v:ext="edit" aspectratio="t"/>
                <w10:anchorlock/>
              </v:rect>
            </w:pict>
          </mc:Fallback>
        </mc:AlternateContent>
      </w:r>
    </w:p>
    <w:p w14:paraId="71EC00C9" w14:textId="77777777" w:rsidR="007F5CC8" w:rsidRDefault="007F5CC8"/>
    <w:sectPr w:rsidR="007F5CC8" w:rsidSect="00746C9A">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Roboto Condensed">
    <w:charset w:val="00"/>
    <w:family w:val="auto"/>
    <w:pitch w:val="variable"/>
    <w:sig w:usb0="E0000AFF" w:usb1="5000217F" w:usb2="0000002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3FD"/>
    <w:rsid w:val="000F3837"/>
    <w:rsid w:val="001E311E"/>
    <w:rsid w:val="00434AE6"/>
    <w:rsid w:val="005173FD"/>
    <w:rsid w:val="005D25EE"/>
    <w:rsid w:val="00746C9A"/>
    <w:rsid w:val="007F5CC8"/>
    <w:rsid w:val="008779BE"/>
    <w:rsid w:val="008C2E57"/>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A0C78"/>
  <w15:chartTrackingRefBased/>
  <w15:docId w15:val="{0392363B-7B7C-409C-B37F-BDD5C1672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5173F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5173F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5173FD"/>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5173FD"/>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5173FD"/>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5173FD"/>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5173FD"/>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5173FD"/>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5173FD"/>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173FD"/>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5173FD"/>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5173FD"/>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5173FD"/>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5173FD"/>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5173FD"/>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5173FD"/>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5173FD"/>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5173FD"/>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5173F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173FD"/>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5173FD"/>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5173FD"/>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5173FD"/>
    <w:pPr>
      <w:spacing w:before="160"/>
      <w:jc w:val="center"/>
    </w:pPr>
    <w:rPr>
      <w:i/>
      <w:iCs/>
      <w:color w:val="404040" w:themeColor="text1" w:themeTint="BF"/>
    </w:rPr>
  </w:style>
  <w:style w:type="character" w:customStyle="1" w:styleId="CitaCar">
    <w:name w:val="Cita Car"/>
    <w:basedOn w:val="Fuentedeprrafopredeter"/>
    <w:link w:val="Cita"/>
    <w:uiPriority w:val="29"/>
    <w:rsid w:val="005173FD"/>
    <w:rPr>
      <w:i/>
      <w:iCs/>
      <w:color w:val="404040" w:themeColor="text1" w:themeTint="BF"/>
    </w:rPr>
  </w:style>
  <w:style w:type="paragraph" w:styleId="Prrafodelista">
    <w:name w:val="List Paragraph"/>
    <w:basedOn w:val="Normal"/>
    <w:uiPriority w:val="34"/>
    <w:qFormat/>
    <w:rsid w:val="005173FD"/>
    <w:pPr>
      <w:ind w:left="720"/>
      <w:contextualSpacing/>
    </w:pPr>
  </w:style>
  <w:style w:type="character" w:styleId="nfasisintenso">
    <w:name w:val="Intense Emphasis"/>
    <w:basedOn w:val="Fuentedeprrafopredeter"/>
    <w:uiPriority w:val="21"/>
    <w:qFormat/>
    <w:rsid w:val="005173FD"/>
    <w:rPr>
      <w:i/>
      <w:iCs/>
      <w:color w:val="0F4761" w:themeColor="accent1" w:themeShade="BF"/>
    </w:rPr>
  </w:style>
  <w:style w:type="paragraph" w:styleId="Citadestacada">
    <w:name w:val="Intense Quote"/>
    <w:basedOn w:val="Normal"/>
    <w:next w:val="Normal"/>
    <w:link w:val="CitadestacadaCar"/>
    <w:uiPriority w:val="30"/>
    <w:qFormat/>
    <w:rsid w:val="005173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5173FD"/>
    <w:rPr>
      <w:i/>
      <w:iCs/>
      <w:color w:val="0F4761" w:themeColor="accent1" w:themeShade="BF"/>
    </w:rPr>
  </w:style>
  <w:style w:type="character" w:styleId="Referenciaintensa">
    <w:name w:val="Intense Reference"/>
    <w:basedOn w:val="Fuentedeprrafopredeter"/>
    <w:uiPriority w:val="32"/>
    <w:qFormat/>
    <w:rsid w:val="005173F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8376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ormograma.dian.gov.co/dian/compilacion/docs/decreto_1742_2020.htm" TargetMode="External"/><Relationship Id="rId18" Type="http://schemas.openxmlformats.org/officeDocument/2006/relationships/hyperlink" Target="https://normograma.dian.gov.co/dian/compilacion/docs/estatuto_tributario.htm" TargetMode="External"/><Relationship Id="rId26" Type="http://schemas.openxmlformats.org/officeDocument/2006/relationships/hyperlink" Target="https://normograma.dian.gov.co/dian/compilacion/docs/ley_2277_2022.htm" TargetMode="External"/><Relationship Id="rId39" Type="http://schemas.openxmlformats.org/officeDocument/2006/relationships/hyperlink" Target="https://normograma.dian.gov.co/dian/compilacion/docs/decreto_1625_2016.htm" TargetMode="External"/><Relationship Id="rId21" Type="http://schemas.openxmlformats.org/officeDocument/2006/relationships/hyperlink" Target="https://normograma.dian.gov.co/dian/compilacion/docs/estatuto_tributario.htm" TargetMode="External"/><Relationship Id="rId34" Type="http://schemas.openxmlformats.org/officeDocument/2006/relationships/hyperlink" Target="https://normograma.dian.gov.co/dian/compilacion/docs/estatuto_tributario.htm" TargetMode="External"/><Relationship Id="rId42" Type="http://schemas.openxmlformats.org/officeDocument/2006/relationships/hyperlink" Target="https://normograma.dian.gov.co/dian/compilacion/docs/estatuto_tributario.htm" TargetMode="External"/><Relationship Id="rId47" Type="http://schemas.openxmlformats.org/officeDocument/2006/relationships/hyperlink" Target="https://normograma.dian.gov.co/dian/compilacion/docs/ley_1739_2014.htm" TargetMode="External"/><Relationship Id="rId50" Type="http://schemas.openxmlformats.org/officeDocument/2006/relationships/hyperlink" Target="https://normograma.dian.gov.co/dian/compilacion/docs/oficio_dian_3054_2023.htm#documento_top" TargetMode="External"/><Relationship Id="rId7" Type="http://schemas.openxmlformats.org/officeDocument/2006/relationships/hyperlink" Target="https://normograma.dian.gov.co/dian/compilacion/docs/estatuto_tributario.htm" TargetMode="External"/><Relationship Id="rId2" Type="http://schemas.openxmlformats.org/officeDocument/2006/relationships/settings" Target="settings.xml"/><Relationship Id="rId16" Type="http://schemas.openxmlformats.org/officeDocument/2006/relationships/hyperlink" Target="https://normograma.dian.gov.co/dian/compilacion/docs/oficio_dian_0977_2023.htm" TargetMode="External"/><Relationship Id="rId29" Type="http://schemas.openxmlformats.org/officeDocument/2006/relationships/hyperlink" Target="https://normograma.dian.gov.co/dian/compilacion/docs/estatuto_tributario.htm" TargetMode="External"/><Relationship Id="rId11" Type="http://schemas.openxmlformats.org/officeDocument/2006/relationships/hyperlink" Target="javascript:insRow1()" TargetMode="External"/><Relationship Id="rId24" Type="http://schemas.openxmlformats.org/officeDocument/2006/relationships/hyperlink" Target="https://normograma.dian.gov.co/dian/compilacion/docs/oficio_dian_18301_2019.htm" TargetMode="External"/><Relationship Id="rId32" Type="http://schemas.openxmlformats.org/officeDocument/2006/relationships/hyperlink" Target="https://normograma.dian.gov.co/dian/compilacion/docs/estatuto_tributario.htm" TargetMode="External"/><Relationship Id="rId37" Type="http://schemas.openxmlformats.org/officeDocument/2006/relationships/hyperlink" Target="https://normograma.dian.gov.co/dian/compilacion/docs/oficio_dian_22417_2016.htm" TargetMode="External"/><Relationship Id="rId40" Type="http://schemas.openxmlformats.org/officeDocument/2006/relationships/hyperlink" Target="https://normograma.dian.gov.co/dian/compilacion/docs/estatuto_tributario.htm" TargetMode="External"/><Relationship Id="rId45" Type="http://schemas.openxmlformats.org/officeDocument/2006/relationships/hyperlink" Target="https://normograma.dian.gov.co/dian/compilacion/docs/estatuto_tributario.htm" TargetMode="External"/><Relationship Id="rId5" Type="http://schemas.openxmlformats.org/officeDocument/2006/relationships/hyperlink" Target="https://normograma.dian.gov.co/dian/compilacion/docs/estatuto_tributario.htm" TargetMode="External"/><Relationship Id="rId15" Type="http://schemas.openxmlformats.org/officeDocument/2006/relationships/hyperlink" Target="https://normograma.dian.gov.co/dian/compilacion/docs/oficio_dian_0977_2023.htm" TargetMode="External"/><Relationship Id="rId23" Type="http://schemas.openxmlformats.org/officeDocument/2006/relationships/hyperlink" Target="https://normograma.dian.gov.co/dian/compilacion/docs/estatuto_tributario.htm" TargetMode="External"/><Relationship Id="rId28" Type="http://schemas.openxmlformats.org/officeDocument/2006/relationships/hyperlink" Target="https://normograma.dian.gov.co/dian/compilacion/docs/estatuto_tributario.htm" TargetMode="External"/><Relationship Id="rId36" Type="http://schemas.openxmlformats.org/officeDocument/2006/relationships/hyperlink" Target="https://normograma.dian.gov.co/dian/compilacion/docs/estatuto_tributario.htm" TargetMode="External"/><Relationship Id="rId49" Type="http://schemas.openxmlformats.org/officeDocument/2006/relationships/hyperlink" Target="https://normograma.dian.gov.co/dian/compilacion/docs/estatuto_tributario.htm" TargetMode="External"/><Relationship Id="rId10" Type="http://schemas.openxmlformats.org/officeDocument/2006/relationships/hyperlink" Target="https://normograma.dian.gov.co/dian/compilacion/docs/decreto_1625_2016.htm" TargetMode="External"/><Relationship Id="rId19" Type="http://schemas.openxmlformats.org/officeDocument/2006/relationships/hyperlink" Target="https://normograma.dian.gov.co/dian/compilacion/docs/ley_1943_2018.htm" TargetMode="External"/><Relationship Id="rId31" Type="http://schemas.openxmlformats.org/officeDocument/2006/relationships/hyperlink" Target="https://normograma.dian.gov.co/dian/compilacion/docs/estatuto_tributario.htm" TargetMode="External"/><Relationship Id="rId44" Type="http://schemas.openxmlformats.org/officeDocument/2006/relationships/hyperlink" Target="https://normograma.dian.gov.co/dian/compilacion/docs/oficio_dian_0977_2023.htm" TargetMode="External"/><Relationship Id="rId52" Type="http://schemas.openxmlformats.org/officeDocument/2006/relationships/theme" Target="theme/theme1.xml"/><Relationship Id="rId4" Type="http://schemas.openxmlformats.org/officeDocument/2006/relationships/hyperlink" Target="https://normograma.dian.gov.co/dian/compilacion/docs/estatuto_tributario.htm" TargetMode="External"/><Relationship Id="rId9" Type="http://schemas.openxmlformats.org/officeDocument/2006/relationships/hyperlink" Target="https://normograma.dian.gov.co/dian/compilacion/docs/estatuto_tributario.htm" TargetMode="External"/><Relationship Id="rId14" Type="http://schemas.openxmlformats.org/officeDocument/2006/relationships/hyperlink" Target="https://normograma.dian.gov.co/dian/compilacion/docs/ley_2277_2022.htm" TargetMode="External"/><Relationship Id="rId22" Type="http://schemas.openxmlformats.org/officeDocument/2006/relationships/hyperlink" Target="https://normograma.dian.gov.co/dian/compilacion/docs/estatuto_tributario.htm" TargetMode="External"/><Relationship Id="rId27" Type="http://schemas.openxmlformats.org/officeDocument/2006/relationships/hyperlink" Target="https://normograma.dian.gov.co/dian/compilacion/docs/ley_2277_2022.htm" TargetMode="External"/><Relationship Id="rId30" Type="http://schemas.openxmlformats.org/officeDocument/2006/relationships/hyperlink" Target="https://normograma.dian.gov.co/dian/compilacion/docs/estatuto_tributario.htm" TargetMode="External"/><Relationship Id="rId35" Type="http://schemas.openxmlformats.org/officeDocument/2006/relationships/hyperlink" Target="https://normograma.dian.gov.co/dian/compilacion/docs/estatuto_tributario.htm" TargetMode="External"/><Relationship Id="rId43" Type="http://schemas.openxmlformats.org/officeDocument/2006/relationships/hyperlink" Target="https://normograma.dian.gov.co/dian/compilacion/docs/ley_2010_2019.htm" TargetMode="External"/><Relationship Id="rId48" Type="http://schemas.openxmlformats.org/officeDocument/2006/relationships/hyperlink" Target="https://normograma.dian.gov.co/dian/compilacion/docs/ley_2277_2022.htm" TargetMode="External"/><Relationship Id="rId8" Type="http://schemas.openxmlformats.org/officeDocument/2006/relationships/hyperlink" Target="https://normograma.dian.gov.co/dian/compilacion/docs/estatuto_tributario.htm" TargetMode="External"/><Relationship Id="rId51"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https://normograma.dian.gov.co/dian/compilacion/docs/ley_2277_2022.htm" TargetMode="External"/><Relationship Id="rId17" Type="http://schemas.openxmlformats.org/officeDocument/2006/relationships/hyperlink" Target="https://normograma.dian.gov.co/dian/compilacion/docs/ley_2277_2022.htm" TargetMode="External"/><Relationship Id="rId25" Type="http://schemas.openxmlformats.org/officeDocument/2006/relationships/hyperlink" Target="https://normograma.dian.gov.co/dian/compilacion/docs/oficio_dian_0977_2023.htm" TargetMode="External"/><Relationship Id="rId33" Type="http://schemas.openxmlformats.org/officeDocument/2006/relationships/hyperlink" Target="https://normograma.dian.gov.co/dian/compilacion/docs/estatuto_tributario.htm" TargetMode="External"/><Relationship Id="rId38" Type="http://schemas.openxmlformats.org/officeDocument/2006/relationships/hyperlink" Target="https://normograma.dian.gov.co/dian/compilacion/docs/estatuto_tributario.htm" TargetMode="External"/><Relationship Id="rId46" Type="http://schemas.openxmlformats.org/officeDocument/2006/relationships/hyperlink" Target="https://normograma.dian.gov.co/dian/compilacion/docs/estatuto_tributario.htm" TargetMode="External"/><Relationship Id="rId20" Type="http://schemas.openxmlformats.org/officeDocument/2006/relationships/hyperlink" Target="https://normograma.dian.gov.co/dian/compilacion/docs/ley_2010_2019.htm" TargetMode="External"/><Relationship Id="rId41" Type="http://schemas.openxmlformats.org/officeDocument/2006/relationships/hyperlink" Target="https://normograma.dian.gov.co/dian/compilacion/docs/estatuto_tributario.htm" TargetMode="External"/><Relationship Id="rId1" Type="http://schemas.openxmlformats.org/officeDocument/2006/relationships/styles" Target="styles.xml"/><Relationship Id="rId6" Type="http://schemas.openxmlformats.org/officeDocument/2006/relationships/hyperlink" Target="https://normograma.dian.gov.co/dian/compilacion/docs/estatuto_tributario.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9</Pages>
  <Words>3094</Words>
  <Characters>17020</Characters>
  <Application>Microsoft Office Word</Application>
  <DocSecurity>0</DocSecurity>
  <Lines>141</Lines>
  <Paragraphs>40</Paragraphs>
  <ScaleCrop>false</ScaleCrop>
  <Company/>
  <LinksUpToDate>false</LinksUpToDate>
  <CharactersWithSpaces>20074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2024-01-19T17:22:00Z</dcterms:created>
  <dcterms:modified xsi:type="dcterms:W3CDTF">2024-01-19T17:27:00Z</dcterms:modified>
</cp:coreProperties>
</file>