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600" w14:textId="77777777" w:rsidR="00AB472F" w:rsidRPr="00AB472F" w:rsidRDefault="00AB472F" w:rsidP="001B32E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CONCEPTO </w:t>
      </w:r>
      <w:proofErr w:type="spellStart"/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1260 [007601]</w:t>
      </w:r>
    </w:p>
    <w:p w14:paraId="3049E459" w14:textId="77777777" w:rsidR="00AB472F" w:rsidRPr="00AB472F" w:rsidRDefault="00AB472F" w:rsidP="001B32E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22-12-2023</w:t>
      </w:r>
    </w:p>
    <w:p w14:paraId="1DC9F809" w14:textId="77777777" w:rsidR="00AB472F" w:rsidRPr="00AB472F" w:rsidRDefault="00AB472F" w:rsidP="001B32E0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DIAN</w:t>
      </w:r>
    </w:p>
    <w:p w14:paraId="683D329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ECB4D23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85AEF9D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100208192-1260</w:t>
      </w:r>
    </w:p>
    <w:p w14:paraId="43A720D8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</w:t>
      </w:r>
    </w:p>
    <w:p w14:paraId="7DA3CAE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4908"/>
      </w:tblGrid>
      <w:tr w:rsidR="00AB472F" w:rsidRPr="00AB472F" w14:paraId="7A21F8B7" w14:textId="77777777" w:rsidTr="00AB472F"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B9786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Tema: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E0AB8C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Procedimiento tributario</w:t>
            </w:r>
          </w:p>
        </w:tc>
      </w:tr>
      <w:tr w:rsidR="00AB472F" w:rsidRPr="00AB472F" w14:paraId="41581073" w14:textId="77777777" w:rsidTr="00AB472F"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F830A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Descriptores: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2C22A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highlight w:val="yellow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highlight w:val="yellow"/>
                <w:lang w:eastAsia="es-CO"/>
                <w14:ligatures w14:val="none"/>
              </w:rPr>
              <w:t>Devolución de saldos a favor</w:t>
            </w:r>
          </w:p>
          <w:p w14:paraId="5CBFB38D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highlight w:val="yellow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highlight w:val="yellow"/>
                <w:lang w:eastAsia="es-CO"/>
                <w14:ligatures w14:val="none"/>
              </w:rPr>
              <w:t>Imputación de saldos a favor</w:t>
            </w:r>
          </w:p>
        </w:tc>
      </w:tr>
      <w:tr w:rsidR="00AB472F" w:rsidRPr="00AB472F" w14:paraId="24A3F49C" w14:textId="77777777" w:rsidTr="00AB472F"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BD8A7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Fuentes formales: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36672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Artículos </w:t>
            </w:r>
            <w:hyperlink r:id="rId5" w:tooltip="Estatuto Tributario CETA" w:history="1">
              <w:r w:rsidRPr="00AB472F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689-2</w:t>
              </w:r>
            </w:hyperlink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y </w:t>
            </w:r>
            <w:hyperlink r:id="rId6" w:tooltip="Estatuto Tributario CETA" w:history="1">
              <w:r w:rsidRPr="00AB472F">
                <w:rPr>
                  <w:rFonts w:ascii="Segoe UI" w:eastAsia="Times New Roman" w:hAnsi="Segoe UI" w:cs="Segoe UI"/>
                  <w:color w:val="0645AD"/>
                  <w:kern w:val="0"/>
                  <w:sz w:val="21"/>
                  <w:szCs w:val="21"/>
                  <w:u w:val="single"/>
                  <w:lang w:eastAsia="es-CO"/>
                  <w14:ligatures w14:val="none"/>
                </w:rPr>
                <w:t>815</w:t>
              </w:r>
            </w:hyperlink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del Estatuto Tributario</w:t>
            </w:r>
          </w:p>
          <w:p w14:paraId="4AEDECD8" w14:textId="77777777" w:rsidR="00AB472F" w:rsidRPr="00AB472F" w:rsidRDefault="00AB472F" w:rsidP="001B32E0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AB472F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Artículo 43 de la Ley 962 de 2005</w:t>
            </w:r>
          </w:p>
        </w:tc>
      </w:tr>
    </w:tbl>
    <w:p w14:paraId="40EBCBD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0F85977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28CF9F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 saludo,</w:t>
      </w:r>
    </w:p>
    <w:p w14:paraId="355DE9AC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DA31C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7" w:anchor="cite_note-1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1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En este sentido, la doctrina emitida será de carácter general, no se referirá a asuntos particulares y se someterá a lo consagrado en el artículo 131 de la Ley 2010 de 2019</w:t>
      </w:r>
      <w:hyperlink r:id="rId8" w:anchor="cite_note-2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2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43B4149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864CA7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PROBLEMA JURÍDICO #1</w:t>
      </w:r>
    </w:p>
    <w:p w14:paraId="3137892C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A96230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Si en una declaración de renta del período gravable 2021, con beneficio de auditoría y en firme, se liquidó un saldo a favor ¿puede el contribuyente solicitar su devolución si actualmente pertenece al Régimen Simple de Tributación – SIMPLE (en adelante RST o SIMPLE)?</w:t>
      </w:r>
    </w:p>
    <w:p w14:paraId="2CCB3078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A0F2C69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TESIS JURÍDICA</w:t>
      </w:r>
    </w:p>
    <w:p w14:paraId="03277032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B07DC8C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Si en una declaración de renta del período gravable 2021, con beneficio de auditoría y en firme, se liquidó un saldo a favor, el contribuyente no puede solicitar su devolución teniendo en cuenta lo señalado en el parágrafo 3° del </w:t>
      </w:r>
      <w:hyperlink r:id="rId9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689-2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Tributario, con independencia de que pertenezca o no al SIMPLE.</w:t>
      </w:r>
    </w:p>
    <w:p w14:paraId="17A4AB0D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342C11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FUNDAMENTACIÓN</w:t>
      </w:r>
    </w:p>
    <w:p w14:paraId="52F5EE50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FC448EE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parágrafo 3° del </w:t>
      </w:r>
      <w:hyperlink r:id="rId10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689-2</w:t>
        </w:r>
      </w:hyperlink>
      <w:hyperlink r:id="rId11" w:anchor="cite_note-3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3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 del Estatuto Tributario señala que en el caso de declaraciones tributarias que registren saldo a favor y gocen del beneficio de auditoria (en los términos de esta 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disposición), el término para solicitarlo en devolución y/o compensación “será el previsto en este artículo, 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para la firmeza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la declaración” (subrayado fuera de texto).</w:t>
      </w:r>
    </w:p>
    <w:p w14:paraId="682EB271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2808D0A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Así las cosas, ya que la declaración -en el supuesto consultado- cobró firmeza, no es posible para el contribuyente solicitar la devolución del saldo a favor liquidado en la misma.</w:t>
      </w:r>
    </w:p>
    <w:p w14:paraId="78AF995D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39B71BC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PROBLEMA JURÍDICO #2</w:t>
      </w:r>
    </w:p>
    <w:p w14:paraId="7D66F0F7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137325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Si en una declaración de renta del período gravable 2021 se liquidó un saldo a favor y el contribuyente, para el año gravable 2022 optó por el RST y, posteriormente, solicita la exclusión de este régimen y la actualización en el RUT como contribuyente del impuesto sobre la renta y complementarios a partir del año gravable 2023 ¿puede imputar dicho saldo a favor en la declaración de renta de este año?</w:t>
      </w:r>
    </w:p>
    <w:p w14:paraId="6D93CC5C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A13D6A3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TESIS JURÍDICA</w:t>
      </w:r>
    </w:p>
    <w:p w14:paraId="461E16BD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B5B1D3E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No es posible imputar el saldo a favor originado en una declaración de renta del año 2021 a la declaración consolidada de SIMPLE del año 2022, por tratarse de impuestos diferentes. Esto sin perjuicio de la posibilidad solicitarlo en devolución, de acuerdo con lo dispuesto en los artículos </w:t>
      </w:r>
      <w:hyperlink r:id="rId12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850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siguientes del Estatuto Tributario.</w:t>
      </w:r>
    </w:p>
    <w:p w14:paraId="417D7910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59A34B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FUNDAMENTACIÓN</w:t>
      </w:r>
    </w:p>
    <w:p w14:paraId="07E59C37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EA698E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 </w:t>
      </w:r>
      <w:hyperlink r:id="rId13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815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señala que los contribuyentes que liquiden saldos a favor en sus declaraciones pueden “Imputarlos dentro de su liquidación privada del mismo impuesto, correspondiente al 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u w:val="single"/>
          <w:lang w:eastAsia="es-CO"/>
          <w14:ligatures w14:val="none"/>
        </w:rPr>
        <w:t>siguiente período gravable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” (subrayado fuera de texto).</w:t>
      </w:r>
    </w:p>
    <w:p w14:paraId="28440B11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5695368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No obstante, en el problema jurídico planteado el saldo a favor se liquidó en una declaración de renta del período gravable 2021 a la que le sigue una declaración anual del impuesto unificado bajo el RST por el período gravable 2022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highlight w:val="yellow"/>
          <w:lang w:eastAsia="es-CO"/>
          <w14:ligatures w14:val="none"/>
        </w:rPr>
        <w:t>. Es en este escenario que se debe analizar si también es posible aplicar lo dispuesto en el </w:t>
      </w:r>
      <w:hyperlink r:id="rId14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highlight w:val="yellow"/>
            <w:u w:val="single"/>
            <w:lang w:eastAsia="es-CO"/>
            <w14:ligatures w14:val="none"/>
          </w:rPr>
          <w:t>artículo 815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highlight w:val="yellow"/>
          <w:lang w:eastAsia="es-CO"/>
          <w14:ligatures w14:val="none"/>
        </w:rPr>
        <w:t>.</w:t>
      </w:r>
    </w:p>
    <w:p w14:paraId="44B19A8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C819CB5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Este Despacho ha señalado que el SIMPLE tiene un carácter sustitutivo frente al impuesto sobre la renta</w:t>
      </w:r>
      <w:hyperlink r:id="rId15" w:anchor="cite_note-4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4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 xml:space="preserve">, lo que conlleva la no concurrencia de éste con el régimen ordinario del impuesto sobre la renta, 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highlight w:val="yellow"/>
          <w:lang w:eastAsia="es-CO"/>
          <w14:ligatures w14:val="none"/>
        </w:rPr>
        <w:t>razón por la cual es posible imputar a la declaración consolidada de SIMPLE del año 2022.</w:t>
      </w:r>
    </w:p>
    <w:p w14:paraId="4365B507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FDEAF53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Tampoco es posible imputarlo en la declaración de renta del año 2023, pues el </w:t>
      </w:r>
      <w:hyperlink r:id="rId16" w:tooltip="Estatuto Tributario CET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artículo 815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del Estatuto Tributario establece esta posibilidad en el 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“siguiente período gravable”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la interpretación oficial</w:t>
      </w:r>
      <w:hyperlink r:id="rId17" w:anchor="cite_note-5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5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ha concluido que esta se refiere al 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“período gravable 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inmediatamente 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siguiente”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presupuesto que para el presente caso tampoco se cumple.</w:t>
      </w:r>
    </w:p>
    <w:p w14:paraId="0CF8DE91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lastRenderedPageBreak/>
        <w:t> </w:t>
      </w:r>
    </w:p>
    <w:p w14:paraId="427F2B3B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gravables en el impuesto sobre la renta 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son continuos al igual que los años calendario, lo que de suyo se opone a que no son esporádicos</w:t>
      </w:r>
      <w:r w:rsidRPr="00AB472F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”</w:t>
      </w: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(subrayado fuera del texto original).</w:t>
      </w:r>
    </w:p>
    <w:p w14:paraId="23AA4602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64C90D1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Sin perjuicio de la anterior conclusión es importante recordar que los contribuyentes o responsables que liquiden saldos a favor en sus declaraciones tributarias podrán solicitar su devolución</w:t>
      </w:r>
      <w:hyperlink r:id="rId18" w:anchor="cite_note-6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6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y que esta solicitud deberá presentarse a más tardar dos años después de la fecha de vencimiento del término para declarar</w:t>
      </w:r>
      <w:hyperlink r:id="rId19" w:anchor="cite_note-7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vertAlign w:val="superscript"/>
            <w:lang w:eastAsia="es-CO"/>
            <w14:ligatures w14:val="none"/>
          </w:rPr>
          <w:t>7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 Esto sujeto además al cumplimiento de los requisitos previstos en la ley y el reglamento.</w:t>
      </w:r>
    </w:p>
    <w:p w14:paraId="525C96D0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5129130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20" w:tgtFrame="_blank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https://normograma.dian.gov.co/dian/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.</w:t>
      </w:r>
    </w:p>
    <w:p w14:paraId="7458C04A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BD5DFA1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Atentamente,</w:t>
      </w:r>
    </w:p>
    <w:p w14:paraId="26F0E9FF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34DB28F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6C7C009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INGRID CASTAÑEDA CEPEDA</w:t>
      </w:r>
    </w:p>
    <w:p w14:paraId="481EF9EE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Subdirectora de Normativa y Doctrina (A)</w:t>
      </w:r>
    </w:p>
    <w:p w14:paraId="6766F613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73FB3634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U.A.E. Dirección de Impuestos y Aduanas Nacionales – DIAN</w:t>
      </w:r>
    </w:p>
    <w:p w14:paraId="075B5A09" w14:textId="77777777" w:rsidR="00AB472F" w:rsidRPr="00AB472F" w:rsidRDefault="00AB472F" w:rsidP="001B32E0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699C989" w14:textId="77777777" w:rsidR="00AB472F" w:rsidRPr="00AB472F" w:rsidRDefault="00AB472F" w:rsidP="001B32E0">
      <w:pPr>
        <w:spacing w:after="285" w:line="36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  <w:r w:rsidRPr="00AB472F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Notas al pie</w:t>
      </w:r>
    </w:p>
    <w:p w14:paraId="64D5646F" w14:textId="77777777" w:rsidR="00AB472F" w:rsidRPr="00AB472F" w:rsidRDefault="00AB472F" w:rsidP="001B32E0">
      <w:pPr>
        <w:spacing w:after="0" w:line="360" w:lineRule="auto"/>
        <w:rPr>
          <w:rFonts w:eastAsia="Times New Roman" w:cs="Times New Roman"/>
          <w:kern w:val="0"/>
          <w:szCs w:val="24"/>
          <w:lang w:eastAsia="es-CO"/>
          <w14:ligatures w14:val="none"/>
        </w:rPr>
      </w:pPr>
      <w:r w:rsidRPr="00AB472F">
        <w:rPr>
          <w:rFonts w:eastAsia="Times New Roman" w:cs="Times New Roman"/>
          <w:kern w:val="0"/>
          <w:szCs w:val="24"/>
          <w:lang w:eastAsia="es-CO"/>
          <w14:ligatures w14:val="none"/>
        </w:rPr>
        <w:pict w14:anchorId="1C477880">
          <v:rect id="_x0000_i1025" style="width:0;height:1.5pt" o:hralign="left" o:hrstd="t" o:hrnoshade="t" o:hr="t" fillcolor="black" stroked="f"/>
        </w:pict>
      </w:r>
    </w:p>
    <w:p w14:paraId="697AE418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1" w:anchor="cite_ref-1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4 del artículo 56 del Decreto 1742 de 2020 y el artículo 7 de la Resolución DIAN 91 de 2021.</w:t>
      </w:r>
    </w:p>
    <w:p w14:paraId="2A8D4A88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2" w:anchor="cite_ref-2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1 del artículo 56 del Decreto 1742 de 2020 y el artículo 7-1 de la Resolución DIAN 91 de 2021.</w:t>
      </w:r>
    </w:p>
    <w:p w14:paraId="097106C5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3" w:anchor="cite_ref-3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Regula el beneficio de auditoria para los períodos gravables 2020 y 2021.</w:t>
      </w:r>
    </w:p>
    <w:p w14:paraId="501D725B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4" w:anchor="cite_ref-4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Oficio 904831 - interno 801 del 17 de junio de 2022</w:t>
      </w:r>
    </w:p>
    <w:p w14:paraId="14B8EF25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5" w:anchor="cite_ref-5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Oficio 902492 - interno 455 de marzo 24 de 2021</w:t>
      </w:r>
    </w:p>
    <w:p w14:paraId="15BB0901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6" w:anchor="cite_ref-6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Artículo 850 del Estatuto Tributario</w:t>
      </w:r>
    </w:p>
    <w:p w14:paraId="4355256F" w14:textId="77777777" w:rsidR="00AB472F" w:rsidRPr="00AB472F" w:rsidRDefault="00AB472F" w:rsidP="001B32E0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27" w:anchor="cite_ref-7" w:tooltip="Volver arriba" w:history="1">
        <w:r w:rsidRPr="00AB472F">
          <w:rPr>
            <w:rFonts w:ascii="Segoe UI" w:eastAsia="Times New Roman" w:hAnsi="Segoe UI" w:cs="Segoe UI"/>
            <w:color w:val="0645AD"/>
            <w:kern w:val="0"/>
            <w:sz w:val="21"/>
            <w:szCs w:val="21"/>
            <w:lang w:eastAsia="es-CO"/>
            <w14:ligatures w14:val="none"/>
          </w:rPr>
          <w:t>↑</w:t>
        </w:r>
      </w:hyperlink>
      <w:r w:rsidRPr="00AB472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Artículo 854 del Estatuto Tributario</w:t>
      </w:r>
    </w:p>
    <w:p w14:paraId="1EA1E0C1" w14:textId="77777777" w:rsidR="007F5CC8" w:rsidRDefault="007F5CC8" w:rsidP="001B32E0">
      <w:pPr>
        <w:spacing w:line="360" w:lineRule="auto"/>
      </w:pPr>
    </w:p>
    <w:sectPr w:rsidR="007F5CC8" w:rsidSect="00DA30C2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D2457"/>
    <w:multiLevelType w:val="multilevel"/>
    <w:tmpl w:val="B498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7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2F"/>
    <w:rsid w:val="000F3837"/>
    <w:rsid w:val="001B32E0"/>
    <w:rsid w:val="001E311E"/>
    <w:rsid w:val="00434AE6"/>
    <w:rsid w:val="005D25EE"/>
    <w:rsid w:val="007F5CC8"/>
    <w:rsid w:val="008779BE"/>
    <w:rsid w:val="008C2E57"/>
    <w:rsid w:val="00AB472F"/>
    <w:rsid w:val="00DA30C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0F7"/>
  <w15:chartTrackingRefBased/>
  <w15:docId w15:val="{02449255-6A54-4766-944D-59827FB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7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7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7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7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7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7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7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7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7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7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7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7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7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7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7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47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4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4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47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7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4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documento.asp?DocumentoID=50756" TargetMode="External"/><Relationship Id="rId13" Type="http://schemas.openxmlformats.org/officeDocument/2006/relationships/hyperlink" Target="https://www.ceta.org.co/html/vista_de_un_articulo.asp?Norma=1008" TargetMode="External"/><Relationship Id="rId18" Type="http://schemas.openxmlformats.org/officeDocument/2006/relationships/hyperlink" Target="https://www.ceta.org.co/html/vista_de_un_documento.asp?DocumentoID=50756" TargetMode="External"/><Relationship Id="rId26" Type="http://schemas.openxmlformats.org/officeDocument/2006/relationships/hyperlink" Target="https://www.ceta.org.co/html/vista_de_un_documento.asp?DocumentoID=50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ta.org.co/html/vista_de_un_documento.asp?DocumentoID=50756" TargetMode="External"/><Relationship Id="rId7" Type="http://schemas.openxmlformats.org/officeDocument/2006/relationships/hyperlink" Target="https://www.ceta.org.co/html/vista_de_un_documento.asp?DocumentoID=50756" TargetMode="External"/><Relationship Id="rId12" Type="http://schemas.openxmlformats.org/officeDocument/2006/relationships/hyperlink" Target="https://www.ceta.org.co/html/vista_de_un_articulo.asp?Norma=1058" TargetMode="External"/><Relationship Id="rId17" Type="http://schemas.openxmlformats.org/officeDocument/2006/relationships/hyperlink" Target="https://www.ceta.org.co/html/vista_de_un_documento.asp?DocumentoID=50756" TargetMode="External"/><Relationship Id="rId25" Type="http://schemas.openxmlformats.org/officeDocument/2006/relationships/hyperlink" Target="https://www.ceta.org.co/html/vista_de_un_documento.asp?DocumentoID=507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ta.org.co/html/vista_de_un_articulo.asp?Norma=1008" TargetMode="External"/><Relationship Id="rId20" Type="http://schemas.openxmlformats.org/officeDocument/2006/relationships/hyperlink" Target="https://normograma.dian.gov.co/dia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1008" TargetMode="External"/><Relationship Id="rId11" Type="http://schemas.openxmlformats.org/officeDocument/2006/relationships/hyperlink" Target="https://www.ceta.org.co/html/vista_de_un_documento.asp?DocumentoID=50756" TargetMode="External"/><Relationship Id="rId24" Type="http://schemas.openxmlformats.org/officeDocument/2006/relationships/hyperlink" Target="https://www.ceta.org.co/html/vista_de_un_documento.asp?DocumentoID=50756" TargetMode="External"/><Relationship Id="rId5" Type="http://schemas.openxmlformats.org/officeDocument/2006/relationships/hyperlink" Target="https://www.ceta.org.co/html/vista_de_un_articulo.asp?Norma=60485" TargetMode="External"/><Relationship Id="rId15" Type="http://schemas.openxmlformats.org/officeDocument/2006/relationships/hyperlink" Target="https://www.ceta.org.co/html/vista_de_un_documento.asp?DocumentoID=50756" TargetMode="External"/><Relationship Id="rId23" Type="http://schemas.openxmlformats.org/officeDocument/2006/relationships/hyperlink" Target="https://www.ceta.org.co/html/vista_de_un_documento.asp?DocumentoID=5075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eta.org.co/html/vista_de_un_articulo.asp?Norma=60485" TargetMode="External"/><Relationship Id="rId19" Type="http://schemas.openxmlformats.org/officeDocument/2006/relationships/hyperlink" Target="https://www.ceta.org.co/html/vista_de_un_documento.asp?DocumentoID=50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60485" TargetMode="External"/><Relationship Id="rId14" Type="http://schemas.openxmlformats.org/officeDocument/2006/relationships/hyperlink" Target="https://www.ceta.org.co/html/vista_de_un_articulo.asp?Norma=1008" TargetMode="External"/><Relationship Id="rId22" Type="http://schemas.openxmlformats.org/officeDocument/2006/relationships/hyperlink" Target="https://www.ceta.org.co/html/vista_de_un_documento.asp?DocumentoID=50756" TargetMode="External"/><Relationship Id="rId27" Type="http://schemas.openxmlformats.org/officeDocument/2006/relationships/hyperlink" Target="https://www.ceta.org.co/html/vista_de_un_documento.asp?DocumentoID=507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3</cp:revision>
  <dcterms:created xsi:type="dcterms:W3CDTF">2024-01-17T15:32:00Z</dcterms:created>
  <dcterms:modified xsi:type="dcterms:W3CDTF">2024-01-17T15:38:00Z</dcterms:modified>
</cp:coreProperties>
</file>