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D68B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OFICIO </w:t>
      </w:r>
      <w:proofErr w:type="spellStart"/>
      <w:r>
        <w:rPr>
          <w:rFonts w:ascii="Segoe UI" w:hAnsi="Segoe UI" w:cs="Segoe UI"/>
          <w:b/>
          <w:bCs/>
          <w:color w:val="000000"/>
          <w:sz w:val="21"/>
          <w:szCs w:val="21"/>
        </w:rPr>
        <w:t>Nº</w:t>
      </w:r>
      <w:proofErr w:type="spellEnd"/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 86 [000213]</w:t>
      </w:r>
    </w:p>
    <w:p w14:paraId="072B6884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18-01-2023</w:t>
      </w:r>
    </w:p>
    <w:p w14:paraId="27555783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DIAN</w:t>
      </w:r>
    </w:p>
    <w:p w14:paraId="100B01FA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1578EF1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7137317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100208192-86</w:t>
      </w:r>
    </w:p>
    <w:p w14:paraId="70331464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Bogotá, D.C.</w:t>
      </w:r>
    </w:p>
    <w:p w14:paraId="72A234C4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3CF2788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Tema:</w:t>
      </w:r>
      <w:r>
        <w:rPr>
          <w:rFonts w:ascii="Segoe UI" w:hAnsi="Segoe UI" w:cs="Segoe UI"/>
          <w:color w:val="000000"/>
          <w:sz w:val="21"/>
          <w:szCs w:val="21"/>
        </w:rPr>
        <w:t> Procedimiento Tributario</w:t>
      </w:r>
    </w:p>
    <w:p w14:paraId="4D2C6EA3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Descriptores:</w:t>
      </w:r>
      <w:r>
        <w:rPr>
          <w:rFonts w:ascii="Segoe UI" w:hAnsi="Segoe UI" w:cs="Segoe UI"/>
          <w:color w:val="000000"/>
          <w:sz w:val="21"/>
          <w:szCs w:val="21"/>
        </w:rPr>
        <w:t> Registro Único de Beneficiarios Finales - RUB</w:t>
      </w:r>
    </w:p>
    <w:p w14:paraId="3C9D4213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Fuentes formales:</w:t>
      </w:r>
      <w:r>
        <w:rPr>
          <w:rFonts w:ascii="Segoe UI" w:hAnsi="Segoe UI" w:cs="Segoe UI"/>
          <w:color w:val="000000"/>
          <w:sz w:val="21"/>
          <w:szCs w:val="21"/>
        </w:rPr>
        <w:t> Artículos 4 y 6 de la Resolución No. 000164 de 2021</w:t>
      </w:r>
    </w:p>
    <w:p w14:paraId="77FCAB17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333C898B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Cordial saludo,</w:t>
      </w:r>
    </w:p>
    <w:p w14:paraId="34755A76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51C26DA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740B45B2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F7DA8F5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Mediante el radicado de la referencia, la peticionaria solicita se indique cómo debe efectuarse el suministro de información en el Registro Único de Beneficiarios Finales - RUB cuando un accionista de una persona jurídica nacional fallece, quedando una sucesión ilíquida.</w:t>
      </w:r>
    </w:p>
    <w:p w14:paraId="42C7C367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4A01EC3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Sobre el particular, las consideraciones de este Despacho son las siguientes:</w:t>
      </w:r>
    </w:p>
    <w:p w14:paraId="0DC8D83D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D1C54E1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El artículo 4 de la Resolución DIAN No. 000164 de 2021 establece:</w:t>
      </w:r>
    </w:p>
    <w:p w14:paraId="72F128D5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28B85F34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“</w:t>
      </w: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ARTÍCULO 4o. OBLIGADOS A SUMINISTRAR INFORMACIÓN EN EL REGISTRO ÚNICO DE BENEFICIARIOS FINALES (RUB).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 Las siguientes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personas jurídicas y estructuras sin personería jurídica o similares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 se encuentran obligadas a identificar, obtener, conservar, suministrar y actualizar en el Registro Único de Beneficiarios Finales (RUB) la información solicitada en la presente Resolución:</w:t>
      </w:r>
    </w:p>
    <w:p w14:paraId="4429100D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659AB78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1. 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Sociedades y entidades nacionales con o sin ánimo de lucro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 de conformidad con lo establecido en el </w:t>
      </w:r>
      <w:hyperlink r:id="rId4" w:tooltip="Estatuto Tributario CETA" w:history="1">
        <w:r>
          <w:rPr>
            <w:rStyle w:val="Hipervnculo"/>
            <w:rFonts w:ascii="Segoe UI" w:hAnsi="Segoe UI" w:cs="Segoe UI"/>
            <w:i/>
            <w:iCs/>
            <w:color w:val="0645AD"/>
            <w:sz w:val="21"/>
            <w:szCs w:val="21"/>
          </w:rPr>
          <w:t>artículo 12-1</w:t>
        </w:r>
      </w:hyperlink>
      <w:r>
        <w:rPr>
          <w:rFonts w:ascii="Segoe UI" w:hAnsi="Segoe UI" w:cs="Segoe UI"/>
          <w:i/>
          <w:iCs/>
          <w:color w:val="000000"/>
          <w:sz w:val="21"/>
          <w:szCs w:val="21"/>
        </w:rPr>
        <w:t> del Estatuto Tributario, incluyendo aquellas cuyas acciones se encuentren inscritas o listadas en una o más bolsas de valores.</w:t>
      </w:r>
    </w:p>
    <w:p w14:paraId="6914183F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2F31A41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(...)”</w:t>
      </w:r>
      <w:r>
        <w:rPr>
          <w:rFonts w:ascii="Segoe UI" w:hAnsi="Segoe UI" w:cs="Segoe UI"/>
          <w:color w:val="000000"/>
          <w:sz w:val="21"/>
          <w:szCs w:val="21"/>
        </w:rPr>
        <w:t> (subrayado fuera de texto)</w:t>
      </w:r>
    </w:p>
    <w:p w14:paraId="034302A3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lastRenderedPageBreak/>
        <w:t> </w:t>
      </w:r>
    </w:p>
    <w:p w14:paraId="3CC8E495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 su vez, el artículo 6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ibidem</w:t>
      </w:r>
      <w:r>
        <w:rPr>
          <w:rFonts w:ascii="Segoe UI" w:hAnsi="Segoe UI" w:cs="Segoe UI"/>
          <w:color w:val="000000"/>
          <w:sz w:val="21"/>
          <w:szCs w:val="21"/>
        </w:rPr>
        <w:t> señala:</w:t>
      </w:r>
    </w:p>
    <w:p w14:paraId="01F5F8E8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45A9F6B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“</w:t>
      </w: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ARTÍCULO 6o. CRITERIOS PARA LA DETERMINACIÓN DEL BENEFICIARIO FINAL DE LAS PERSONAS JURÍDICAS.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 De acuerdo con la definición establecida en el literal a) del </w:t>
      </w:r>
      <w:hyperlink r:id="rId5" w:tooltip="Estatuto Tributario CETA" w:history="1">
        <w:r>
          <w:rPr>
            <w:rStyle w:val="Hipervnculo"/>
            <w:rFonts w:ascii="Segoe UI" w:hAnsi="Segoe UI" w:cs="Segoe UI"/>
            <w:i/>
            <w:iCs/>
            <w:color w:val="0645AD"/>
            <w:sz w:val="21"/>
            <w:szCs w:val="21"/>
          </w:rPr>
          <w:t>artículo 631-5</w:t>
        </w:r>
      </w:hyperlink>
      <w:r>
        <w:rPr>
          <w:rFonts w:ascii="Segoe UI" w:hAnsi="Segoe UI" w:cs="Segoe UI"/>
          <w:i/>
          <w:iCs/>
          <w:color w:val="000000"/>
          <w:sz w:val="21"/>
          <w:szCs w:val="21"/>
        </w:rPr>
        <w:t> del Estatuto Tributario, son beneficiarios finales de las personas jurídicas:</w:t>
      </w:r>
    </w:p>
    <w:p w14:paraId="33A29C1F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04C305A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1. La persona natural que, actuando individual o conjuntamente, sea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titular, directa o indirectamente, del cinco por ciento (5%) o más del capital o de los derechos de voto de la persona jurídica, y/o se beneficie en cinco por ciento (5%) o más de los activos, rendimientos o utilidades de la persona jurídica;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 y</w:t>
      </w:r>
    </w:p>
    <w:p w14:paraId="05E78D11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F1B8AA3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2. La persona natural que, actuando individual o conjuntamente, </w:t>
      </w:r>
      <w:r>
        <w:rPr>
          <w:rFonts w:ascii="Segoe UI" w:hAnsi="Segoe UI" w:cs="Segoe UI"/>
          <w:i/>
          <w:iCs/>
          <w:color w:val="000000"/>
          <w:sz w:val="21"/>
          <w:szCs w:val="21"/>
          <w:u w:val="single"/>
        </w:rPr>
        <w:t>ejerce control directo y/o indirecto sobre la persona jurídica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 por cualquier otro medio diferente a los establecidos en el numeral anterior del presente artículo; o</w:t>
      </w:r>
    </w:p>
    <w:p w14:paraId="7EA25FAC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363D35F2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</w:rPr>
        <w:t>(...)”</w:t>
      </w:r>
      <w:r>
        <w:rPr>
          <w:rFonts w:ascii="Segoe UI" w:hAnsi="Segoe UI" w:cs="Segoe UI"/>
          <w:color w:val="000000"/>
          <w:sz w:val="21"/>
          <w:szCs w:val="21"/>
        </w:rPr>
        <w:t> (subrayado fuera de texto)</w:t>
      </w:r>
    </w:p>
    <w:p w14:paraId="654B48B9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431C9CF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Por ende, asumiendo que la persona fallecida correspondía a un beneficiario final, en los términos de los numerales 1 o 2 del reseñado artículo 6, la persona jurídica deberá suministrar en el RUB su información, la cual habrá de actualizarse (cfr. artículo 11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ibidem</w:t>
      </w:r>
      <w:r>
        <w:rPr>
          <w:rFonts w:ascii="Segoe UI" w:hAnsi="Segoe UI" w:cs="Segoe UI"/>
          <w:color w:val="000000"/>
          <w:sz w:val="21"/>
          <w:szCs w:val="21"/>
        </w:rPr>
        <w:t>) una vez la respectiva sucesión se liquide, asumiendo que ello traiga consigo un cambio en materia de beneficiarios finales de la persona jurídica al adjudicarse las acciones a otra u otras personas naturales (herederos).</w:t>
      </w:r>
    </w:p>
    <w:p w14:paraId="5517D38E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E1BC1C2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6" w:tgtFrame="_blank" w:history="1">
        <w:r>
          <w:rPr>
            <w:rStyle w:val="Hipervnculo"/>
            <w:rFonts w:ascii="Segoe UI" w:hAnsi="Segoe UI" w:cs="Segoe UI"/>
            <w:color w:val="0645AD"/>
            <w:sz w:val="21"/>
            <w:szCs w:val="21"/>
          </w:rPr>
          <w:t>www.dian.gov.co</w:t>
        </w:r>
      </w:hyperlink>
      <w:r>
        <w:rPr>
          <w:rFonts w:ascii="Segoe UI" w:hAnsi="Segoe UI" w:cs="Segoe UI"/>
          <w:color w:val="000000"/>
          <w:sz w:val="21"/>
          <w:szCs w:val="21"/>
        </w:rPr>
        <w:t xml:space="preserve">, la base de conceptos en materia tributaria, aduanera y cambiaria expedidos desde el año 2001, la cual se puede ingresar por el icono de “Normatividad”-“Doctrina”, dando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click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en el link “Doctrina Dirección de Gestión Jurídica”.</w:t>
      </w:r>
    </w:p>
    <w:p w14:paraId="59E4FAC7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40759330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Atentamente,</w:t>
      </w:r>
    </w:p>
    <w:p w14:paraId="799C6BAE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0DBEADA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FCD4B65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ALFREDO RAMÍREZ CASTAÑEDA</w:t>
      </w:r>
    </w:p>
    <w:p w14:paraId="51D21CE3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Subdirector de Normativa y Doctrina (E)</w:t>
      </w:r>
    </w:p>
    <w:p w14:paraId="04AB027A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Dirección de Gestión Jurídica</w:t>
      </w:r>
    </w:p>
    <w:p w14:paraId="2F8AC190" w14:textId="77777777" w:rsidR="00C85ADA" w:rsidRDefault="00C85ADA" w:rsidP="00C85ADA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UAE-Dirección de Impuestos y Aduanas Nacionales</w:t>
      </w:r>
    </w:p>
    <w:p w14:paraId="1790A181" w14:textId="77777777" w:rsidR="007F5CC8" w:rsidRDefault="007F5CC8" w:rsidP="00C85ADA">
      <w:pPr>
        <w:spacing w:line="360" w:lineRule="auto"/>
      </w:pPr>
    </w:p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DA"/>
    <w:rsid w:val="000F3837"/>
    <w:rsid w:val="001E311E"/>
    <w:rsid w:val="00434AE6"/>
    <w:rsid w:val="007F5CC8"/>
    <w:rsid w:val="008779BE"/>
    <w:rsid w:val="00C85ADA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D542"/>
  <w15:chartTrackingRefBased/>
  <w15:docId w15:val="{F221BD9C-F943-437C-94D5-B6C286C8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AD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85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n.gov.co/" TargetMode="External"/><Relationship Id="rId5" Type="http://schemas.openxmlformats.org/officeDocument/2006/relationships/hyperlink" Target="https://www.ceta.org.co/html/vista_de_un_articulo.asp?Norma=42485" TargetMode="External"/><Relationship Id="rId4" Type="http://schemas.openxmlformats.org/officeDocument/2006/relationships/hyperlink" Target="https://www.ceta.org.co/html/vista_de_un_articulo.asp?Norma=2993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2023-02-12T23:45:00Z</dcterms:created>
  <dcterms:modified xsi:type="dcterms:W3CDTF">2023-02-12T23:48:00Z</dcterms:modified>
</cp:coreProperties>
</file>