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00F7" w14:textId="77777777" w:rsidR="00AB3110" w:rsidRPr="00AB3110" w:rsidRDefault="00AB3110" w:rsidP="00AB3110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595B4ED2" w14:textId="77777777" w:rsidR="00AB3110" w:rsidRPr="00AB3110" w:rsidRDefault="00AB3110" w:rsidP="00AB3110">
      <w:pPr>
        <w:spacing w:after="0" w:line="360" w:lineRule="auto"/>
        <w:jc w:val="center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b/>
          <w:bCs/>
          <w:color w:val="000000"/>
          <w:szCs w:val="24"/>
          <w:lang w:eastAsia="es-CO"/>
        </w:rPr>
        <w:t xml:space="preserve">OFICIO </w:t>
      </w:r>
      <w:proofErr w:type="spellStart"/>
      <w:r w:rsidRPr="00AB3110">
        <w:rPr>
          <w:rFonts w:eastAsia="Times New Roman" w:cs="Times New Roman"/>
          <w:b/>
          <w:bCs/>
          <w:color w:val="000000"/>
          <w:szCs w:val="24"/>
          <w:lang w:eastAsia="es-CO"/>
        </w:rPr>
        <w:t>Nº</w:t>
      </w:r>
      <w:proofErr w:type="spellEnd"/>
      <w:r w:rsidRPr="00AB3110">
        <w:rPr>
          <w:rFonts w:eastAsia="Times New Roman" w:cs="Times New Roman"/>
          <w:b/>
          <w:bCs/>
          <w:color w:val="000000"/>
          <w:szCs w:val="24"/>
          <w:lang w:eastAsia="es-CO"/>
        </w:rPr>
        <w:t xml:space="preserve"> 65 [000132]</w:t>
      </w:r>
    </w:p>
    <w:p w14:paraId="1EEBBD56" w14:textId="77777777" w:rsidR="00AB3110" w:rsidRPr="00AB3110" w:rsidRDefault="00AB3110" w:rsidP="00AB3110">
      <w:pPr>
        <w:spacing w:after="0" w:line="360" w:lineRule="auto"/>
        <w:jc w:val="center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b/>
          <w:bCs/>
          <w:color w:val="000000"/>
          <w:szCs w:val="24"/>
          <w:lang w:eastAsia="es-CO"/>
        </w:rPr>
        <w:t>13-01-2023</w:t>
      </w:r>
    </w:p>
    <w:p w14:paraId="54CB470F" w14:textId="77777777" w:rsidR="00AB3110" w:rsidRPr="00AB3110" w:rsidRDefault="00AB3110" w:rsidP="00AB3110">
      <w:pPr>
        <w:spacing w:after="0" w:line="360" w:lineRule="auto"/>
        <w:jc w:val="center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b/>
          <w:bCs/>
          <w:color w:val="000000"/>
          <w:szCs w:val="24"/>
          <w:lang w:eastAsia="es-CO"/>
        </w:rPr>
        <w:t>DIAN</w:t>
      </w:r>
    </w:p>
    <w:p w14:paraId="1571FAD8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50B0F5A0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2FCBEE11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100208192-65</w:t>
      </w:r>
    </w:p>
    <w:p w14:paraId="3D78CE14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Bogotá, D.C.,</w:t>
      </w:r>
    </w:p>
    <w:p w14:paraId="5E86AF2E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6FFB5059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Cordial saludo,</w:t>
      </w:r>
    </w:p>
    <w:p w14:paraId="174661F7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02290F7C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De conformidad con el artículo 56 del Decreto 1742 de 2020,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7C43B7D9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4CF0FBB1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Mediante el radicado de la referencia, el peticionario consulta:</w:t>
      </w:r>
    </w:p>
    <w:p w14:paraId="53F48972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6749B394" w14:textId="77777777" w:rsidR="00AB3110" w:rsidRPr="00AB3110" w:rsidRDefault="00AB3110" w:rsidP="00AB3110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i/>
          <w:iCs/>
          <w:color w:val="000000"/>
          <w:szCs w:val="24"/>
          <w:lang w:eastAsia="es-CO"/>
        </w:rPr>
        <w:t>“En la empresa estamos próximos a importar unos </w:t>
      </w:r>
      <w:r w:rsidRPr="00AB3110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>ascensores con sello de eficiencia energética tipo A,</w:t>
      </w:r>
      <w:r w:rsidRPr="00AB3110">
        <w:rPr>
          <w:rFonts w:eastAsia="Times New Roman" w:cs="Times New Roman"/>
          <w:i/>
          <w:iCs/>
          <w:color w:val="000000"/>
          <w:szCs w:val="24"/>
          <w:lang w:eastAsia="es-CO"/>
        </w:rPr>
        <w:t> mi consulta va entorno a que si realizamos la solicitud con los formatos al ingresar los ascensores a territorio nacional </w:t>
      </w:r>
      <w:r w:rsidRPr="00AB3110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>estaríamos exentos del pago de arancel de los equipos o este beneficio también se vería reflejado en la declaración de renta del siguiente año gravable del cliente</w:t>
      </w:r>
      <w:r w:rsidRPr="00AB3110">
        <w:rPr>
          <w:rFonts w:eastAsia="Times New Roman" w:cs="Times New Roman"/>
          <w:i/>
          <w:iCs/>
          <w:color w:val="000000"/>
          <w:szCs w:val="24"/>
          <w:lang w:eastAsia="es-CO"/>
        </w:rPr>
        <w:t>.”</w:t>
      </w:r>
      <w:r w:rsidRPr="00AB3110">
        <w:rPr>
          <w:rFonts w:eastAsia="Times New Roman" w:cs="Times New Roman"/>
          <w:color w:val="000000"/>
          <w:szCs w:val="24"/>
          <w:lang w:eastAsia="es-CO"/>
        </w:rPr>
        <w:t> (subrayado fuera de texto)</w:t>
      </w:r>
    </w:p>
    <w:p w14:paraId="117B1474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39CC57E5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Sobre el particular, las consideraciones de este Despacho son las siguientes:</w:t>
      </w:r>
    </w:p>
    <w:p w14:paraId="6F54B70B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1FFF0C72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La Ley 1715 de 2014 establece, además de la exclusión del IVA, los siguientes beneficios:</w:t>
      </w:r>
    </w:p>
    <w:p w14:paraId="168D372D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541BC536" w14:textId="5DED8084" w:rsidR="00AB3110" w:rsidRPr="00AB3110" w:rsidRDefault="00AB3110" w:rsidP="00AB3110">
      <w:pPr>
        <w:numPr>
          <w:ilvl w:val="0"/>
          <w:numId w:val="3"/>
        </w:numPr>
        <w:spacing w:before="100" w:beforeAutospacing="1" w:after="100" w:afterAutospacing="1" w:line="360" w:lineRule="auto"/>
        <w:ind w:left="1080" w:firstLine="0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La exención del pago de los derechos arancelarios por la </w:t>
      </w:r>
      <w:r w:rsidRPr="00AB3110">
        <w:rPr>
          <w:rFonts w:eastAsia="Times New Roman" w:cs="Times New Roman"/>
          <w:i/>
          <w:iCs/>
          <w:color w:val="000000"/>
          <w:szCs w:val="24"/>
          <w:lang w:eastAsia="es-CO"/>
        </w:rPr>
        <w:t>“importación de maquinaria, equipos, materiales e insumos destinados exclusivamente para labores de reinversión y de inversión”</w:t>
      </w:r>
      <w:r w:rsidRPr="00AB3110">
        <w:rPr>
          <w:rFonts w:eastAsia="Times New Roman" w:cs="Times New Roman"/>
          <w:color w:val="000000"/>
          <w:szCs w:val="24"/>
          <w:lang w:eastAsia="es-CO"/>
        </w:rPr>
        <w:t> en proyectos de fuentes no convencionales de energía (FNCE) y medición y evaluación de los potenciales recursos o acciones y medidas de eficiencia energética, incluyendo los equipos de medición inteligente, en el marco del Programa de Uso Racional y Eficiente de Energía y Fuentes No Convencionales (</w:t>
      </w:r>
      <w:proofErr w:type="spellStart"/>
      <w:r w:rsidRPr="00AB3110">
        <w:rPr>
          <w:rFonts w:eastAsia="Times New Roman" w:cs="Times New Roman"/>
          <w:color w:val="000000"/>
          <w:szCs w:val="24"/>
          <w:lang w:eastAsia="es-CO"/>
        </w:rPr>
        <w:t>Proure</w:t>
      </w:r>
      <w:proofErr w:type="spellEnd"/>
      <w:r w:rsidRPr="00AB3110">
        <w:rPr>
          <w:rFonts w:eastAsia="Times New Roman" w:cs="Times New Roman"/>
          <w:color w:val="000000"/>
          <w:szCs w:val="24"/>
          <w:lang w:eastAsia="es-CO"/>
        </w:rPr>
        <w:t>) (cfr. artículo 13).</w:t>
      </w:r>
    </w:p>
    <w:p w14:paraId="48698587" w14:textId="77777777" w:rsidR="00AB3110" w:rsidRPr="00AB3110" w:rsidRDefault="00AB3110" w:rsidP="00AB3110">
      <w:pPr>
        <w:numPr>
          <w:ilvl w:val="0"/>
          <w:numId w:val="4"/>
        </w:numPr>
        <w:spacing w:before="100" w:beforeAutospacing="1" w:after="100" w:afterAutospacing="1" w:line="360" w:lineRule="auto"/>
        <w:ind w:left="1080" w:firstLine="0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lastRenderedPageBreak/>
        <w:t>Una deducción especial, para efectos del impuesto sobre la renta, equivalente al 50% de la inversión realizada </w:t>
      </w:r>
      <w:r w:rsidRPr="00AB3110">
        <w:rPr>
          <w:rFonts w:eastAsia="Times New Roman" w:cs="Times New Roman"/>
          <w:i/>
          <w:iCs/>
          <w:color w:val="000000"/>
          <w:szCs w:val="24"/>
          <w:lang w:eastAsia="es-CO"/>
        </w:rPr>
        <w:t>“en el ámbito de la producción de energía con fuentes no convencionales de energía (FNCE) y de la gestión eficiente de la energía, incluyendo la medición inteligente”</w:t>
      </w:r>
      <w:r w:rsidRPr="00AB3110">
        <w:rPr>
          <w:rFonts w:eastAsia="Times New Roman" w:cs="Times New Roman"/>
          <w:color w:val="000000"/>
          <w:szCs w:val="24"/>
          <w:lang w:eastAsia="es-CO"/>
        </w:rPr>
        <w:t> (cfr. artículo 11).</w:t>
      </w:r>
    </w:p>
    <w:p w14:paraId="13346EE0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5D8E5141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A la par, la posibilidad de depreciar, de manera acelerada, </w:t>
      </w:r>
      <w:r w:rsidRPr="00AB3110">
        <w:rPr>
          <w:rFonts w:eastAsia="Times New Roman" w:cs="Times New Roman"/>
          <w:i/>
          <w:iCs/>
          <w:color w:val="000000"/>
          <w:szCs w:val="24"/>
          <w:lang w:eastAsia="es-CO"/>
        </w:rPr>
        <w:t xml:space="preserve">“las maquinarias, equipos y obras civiles necesarias para la </w:t>
      </w:r>
      <w:proofErr w:type="spellStart"/>
      <w:r w:rsidRPr="00AB3110">
        <w:rPr>
          <w:rFonts w:eastAsia="Times New Roman" w:cs="Times New Roman"/>
          <w:i/>
          <w:iCs/>
          <w:color w:val="000000"/>
          <w:szCs w:val="24"/>
          <w:lang w:eastAsia="es-CO"/>
        </w:rPr>
        <w:t>preinversión</w:t>
      </w:r>
      <w:proofErr w:type="spellEnd"/>
      <w:r w:rsidRPr="00AB3110">
        <w:rPr>
          <w:rFonts w:eastAsia="Times New Roman" w:cs="Times New Roman"/>
          <w:i/>
          <w:iCs/>
          <w:color w:val="000000"/>
          <w:szCs w:val="24"/>
          <w:lang w:eastAsia="es-CO"/>
        </w:rPr>
        <w:t>, inversión y operación de los proyectos de generación con fuentes no convencionales de energía (FNCE), así como para la medición y evaluación de los potenciales recursos y para acciones o medidas de gestión eficiente de la energía, incluyendo los equipos de medición inteligente, que sean adquiridos y/o construidos, exclusivamente para estos fines”</w:t>
      </w:r>
      <w:r w:rsidRPr="00AB3110">
        <w:rPr>
          <w:rFonts w:eastAsia="Times New Roman" w:cs="Times New Roman"/>
          <w:color w:val="000000"/>
          <w:szCs w:val="24"/>
          <w:lang w:eastAsia="es-CO"/>
        </w:rPr>
        <w:t> (cfr. artículo 14).</w:t>
      </w:r>
    </w:p>
    <w:p w14:paraId="37D00833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42D76159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Siempre y cuando el importador / contribuyente cumpla los requisitos establecidos en la Ley 1715 de 2014 y su reglamentación, éste podrá acceder tanto a la exención del pago de los derechos arancelarios como a la deducción especial y depreciación acelerada en el ámbito del impuesto sobre la renta.</w:t>
      </w:r>
    </w:p>
    <w:p w14:paraId="5BBE5E7C" w14:textId="77777777" w:rsidR="00AB3110" w:rsidRPr="00AB3110" w:rsidRDefault="00AB3110" w:rsidP="00AB3110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AB3110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693DA85E" w14:textId="77777777" w:rsidR="00AB3110" w:rsidRPr="00AB3110" w:rsidRDefault="00AB3110" w:rsidP="00AB3110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218B31F1" w14:textId="7B683EC9" w:rsidR="00AB3110" w:rsidRPr="00AB3110" w:rsidRDefault="00AB3110" w:rsidP="00AB3110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AB3110">
        <w:rPr>
          <w:color w:val="000000"/>
        </w:rPr>
        <w:t>Atentamente,</w:t>
      </w:r>
    </w:p>
    <w:p w14:paraId="7407A00C" w14:textId="77777777" w:rsidR="00AB3110" w:rsidRPr="00AB3110" w:rsidRDefault="00AB3110" w:rsidP="00AB3110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AB3110">
        <w:rPr>
          <w:color w:val="000000"/>
        </w:rPr>
        <w:t> </w:t>
      </w:r>
    </w:p>
    <w:p w14:paraId="6393EF1B" w14:textId="77777777" w:rsidR="00AB3110" w:rsidRPr="00AB3110" w:rsidRDefault="00AB3110" w:rsidP="00AB3110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AB3110">
        <w:rPr>
          <w:color w:val="000000"/>
        </w:rPr>
        <w:t> </w:t>
      </w:r>
    </w:p>
    <w:p w14:paraId="3D48DDAA" w14:textId="77777777" w:rsidR="00AB3110" w:rsidRPr="00AB3110" w:rsidRDefault="00AB3110" w:rsidP="00AB3110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AB3110">
        <w:rPr>
          <w:b/>
          <w:bCs/>
          <w:color w:val="000000"/>
        </w:rPr>
        <w:t>ALFREDO RAMÍREZ CASTAÑEDA</w:t>
      </w:r>
    </w:p>
    <w:p w14:paraId="2F6C8A17" w14:textId="77777777" w:rsidR="00AB3110" w:rsidRPr="00AB3110" w:rsidRDefault="00AB3110" w:rsidP="00AB3110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AB3110">
        <w:rPr>
          <w:color w:val="000000"/>
        </w:rPr>
        <w:t>Subdirector de Normativa y Doctrina (E)</w:t>
      </w:r>
    </w:p>
    <w:p w14:paraId="71FA6B32" w14:textId="77777777" w:rsidR="00AB3110" w:rsidRPr="00AB3110" w:rsidRDefault="00AB3110" w:rsidP="00AB3110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AB3110">
        <w:rPr>
          <w:color w:val="000000"/>
        </w:rPr>
        <w:t>Dirección de Gestión Jurídica</w:t>
      </w:r>
    </w:p>
    <w:p w14:paraId="2EEF4B03" w14:textId="77777777" w:rsidR="00AB3110" w:rsidRPr="00AB3110" w:rsidRDefault="00AB3110" w:rsidP="00AB3110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AB3110">
        <w:rPr>
          <w:color w:val="000000"/>
        </w:rPr>
        <w:t>UAE-Dirección de Impuestos y Aduanas Nacionales</w:t>
      </w:r>
    </w:p>
    <w:p w14:paraId="29546742" w14:textId="77777777" w:rsidR="007F5CC8" w:rsidRPr="00AB3110" w:rsidRDefault="007F5CC8" w:rsidP="00AB3110">
      <w:pPr>
        <w:spacing w:line="360" w:lineRule="auto"/>
        <w:rPr>
          <w:rFonts w:cs="Times New Roman"/>
          <w:szCs w:val="24"/>
        </w:rPr>
      </w:pPr>
    </w:p>
    <w:sectPr w:rsidR="007F5CC8" w:rsidRPr="00AB3110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3365"/>
    <w:multiLevelType w:val="multilevel"/>
    <w:tmpl w:val="BDA4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5870F1"/>
    <w:multiLevelType w:val="multilevel"/>
    <w:tmpl w:val="547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457049"/>
    <w:multiLevelType w:val="multilevel"/>
    <w:tmpl w:val="D590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4C14EC"/>
    <w:multiLevelType w:val="multilevel"/>
    <w:tmpl w:val="ACE0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4011774">
    <w:abstractNumId w:val="2"/>
    <w:lvlOverride w:ilvl="0">
      <w:startOverride w:val="1"/>
    </w:lvlOverride>
  </w:num>
  <w:num w:numId="2" w16cid:durableId="158618047">
    <w:abstractNumId w:val="1"/>
    <w:lvlOverride w:ilvl="0">
      <w:startOverride w:val="2"/>
    </w:lvlOverride>
  </w:num>
  <w:num w:numId="3" w16cid:durableId="1264994826">
    <w:abstractNumId w:val="3"/>
    <w:lvlOverride w:ilvl="0">
      <w:startOverride w:val="1"/>
    </w:lvlOverride>
  </w:num>
  <w:num w:numId="4" w16cid:durableId="1306815096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10"/>
    <w:rsid w:val="000F3837"/>
    <w:rsid w:val="001E311E"/>
    <w:rsid w:val="00434AE6"/>
    <w:rsid w:val="007F5CC8"/>
    <w:rsid w:val="008779BE"/>
    <w:rsid w:val="00AB3110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153D"/>
  <w15:chartTrackingRefBased/>
  <w15:docId w15:val="{7CE8236B-DDC2-4D3E-8816-B29DBA21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11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2023-02-12T23:27:00Z</dcterms:created>
  <dcterms:modified xsi:type="dcterms:W3CDTF">2023-02-12T23:32:00Z</dcterms:modified>
</cp:coreProperties>
</file>