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07AD" w14:textId="57E43C43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05B118DE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6B2ABAE0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0FA518AB" w14:textId="77777777" w:rsidR="005E0992" w:rsidRPr="005E0992" w:rsidRDefault="005E0992" w:rsidP="005E0992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b/>
          <w:bCs/>
          <w:color w:val="000000"/>
          <w:szCs w:val="24"/>
          <w:lang w:eastAsia="es-CO"/>
        </w:rPr>
        <w:t xml:space="preserve">OFICIO </w:t>
      </w:r>
      <w:proofErr w:type="spellStart"/>
      <w:r w:rsidRPr="005E0992">
        <w:rPr>
          <w:rFonts w:eastAsia="Times New Roman" w:cs="Times New Roman"/>
          <w:b/>
          <w:bCs/>
          <w:color w:val="000000"/>
          <w:szCs w:val="24"/>
          <w:lang w:eastAsia="es-CO"/>
        </w:rPr>
        <w:t>Nº</w:t>
      </w:r>
      <w:proofErr w:type="spellEnd"/>
      <w:r w:rsidRPr="005E0992">
        <w:rPr>
          <w:rFonts w:eastAsia="Times New Roman" w:cs="Times New Roman"/>
          <w:b/>
          <w:bCs/>
          <w:color w:val="000000"/>
          <w:szCs w:val="24"/>
          <w:lang w:eastAsia="es-CO"/>
        </w:rPr>
        <w:t xml:space="preserve"> 57 [000119]</w:t>
      </w:r>
    </w:p>
    <w:p w14:paraId="4BB00DFF" w14:textId="77777777" w:rsidR="005E0992" w:rsidRPr="005E0992" w:rsidRDefault="005E0992" w:rsidP="005E0992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b/>
          <w:bCs/>
          <w:color w:val="000000"/>
          <w:szCs w:val="24"/>
          <w:lang w:eastAsia="es-CO"/>
        </w:rPr>
        <w:t>12-01-2023</w:t>
      </w:r>
    </w:p>
    <w:p w14:paraId="3C15D11E" w14:textId="77777777" w:rsidR="005E0992" w:rsidRPr="005E0992" w:rsidRDefault="005E0992" w:rsidP="005E0992">
      <w:pPr>
        <w:spacing w:after="0" w:line="360" w:lineRule="auto"/>
        <w:jc w:val="center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b/>
          <w:bCs/>
          <w:color w:val="000000"/>
          <w:szCs w:val="24"/>
          <w:lang w:eastAsia="es-CO"/>
        </w:rPr>
        <w:t>DIAN</w:t>
      </w:r>
    </w:p>
    <w:p w14:paraId="2C0451CD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CC30083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FF76FAB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100208192-57</w:t>
      </w:r>
    </w:p>
    <w:p w14:paraId="7283B0EF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Bogotá, D.C.,</w:t>
      </w:r>
    </w:p>
    <w:p w14:paraId="4127BB68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C4D64EA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b/>
          <w:bCs/>
          <w:color w:val="000000"/>
          <w:szCs w:val="24"/>
          <w:lang w:eastAsia="es-CO"/>
        </w:rPr>
        <w:t>Ref.:</w:t>
      </w:r>
      <w:r w:rsidRPr="005E0992">
        <w:rPr>
          <w:rFonts w:eastAsia="Times New Roman" w:cs="Times New Roman"/>
          <w:color w:val="000000"/>
          <w:szCs w:val="24"/>
          <w:lang w:eastAsia="es-CO"/>
        </w:rPr>
        <w:t xml:space="preserve"> Radicados </w:t>
      </w:r>
      <w:proofErr w:type="spellStart"/>
      <w:r w:rsidRPr="005E0992">
        <w:rPr>
          <w:rFonts w:eastAsia="Times New Roman" w:cs="Times New Roman"/>
          <w:color w:val="000000"/>
          <w:szCs w:val="24"/>
          <w:lang w:eastAsia="es-CO"/>
        </w:rPr>
        <w:t>N°</w:t>
      </w:r>
      <w:proofErr w:type="spellEnd"/>
      <w:r w:rsidRPr="005E0992">
        <w:rPr>
          <w:rFonts w:eastAsia="Times New Roman" w:cs="Times New Roman"/>
          <w:color w:val="000000"/>
          <w:szCs w:val="24"/>
          <w:lang w:eastAsia="es-CO"/>
        </w:rPr>
        <w:t xml:space="preserve"> 001402-100126476 del 22/09/2022 y 100149584 del 09/11/2022</w:t>
      </w:r>
    </w:p>
    <w:p w14:paraId="30254092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5172"/>
      </w:tblGrid>
      <w:tr w:rsidR="005E0992" w:rsidRPr="005E0992" w14:paraId="23194659" w14:textId="77777777" w:rsidTr="005E0992"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2AF988" w14:textId="77777777" w:rsidR="005E0992" w:rsidRPr="005E0992" w:rsidRDefault="005E0992" w:rsidP="005E099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0992">
              <w:rPr>
                <w:rFonts w:eastAsia="Times New Roman" w:cs="Times New Roman"/>
                <w:b/>
                <w:bCs/>
                <w:szCs w:val="24"/>
                <w:lang w:eastAsia="es-CO"/>
              </w:rPr>
              <w:t>Tema: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B39DBD" w14:textId="77777777" w:rsidR="005E0992" w:rsidRPr="005E0992" w:rsidRDefault="005E0992" w:rsidP="005E099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0992">
              <w:rPr>
                <w:rFonts w:eastAsia="Times New Roman" w:cs="Times New Roman"/>
                <w:szCs w:val="24"/>
                <w:lang w:eastAsia="es-CO"/>
              </w:rPr>
              <w:t>Impuesto sobre la renta y complementarios</w:t>
            </w:r>
          </w:p>
          <w:p w14:paraId="24B73281" w14:textId="77777777" w:rsidR="005E0992" w:rsidRPr="005E0992" w:rsidRDefault="005E0992" w:rsidP="005E099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0992">
              <w:rPr>
                <w:rFonts w:eastAsia="Times New Roman" w:cs="Times New Roman"/>
                <w:szCs w:val="24"/>
                <w:lang w:eastAsia="es-CO"/>
              </w:rPr>
              <w:t>Procedimiento tributario</w:t>
            </w:r>
          </w:p>
        </w:tc>
      </w:tr>
      <w:tr w:rsidR="005E0992" w:rsidRPr="005E0992" w14:paraId="2D713B92" w14:textId="77777777" w:rsidTr="005E0992"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AC82C0" w14:textId="77777777" w:rsidR="005E0992" w:rsidRPr="005E0992" w:rsidRDefault="005E0992" w:rsidP="005E099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0992">
              <w:rPr>
                <w:rFonts w:eastAsia="Times New Roman" w:cs="Times New Roman"/>
                <w:b/>
                <w:bCs/>
                <w:szCs w:val="24"/>
                <w:lang w:eastAsia="es-CO"/>
              </w:rPr>
              <w:t>Descriptores: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20BEFD" w14:textId="77777777" w:rsidR="005E0992" w:rsidRPr="005E0992" w:rsidRDefault="005E0992" w:rsidP="005E099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0992">
              <w:rPr>
                <w:rFonts w:eastAsia="Times New Roman" w:cs="Times New Roman"/>
                <w:szCs w:val="24"/>
                <w:lang w:eastAsia="es-CO"/>
              </w:rPr>
              <w:t>Deducciones</w:t>
            </w:r>
          </w:p>
          <w:p w14:paraId="374BD570" w14:textId="77777777" w:rsidR="005E0992" w:rsidRPr="005E0992" w:rsidRDefault="005E0992" w:rsidP="005E099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0992">
              <w:rPr>
                <w:rFonts w:eastAsia="Times New Roman" w:cs="Times New Roman"/>
                <w:szCs w:val="24"/>
                <w:lang w:eastAsia="es-CO"/>
              </w:rPr>
              <w:t>Retención en la fuente</w:t>
            </w:r>
          </w:p>
          <w:p w14:paraId="7348083F" w14:textId="77777777" w:rsidR="005E0992" w:rsidRPr="005E0992" w:rsidRDefault="005E0992" w:rsidP="005E099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0992">
              <w:rPr>
                <w:rFonts w:eastAsia="Times New Roman" w:cs="Times New Roman"/>
                <w:szCs w:val="24"/>
                <w:lang w:eastAsia="es-CO"/>
              </w:rPr>
              <w:t>Autorretenedores</w:t>
            </w:r>
          </w:p>
        </w:tc>
      </w:tr>
      <w:tr w:rsidR="005E0992" w:rsidRPr="005E0992" w14:paraId="7AD7244A" w14:textId="77777777" w:rsidTr="005E0992"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070C0E" w14:textId="77777777" w:rsidR="005E0992" w:rsidRPr="005E0992" w:rsidRDefault="005E0992" w:rsidP="005E099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0992">
              <w:rPr>
                <w:rFonts w:eastAsia="Times New Roman" w:cs="Times New Roman"/>
                <w:b/>
                <w:bCs/>
                <w:szCs w:val="24"/>
                <w:lang w:eastAsia="es-CO"/>
              </w:rPr>
              <w:t>Fuentes formales: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6661E1" w14:textId="77777777" w:rsidR="005E0992" w:rsidRPr="005E0992" w:rsidRDefault="005E0992" w:rsidP="005E099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0992">
              <w:rPr>
                <w:rFonts w:eastAsia="Times New Roman" w:cs="Times New Roman"/>
                <w:szCs w:val="24"/>
                <w:lang w:eastAsia="es-CO"/>
              </w:rPr>
              <w:t>Artículos 40 y 41 de la Ley 300 de 1996</w:t>
            </w:r>
          </w:p>
          <w:p w14:paraId="23C5EB0D" w14:textId="77777777" w:rsidR="005E0992" w:rsidRPr="005E0992" w:rsidRDefault="005E0992" w:rsidP="005E0992">
            <w:pPr>
              <w:spacing w:after="0" w:line="360" w:lineRule="auto"/>
              <w:jc w:val="both"/>
              <w:rPr>
                <w:rFonts w:eastAsia="Times New Roman" w:cs="Times New Roman"/>
                <w:szCs w:val="24"/>
                <w:lang w:eastAsia="es-CO"/>
              </w:rPr>
            </w:pPr>
            <w:r w:rsidRPr="005E0992">
              <w:rPr>
                <w:rFonts w:eastAsia="Times New Roman" w:cs="Times New Roman"/>
                <w:szCs w:val="24"/>
                <w:lang w:eastAsia="es-CO"/>
              </w:rPr>
              <w:t>Artículos </w:t>
            </w:r>
            <w:hyperlink r:id="rId4" w:tooltip="Estatuto Tributario CETA" w:history="1">
              <w:r w:rsidRPr="005E0992">
                <w:rPr>
                  <w:rFonts w:eastAsia="Times New Roman" w:cs="Times New Roman"/>
                  <w:color w:val="0645AD"/>
                  <w:szCs w:val="24"/>
                  <w:u w:val="single"/>
                  <w:lang w:eastAsia="es-CO"/>
                </w:rPr>
                <w:t>26</w:t>
              </w:r>
            </w:hyperlink>
            <w:r w:rsidRPr="005E0992">
              <w:rPr>
                <w:rFonts w:eastAsia="Times New Roman" w:cs="Times New Roman"/>
                <w:szCs w:val="24"/>
                <w:lang w:eastAsia="es-CO"/>
              </w:rPr>
              <w:t>, </w:t>
            </w:r>
            <w:hyperlink r:id="rId5" w:tooltip="Estatuto Tributario CETA" w:history="1">
              <w:r w:rsidRPr="005E0992">
                <w:rPr>
                  <w:rFonts w:eastAsia="Times New Roman" w:cs="Times New Roman"/>
                  <w:color w:val="0645AD"/>
                  <w:szCs w:val="24"/>
                  <w:u w:val="single"/>
                  <w:lang w:eastAsia="es-CO"/>
                </w:rPr>
                <w:t>115</w:t>
              </w:r>
            </w:hyperlink>
            <w:r w:rsidRPr="005E0992">
              <w:rPr>
                <w:rFonts w:eastAsia="Times New Roman" w:cs="Times New Roman"/>
                <w:szCs w:val="24"/>
                <w:lang w:eastAsia="es-CO"/>
              </w:rPr>
              <w:t>, </w:t>
            </w:r>
            <w:hyperlink r:id="rId6" w:tooltip="Estatuto Tributario CETA" w:history="1">
              <w:r w:rsidRPr="005E0992">
                <w:rPr>
                  <w:rFonts w:eastAsia="Times New Roman" w:cs="Times New Roman"/>
                  <w:color w:val="0645AD"/>
                  <w:szCs w:val="24"/>
                  <w:u w:val="single"/>
                  <w:lang w:eastAsia="es-CO"/>
                </w:rPr>
                <w:t>240</w:t>
              </w:r>
            </w:hyperlink>
            <w:r w:rsidRPr="005E0992">
              <w:rPr>
                <w:rFonts w:eastAsia="Times New Roman" w:cs="Times New Roman"/>
                <w:szCs w:val="24"/>
                <w:lang w:eastAsia="es-CO"/>
              </w:rPr>
              <w:t>, </w:t>
            </w:r>
            <w:hyperlink r:id="rId7" w:tooltip="Estatuto Tributario CETA" w:history="1">
              <w:r w:rsidRPr="005E0992">
                <w:rPr>
                  <w:rFonts w:eastAsia="Times New Roman" w:cs="Times New Roman"/>
                  <w:color w:val="0645AD"/>
                  <w:szCs w:val="24"/>
                  <w:u w:val="single"/>
                  <w:lang w:eastAsia="es-CO"/>
                </w:rPr>
                <w:t>365</w:t>
              </w:r>
            </w:hyperlink>
            <w:r w:rsidRPr="005E0992">
              <w:rPr>
                <w:rFonts w:eastAsia="Times New Roman" w:cs="Times New Roman"/>
                <w:szCs w:val="24"/>
                <w:lang w:eastAsia="es-CO"/>
              </w:rPr>
              <w:t>, </w:t>
            </w:r>
            <w:hyperlink r:id="rId8" w:tooltip="Estatuto Tributario CETA" w:history="1">
              <w:r w:rsidRPr="005E0992">
                <w:rPr>
                  <w:rFonts w:eastAsia="Times New Roman" w:cs="Times New Roman"/>
                  <w:color w:val="0645AD"/>
                  <w:szCs w:val="24"/>
                  <w:u w:val="single"/>
                  <w:lang w:eastAsia="es-CO"/>
                </w:rPr>
                <w:t>367</w:t>
              </w:r>
            </w:hyperlink>
            <w:r w:rsidRPr="005E0992">
              <w:rPr>
                <w:rFonts w:eastAsia="Times New Roman" w:cs="Times New Roman"/>
                <w:szCs w:val="24"/>
                <w:lang w:eastAsia="es-CO"/>
              </w:rPr>
              <w:t> y </w:t>
            </w:r>
            <w:hyperlink r:id="rId9" w:tooltip="Estatuto Tributario CETA" w:history="1">
              <w:r w:rsidRPr="005E0992">
                <w:rPr>
                  <w:rFonts w:eastAsia="Times New Roman" w:cs="Times New Roman"/>
                  <w:color w:val="0645AD"/>
                  <w:szCs w:val="24"/>
                  <w:u w:val="single"/>
                  <w:lang w:eastAsia="es-CO"/>
                </w:rPr>
                <w:t>369</w:t>
              </w:r>
            </w:hyperlink>
            <w:r w:rsidRPr="005E0992">
              <w:rPr>
                <w:rFonts w:eastAsia="Times New Roman" w:cs="Times New Roman"/>
                <w:szCs w:val="24"/>
                <w:lang w:eastAsia="es-CO"/>
              </w:rPr>
              <w:t> del Estatuto Tributario.</w:t>
            </w:r>
          </w:p>
        </w:tc>
      </w:tr>
    </w:tbl>
    <w:p w14:paraId="2A983188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BB0F19E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E32119E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Cordial saludo</w:t>
      </w:r>
    </w:p>
    <w:p w14:paraId="21DA9E5C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AF9FF98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43CF51B2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37DED96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Mediante el radicado de la referencia, el peticionario plantea unos interrogantes relacionados con la contribución parafiscal para la promoción del turismo y el tratamiento tributario de las rentas obtenidas por la prestación de servicios en hoteles nuevos, los cuales se resolverán cada uno a su turno.</w:t>
      </w:r>
    </w:p>
    <w:p w14:paraId="111057C1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B034CCC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1. “Me puedo descontar de renta en (sic) el pago total y/o parcial de la contribución (como gasto o como descuento tributario)?</w:t>
      </w:r>
    </w:p>
    <w:p w14:paraId="08A6051B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lastRenderedPageBreak/>
        <w:t> </w:t>
      </w:r>
    </w:p>
    <w:p w14:paraId="641E8BDD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En caso afirmativo (...) puedo descontar el pago de dicha contribución en renta si el contribuyente cumple con lo establecido en el decreto 1652 del 6 de diciembre del año 2.021 respecto a hoteles nuevos con renta al 9%?”</w:t>
      </w:r>
    </w:p>
    <w:p w14:paraId="02E879D3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B9653A5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La contribución parafiscal para el turismo, de que tratan los artículos 40 y 41 de la Ley 300 de 1996, en la medida que corresponde a un tributo, es deducible en los términos del </w:t>
      </w:r>
      <w:hyperlink r:id="rId10" w:tooltip="Estatuto Tributario CETA" w:history="1">
        <w:r w:rsidRPr="005E0992">
          <w:rPr>
            <w:rFonts w:eastAsia="Times New Roman" w:cs="Times New Roman"/>
            <w:color w:val="0645AD"/>
            <w:szCs w:val="24"/>
            <w:u w:val="single"/>
            <w:lang w:eastAsia="es-CO"/>
          </w:rPr>
          <w:t>artículo 115</w:t>
        </w:r>
      </w:hyperlink>
      <w:r w:rsidRPr="005E0992">
        <w:rPr>
          <w:rFonts w:eastAsia="Times New Roman" w:cs="Times New Roman"/>
          <w:color w:val="000000"/>
          <w:szCs w:val="24"/>
          <w:lang w:eastAsia="es-CO"/>
        </w:rPr>
        <w:t> del Estatuto Tributario, el cual señala:</w:t>
      </w:r>
    </w:p>
    <w:p w14:paraId="41139911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7E3ED88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“</w:t>
      </w:r>
      <w:hyperlink r:id="rId11" w:tooltip="Estatuto Tributario CETA" w:history="1">
        <w:r w:rsidRPr="005E0992">
          <w:rPr>
            <w:rFonts w:eastAsia="Times New Roman" w:cs="Times New Roman"/>
            <w:b/>
            <w:bCs/>
            <w:i/>
            <w:iCs/>
            <w:color w:val="0645AD"/>
            <w:szCs w:val="24"/>
            <w:u w:val="single"/>
            <w:lang w:eastAsia="es-CO"/>
          </w:rPr>
          <w:t>ARTÍCULO 115</w:t>
        </w:r>
      </w:hyperlink>
      <w:r w:rsidRPr="005E099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. DEDUCCIÓN DE IMPUESTOS PAGADOS Y OTROS.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 &lt;Artículo modificado por el artículo 19 de la Ley 2277 de 2022. El nuevo texto es el siguiente:&gt; Es deducible el cien por ciento (100%) de los impuestos, tasas y </w:t>
      </w:r>
      <w:r w:rsidRPr="005E099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contribuciones, que efectivamente se hayan pagado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 durante el año o período gravable por parte del contribuyente, que </w:t>
      </w:r>
      <w:r w:rsidRPr="005E099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tengan relación de causalidad con su actividad económica,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 con excepción del impuesto sobre la renta y complementarios.</w:t>
      </w:r>
    </w:p>
    <w:p w14:paraId="6E1C3167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AA022B2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(...)</w:t>
      </w:r>
    </w:p>
    <w:p w14:paraId="7C5FDE40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4DE4A6B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Las deducciones de que trata el presente artículo </w:t>
      </w:r>
      <w:r w:rsidRPr="005E099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en ningún caso podrán tratarse simultáneamente como costo y gasto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 de la respectiva empresa.</w:t>
      </w:r>
    </w:p>
    <w:p w14:paraId="5ED9A670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ED30009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(...)”</w:t>
      </w:r>
      <w:r w:rsidRPr="005E0992">
        <w:rPr>
          <w:rFonts w:eastAsia="Times New Roman" w:cs="Times New Roman"/>
          <w:color w:val="000000"/>
          <w:szCs w:val="24"/>
          <w:lang w:eastAsia="es-CO"/>
        </w:rPr>
        <w:t> (subrayado fuera de texto)</w:t>
      </w:r>
    </w:p>
    <w:p w14:paraId="5FB541F1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7AFB13D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Dicha deducción no se ve alterada por el hecho de que el contribuyente obtenga rentas provenientes de los servicios hoteleros prestados en nuevos hoteles, gravadas a la tarifa del 9% a título del impuesto sobre la renta y complementarios en los términos del parágrafo 5° del </w:t>
      </w:r>
      <w:hyperlink r:id="rId12" w:tooltip="Estatuto Tributario CETA" w:history="1">
        <w:r w:rsidRPr="005E0992">
          <w:rPr>
            <w:rFonts w:eastAsia="Times New Roman" w:cs="Times New Roman"/>
            <w:color w:val="0645AD"/>
            <w:szCs w:val="24"/>
            <w:u w:val="single"/>
            <w:lang w:eastAsia="es-CO"/>
          </w:rPr>
          <w:t>artículo 240</w:t>
        </w:r>
      </w:hyperlink>
      <w:r w:rsidRPr="005E0992">
        <w:rPr>
          <w:rFonts w:eastAsia="Times New Roman" w:cs="Times New Roman"/>
          <w:color w:val="000000"/>
          <w:szCs w:val="24"/>
          <w:lang w:eastAsia="es-CO"/>
        </w:rPr>
        <w:t> del Estatuto Tributario (previo a su modificación por el artículo 10 de la Ley 2277 de 2022).</w:t>
      </w:r>
    </w:p>
    <w:p w14:paraId="3A2F4036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1BF234C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2. “Como (sic) es el tratamiento tributario de dicho decreto 1652 con renta al 9%, en tal sentido si existe alguna depuración fiscal para obtener la base para liquidar el 9% de impuesto a cargo?”</w:t>
      </w:r>
    </w:p>
    <w:p w14:paraId="5CB9DF9E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1C49566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Antes de su modificación por parte de la Ley 2277 de 2022, el parágrafo 5° del artículo 240 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ibidem </w:t>
      </w:r>
      <w:r w:rsidRPr="005E0992">
        <w:rPr>
          <w:rFonts w:eastAsia="Times New Roman" w:cs="Times New Roman"/>
          <w:color w:val="000000"/>
          <w:szCs w:val="24"/>
          <w:lang w:eastAsia="es-CO"/>
        </w:rPr>
        <w:t>contemplaba que ciertas rentas, entre ellas las obtenidas por servicios prestados en determinados hoteles, estarían gravadas a la tarifa del 9% a título del impuesto sobre la renta. Este tratamiento tributario fue objeto de reglamentación en el Decreto 1652 de 2021 (cuyas disposiciones se adicionaron al Decreto 1625 de 2016).</w:t>
      </w:r>
    </w:p>
    <w:p w14:paraId="4DA46490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36B2C17A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lastRenderedPageBreak/>
        <w:t>Ahora bien, lo antepuesto no altera la forma en la que se debe llevar a cabo la depuración de la renta líquida gravable, sobre la cual se aplicará la referida tarifa del 9% y que se encuentra determinada en el </w:t>
      </w:r>
      <w:hyperlink r:id="rId13" w:tooltip="Estatuto Tributario CETA" w:history="1">
        <w:r w:rsidRPr="005E0992">
          <w:rPr>
            <w:rFonts w:eastAsia="Times New Roman" w:cs="Times New Roman"/>
            <w:color w:val="0645AD"/>
            <w:szCs w:val="24"/>
            <w:u w:val="single"/>
            <w:lang w:eastAsia="es-CO"/>
          </w:rPr>
          <w:t>artículo 26</w:t>
        </w:r>
      </w:hyperlink>
      <w:r w:rsidRPr="005E0992">
        <w:rPr>
          <w:rFonts w:eastAsia="Times New Roman" w:cs="Times New Roman"/>
          <w:color w:val="000000"/>
          <w:szCs w:val="24"/>
          <w:lang w:eastAsia="es-CO"/>
        </w:rPr>
        <w:t> del Estatuto Tributario.</w:t>
      </w:r>
    </w:p>
    <w:p w14:paraId="02B54502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F250F7A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3. “si el contribuyente cumple con el decreto 1652 del 6 de diciembre del año 2.021 debe hacer anticipo vía autorretención en ventas (Contribuyentes exonerados de aportes </w:t>
      </w:r>
      <w:hyperlink r:id="rId14" w:tooltip="Estatuto Tributario CETA" w:history="1">
        <w:r w:rsidRPr="005E0992">
          <w:rPr>
            <w:rFonts w:eastAsia="Times New Roman" w:cs="Times New Roman"/>
            <w:b/>
            <w:bCs/>
            <w:i/>
            <w:iCs/>
            <w:color w:val="0645AD"/>
            <w:szCs w:val="24"/>
            <w:u w:val="single"/>
            <w:lang w:eastAsia="es-CO"/>
          </w:rPr>
          <w:t>art. 114-1</w:t>
        </w:r>
      </w:hyperlink>
      <w:r w:rsidRPr="005E099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 ET).</w:t>
      </w:r>
    </w:p>
    <w:p w14:paraId="4BCFAC8A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91B0637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b/>
          <w:bCs/>
          <w:i/>
          <w:iCs/>
          <w:color w:val="000000"/>
          <w:szCs w:val="24"/>
          <w:lang w:eastAsia="es-CO"/>
        </w:rPr>
        <w:t>si el contribuyente cumple con el decreto 1652 del 6 de diciembre del año 2.021 le deben hacer retención en la fuente por concepto de servicios de tipo hotelero?”</w:t>
      </w:r>
    </w:p>
    <w:p w14:paraId="1CCA7540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1E00E91A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Frente a la autorretención de que tratan los artículos 1.2.6.6. y siguientes del Decreto 1625 de 2016:</w:t>
      </w:r>
    </w:p>
    <w:p w14:paraId="23FB3D8C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7874F90D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Si el contribuyente presta servicios hoteleros, en los términos del parágrafo 5° del </w:t>
      </w:r>
      <w:hyperlink r:id="rId15" w:tooltip="Estatuto Tributario CETA" w:history="1">
        <w:r w:rsidRPr="005E0992">
          <w:rPr>
            <w:rFonts w:eastAsia="Times New Roman" w:cs="Times New Roman"/>
            <w:color w:val="0645AD"/>
            <w:szCs w:val="24"/>
            <w:u w:val="single"/>
            <w:lang w:eastAsia="es-CO"/>
          </w:rPr>
          <w:t>artículo 240</w:t>
        </w:r>
      </w:hyperlink>
      <w:r w:rsidRPr="005E0992">
        <w:rPr>
          <w:rFonts w:eastAsia="Times New Roman" w:cs="Times New Roman"/>
          <w:color w:val="000000"/>
          <w:szCs w:val="24"/>
          <w:lang w:eastAsia="es-CO"/>
        </w:rPr>
        <w:t> del Estatuto Tributario (previo a su modificación por el artículo 10 de la Ley 2277 de 2022), y está exonerado de la deducción de aportes, acorde con el </w:t>
      </w:r>
      <w:hyperlink r:id="rId16" w:tooltip="Estatuto Tributario CETA" w:history="1">
        <w:r w:rsidRPr="005E0992">
          <w:rPr>
            <w:rFonts w:eastAsia="Times New Roman" w:cs="Times New Roman"/>
            <w:color w:val="0645AD"/>
            <w:szCs w:val="24"/>
            <w:u w:val="single"/>
            <w:lang w:eastAsia="es-CO"/>
          </w:rPr>
          <w:t>artículo 114</w:t>
        </w:r>
      </w:hyperlink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ibidem</w:t>
      </w:r>
      <w:r w:rsidRPr="005E0992">
        <w:rPr>
          <w:rFonts w:eastAsia="Times New Roman" w:cs="Times New Roman"/>
          <w:color w:val="000000"/>
          <w:szCs w:val="24"/>
          <w:lang w:eastAsia="es-CO"/>
        </w:rPr>
        <w:t>, deberá efectuar la autorretención en comento, como fuera también manifestado en el Oficio 008055 del 6 de abril de 2017.</w:t>
      </w:r>
    </w:p>
    <w:p w14:paraId="3A8355B8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B7C4032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Frente a la retención en la fuente a título del impuesto sobre la renta:</w:t>
      </w:r>
    </w:p>
    <w:p w14:paraId="48B79B86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6D649F5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Es preciso tener en cuenta que, acorde con el parágrafo 2° del </w:t>
      </w:r>
      <w:hyperlink r:id="rId17" w:tooltip="Estatuto Tributario CETA" w:history="1">
        <w:r w:rsidRPr="005E0992">
          <w:rPr>
            <w:rFonts w:eastAsia="Times New Roman" w:cs="Times New Roman"/>
            <w:color w:val="0645AD"/>
            <w:szCs w:val="24"/>
            <w:u w:val="single"/>
            <w:lang w:eastAsia="es-CO"/>
          </w:rPr>
          <w:t>artículo 365</w:t>
        </w:r>
      </w:hyperlink>
      <w:r w:rsidRPr="005E0992">
        <w:rPr>
          <w:rFonts w:eastAsia="Times New Roman" w:cs="Times New Roman"/>
          <w:color w:val="000000"/>
          <w:szCs w:val="24"/>
          <w:lang w:eastAsia="es-CO"/>
        </w:rPr>
        <w:t> del Estatuto Tributario, la autorretención antes mencionada 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“no excluye la posibilidad de que los autorretenedores </w:t>
      </w:r>
      <w:r w:rsidRPr="005E099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sean sujetos de retención en la fuente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”</w:t>
      </w:r>
      <w:r w:rsidRPr="005E0992">
        <w:rPr>
          <w:rFonts w:eastAsia="Times New Roman" w:cs="Times New Roman"/>
          <w:color w:val="000000"/>
          <w:szCs w:val="24"/>
          <w:lang w:eastAsia="es-CO"/>
        </w:rPr>
        <w:t> (subrayado fuera de texto).</w:t>
      </w:r>
    </w:p>
    <w:p w14:paraId="25E01386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2059B527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Adicionalmente, de conformidad con el </w:t>
      </w:r>
      <w:hyperlink r:id="rId18" w:tooltip="Estatuto Tributario CETA" w:history="1">
        <w:r w:rsidRPr="005E0992">
          <w:rPr>
            <w:rFonts w:eastAsia="Times New Roman" w:cs="Times New Roman"/>
            <w:color w:val="0645AD"/>
            <w:szCs w:val="24"/>
            <w:u w:val="single"/>
            <w:lang w:eastAsia="es-CO"/>
          </w:rPr>
          <w:t>artículo 369</w:t>
        </w:r>
      </w:hyperlink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ibidem</w:t>
      </w:r>
      <w:r w:rsidRPr="005E0992">
        <w:rPr>
          <w:rFonts w:eastAsia="Times New Roman" w:cs="Times New Roman"/>
          <w:color w:val="000000"/>
          <w:szCs w:val="24"/>
          <w:lang w:eastAsia="es-CO"/>
        </w:rPr>
        <w:t>, no están sujetos a retención en la fuente, entre otros:</w:t>
      </w:r>
    </w:p>
    <w:p w14:paraId="2C8758DC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F68B288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“1. Los pagos o abonos en cuenta que se efectúen a:</w:t>
      </w:r>
    </w:p>
    <w:p w14:paraId="4E95F79A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A48B3DF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a) Los </w:t>
      </w:r>
      <w:r w:rsidRPr="005E099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no contribuyentes no declarantes,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 a que se refiere el artículo 22;</w:t>
      </w:r>
    </w:p>
    <w:p w14:paraId="0229658E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0929AF83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b) Las entidades </w:t>
      </w:r>
      <w:r w:rsidRPr="005E099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no contribuyentes declarantes,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 a que hace referencia el artículo 23.</w:t>
      </w:r>
    </w:p>
    <w:p w14:paraId="1F3EED8A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C2B9366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(...)</w:t>
      </w:r>
    </w:p>
    <w:p w14:paraId="3EC29D90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4B2375E1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2. Los pagos o abonos en cuenta que por disposiciones especiales sean </w:t>
      </w:r>
      <w:r w:rsidRPr="005E0992">
        <w:rPr>
          <w:rFonts w:eastAsia="Times New Roman" w:cs="Times New Roman"/>
          <w:i/>
          <w:iCs/>
          <w:color w:val="000000"/>
          <w:szCs w:val="24"/>
          <w:u w:val="single"/>
          <w:lang w:eastAsia="es-CO"/>
        </w:rPr>
        <w:t>exentos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 en cabeza del beneficiario.</w:t>
      </w:r>
    </w:p>
    <w:p w14:paraId="2A6E070A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5A10DD5A" w14:textId="77777777" w:rsidR="005E0992" w:rsidRPr="005E0992" w:rsidRDefault="005E0992" w:rsidP="005E0992">
      <w:pPr>
        <w:spacing w:after="0" w:line="360" w:lineRule="auto"/>
        <w:ind w:left="284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lastRenderedPageBreak/>
        <w:t>(...)”</w:t>
      </w:r>
      <w:r w:rsidRPr="005E0992">
        <w:rPr>
          <w:rFonts w:eastAsia="Times New Roman" w:cs="Times New Roman"/>
          <w:color w:val="000000"/>
          <w:szCs w:val="24"/>
          <w:lang w:eastAsia="es-CO"/>
        </w:rPr>
        <w:t> (subrayado fuera de texto)</w:t>
      </w:r>
    </w:p>
    <w:p w14:paraId="5408B3EA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</w:p>
    <w:p w14:paraId="6CEAF943" w14:textId="77777777" w:rsidR="005E0992" w:rsidRPr="005E0992" w:rsidRDefault="005E0992" w:rsidP="005E0992">
      <w:pPr>
        <w:spacing w:after="0" w:line="360" w:lineRule="auto"/>
        <w:jc w:val="both"/>
        <w:rPr>
          <w:rFonts w:eastAsia="Times New Roman" w:cs="Times New Roman"/>
          <w:color w:val="000000"/>
          <w:szCs w:val="24"/>
          <w:lang w:eastAsia="es-CO"/>
        </w:rPr>
      </w:pPr>
      <w:r w:rsidRPr="005E0992">
        <w:rPr>
          <w:rFonts w:eastAsia="Times New Roman" w:cs="Times New Roman"/>
          <w:color w:val="000000"/>
          <w:szCs w:val="24"/>
          <w:lang w:eastAsia="es-CO"/>
        </w:rPr>
        <w:t>Finalmente, es de advertir que la retención en la fuente 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“tiene por objeto conseguir en forma gradual que el impuesto se recaude en lo posible dentro del mismo ejercicio gravable en que se cause”</w:t>
      </w:r>
      <w:r w:rsidRPr="005E0992">
        <w:rPr>
          <w:rFonts w:eastAsia="Times New Roman" w:cs="Times New Roman"/>
          <w:color w:val="000000"/>
          <w:szCs w:val="24"/>
          <w:lang w:eastAsia="es-CO"/>
        </w:rPr>
        <w:t>, según lo prevé el </w:t>
      </w:r>
      <w:hyperlink r:id="rId19" w:tooltip="Estatuto Tributario CETA" w:history="1">
        <w:r w:rsidRPr="005E0992">
          <w:rPr>
            <w:rFonts w:eastAsia="Times New Roman" w:cs="Times New Roman"/>
            <w:color w:val="0645AD"/>
            <w:szCs w:val="24"/>
            <w:u w:val="single"/>
            <w:lang w:eastAsia="es-CO"/>
          </w:rPr>
          <w:t>artículo 367</w:t>
        </w:r>
      </w:hyperlink>
      <w:r w:rsidRPr="005E0992">
        <w:rPr>
          <w:rFonts w:eastAsia="Times New Roman" w:cs="Times New Roman"/>
          <w:color w:val="000000"/>
          <w:szCs w:val="24"/>
          <w:lang w:eastAsia="es-CO"/>
        </w:rPr>
        <w:t> </w:t>
      </w:r>
      <w:r w:rsidRPr="005E0992">
        <w:rPr>
          <w:rFonts w:eastAsia="Times New Roman" w:cs="Times New Roman"/>
          <w:i/>
          <w:iCs/>
          <w:color w:val="000000"/>
          <w:szCs w:val="24"/>
          <w:lang w:eastAsia="es-CO"/>
        </w:rPr>
        <w:t>ibidem</w:t>
      </w:r>
      <w:r w:rsidRPr="005E0992">
        <w:rPr>
          <w:rFonts w:eastAsia="Times New Roman" w:cs="Times New Roman"/>
          <w:color w:val="000000"/>
          <w:szCs w:val="24"/>
          <w:lang w:eastAsia="es-CO"/>
        </w:rPr>
        <w:t>.</w:t>
      </w:r>
    </w:p>
    <w:p w14:paraId="563EA6E1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384ECB8C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</w:p>
    <w:p w14:paraId="1361B9E1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E0992">
        <w:rPr>
          <w:color w:val="000000"/>
        </w:rPr>
        <w:t>Atentamente,</w:t>
      </w:r>
    </w:p>
    <w:p w14:paraId="408E7D45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076C9BE6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23A07292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14:paraId="261A90DA" w14:textId="6CA57C5A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E0992">
        <w:rPr>
          <w:b/>
          <w:bCs/>
          <w:color w:val="000000"/>
        </w:rPr>
        <w:t>ALFREDO RAMÍREZ CASTAÑEDA</w:t>
      </w:r>
    </w:p>
    <w:p w14:paraId="6433D51B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E0992">
        <w:rPr>
          <w:color w:val="000000"/>
        </w:rPr>
        <w:t>Subdirector de Normativa y Doctrina (E)</w:t>
      </w:r>
    </w:p>
    <w:p w14:paraId="33836BD0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E0992">
        <w:rPr>
          <w:color w:val="000000"/>
        </w:rPr>
        <w:t>Dirección de Gestión Jurídica</w:t>
      </w:r>
    </w:p>
    <w:p w14:paraId="53CBDFD4" w14:textId="77777777" w:rsidR="005E0992" w:rsidRPr="005E0992" w:rsidRDefault="005E0992" w:rsidP="005E0992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5E0992">
        <w:rPr>
          <w:color w:val="000000"/>
        </w:rPr>
        <w:t>UAE-Dirección de Impuestos y Aduanas Nacionales</w:t>
      </w:r>
    </w:p>
    <w:p w14:paraId="1826FF5E" w14:textId="77777777" w:rsidR="007F5CC8" w:rsidRPr="005E0992" w:rsidRDefault="007F5CC8" w:rsidP="005E0992">
      <w:pPr>
        <w:spacing w:line="360" w:lineRule="auto"/>
        <w:rPr>
          <w:rFonts w:cs="Times New Roman"/>
          <w:szCs w:val="24"/>
        </w:rPr>
      </w:pPr>
    </w:p>
    <w:sectPr w:rsidR="007F5CC8" w:rsidRPr="005E0992" w:rsidSect="00EB5ADB">
      <w:type w:val="continuous"/>
      <w:pgSz w:w="12191" w:h="18711"/>
      <w:pgMar w:top="1134" w:right="1134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92"/>
    <w:rsid w:val="000F3837"/>
    <w:rsid w:val="001E311E"/>
    <w:rsid w:val="00434AE6"/>
    <w:rsid w:val="005E0992"/>
    <w:rsid w:val="007F5CC8"/>
    <w:rsid w:val="008779BE"/>
    <w:rsid w:val="00E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2154D"/>
  <w15:chartTrackingRefBased/>
  <w15:docId w15:val="{91FA17F5-4EB0-465C-A0ED-3C302B7A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099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5E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458" TargetMode="External"/><Relationship Id="rId13" Type="http://schemas.openxmlformats.org/officeDocument/2006/relationships/hyperlink" Target="https://www.ceta.org.co/html/vista_de_un_articulo.asp?Norma=56" TargetMode="External"/><Relationship Id="rId18" Type="http://schemas.openxmlformats.org/officeDocument/2006/relationships/hyperlink" Target="https://www.ceta.org.co/html/vista_de_un_articulo.asp?Norma=462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eta.org.co/html/vista_de_un_articulo.asp?Norma=454" TargetMode="External"/><Relationship Id="rId12" Type="http://schemas.openxmlformats.org/officeDocument/2006/relationships/hyperlink" Target="https://www.ceta.org.co/html/vista_de_un_articulo.asp?Norma=310" TargetMode="External"/><Relationship Id="rId17" Type="http://schemas.openxmlformats.org/officeDocument/2006/relationships/hyperlink" Target="https://www.ceta.org.co/html/vista_de_un_articulo.asp?Norma=4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eta.org.co/html/vista_de_un_articulo.asp?Norma=16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eta.org.co/html/vista_de_un_articulo.asp?Norma=310" TargetMode="External"/><Relationship Id="rId11" Type="http://schemas.openxmlformats.org/officeDocument/2006/relationships/hyperlink" Target="https://www.ceta.org.co/html/vista_de_un_articulo.asp?Norma=165" TargetMode="External"/><Relationship Id="rId5" Type="http://schemas.openxmlformats.org/officeDocument/2006/relationships/hyperlink" Target="https://www.ceta.org.co/html/vista_de_un_articulo.asp?Norma=165" TargetMode="External"/><Relationship Id="rId15" Type="http://schemas.openxmlformats.org/officeDocument/2006/relationships/hyperlink" Target="https://www.ceta.org.co/html/vista_de_un_articulo.asp?Norma=310" TargetMode="External"/><Relationship Id="rId10" Type="http://schemas.openxmlformats.org/officeDocument/2006/relationships/hyperlink" Target="https://www.ceta.org.co/html/vista_de_un_articulo.asp?Norma=165" TargetMode="External"/><Relationship Id="rId19" Type="http://schemas.openxmlformats.org/officeDocument/2006/relationships/hyperlink" Target="https://www.ceta.org.co/html/vista_de_un_articulo.asp?Norma=458" TargetMode="External"/><Relationship Id="rId4" Type="http://schemas.openxmlformats.org/officeDocument/2006/relationships/hyperlink" Target="https://www.ceta.org.co/html/vista_de_un_articulo.asp?Norma=56" TargetMode="External"/><Relationship Id="rId9" Type="http://schemas.openxmlformats.org/officeDocument/2006/relationships/hyperlink" Target="https://www.ceta.org.co/html/vista_de_un_articulo.asp?Norma=462" TargetMode="External"/><Relationship Id="rId14" Type="http://schemas.openxmlformats.org/officeDocument/2006/relationships/hyperlink" Target="https://www.ceta.org.co/html/vista_de_un_articulo.asp?Norma=4248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1178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Alzate Duque</dc:creator>
  <cp:keywords/>
  <dc:description/>
  <cp:lastModifiedBy>Guillermo Alzate Duque</cp:lastModifiedBy>
  <cp:revision>1</cp:revision>
  <dcterms:created xsi:type="dcterms:W3CDTF">2023-02-12T23:20:00Z</dcterms:created>
  <dcterms:modified xsi:type="dcterms:W3CDTF">2023-02-12T23:23:00Z</dcterms:modified>
</cp:coreProperties>
</file>