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5468E" w14:textId="77777777" w:rsidR="006201AB" w:rsidRPr="006F4FC7" w:rsidRDefault="006201AB" w:rsidP="00AD2C0B">
      <w:pPr>
        <w:jc w:val="center"/>
        <w:rPr>
          <w:rFonts w:eastAsia="Times New Roman" w:cs="Times New Roman"/>
          <w:sz w:val="36"/>
          <w:szCs w:val="36"/>
          <w:highlight w:val="green"/>
          <w:lang w:eastAsia="es-ES"/>
        </w:rPr>
      </w:pPr>
      <w:r w:rsidRPr="006F4FC7">
        <w:rPr>
          <w:rFonts w:eastAsia="Times New Roman" w:cs="Times New Roman"/>
          <w:b/>
          <w:bCs/>
          <w:sz w:val="36"/>
          <w:szCs w:val="36"/>
          <w:highlight w:val="green"/>
          <w:lang w:val="es-CO" w:eastAsia="es-ES"/>
        </w:rPr>
        <w:t xml:space="preserve">OFICIO </w:t>
      </w:r>
      <w:proofErr w:type="spellStart"/>
      <w:r w:rsidRPr="006F4FC7">
        <w:rPr>
          <w:rFonts w:eastAsia="Times New Roman" w:cs="Times New Roman"/>
          <w:b/>
          <w:bCs/>
          <w:sz w:val="36"/>
          <w:szCs w:val="36"/>
          <w:highlight w:val="green"/>
          <w:lang w:val="es-CO" w:eastAsia="es-ES"/>
        </w:rPr>
        <w:t>Nº</w:t>
      </w:r>
      <w:proofErr w:type="spellEnd"/>
      <w:r w:rsidRPr="006F4FC7">
        <w:rPr>
          <w:rFonts w:eastAsia="Times New Roman" w:cs="Times New Roman"/>
          <w:b/>
          <w:bCs/>
          <w:sz w:val="36"/>
          <w:szCs w:val="36"/>
          <w:highlight w:val="green"/>
          <w:lang w:val="es-CO" w:eastAsia="es-ES"/>
        </w:rPr>
        <w:t xml:space="preserve"> 563</w:t>
      </w:r>
    </w:p>
    <w:p w14:paraId="6D50A8C0" w14:textId="77777777" w:rsidR="006201AB" w:rsidRPr="006F4FC7" w:rsidRDefault="006201AB" w:rsidP="00AD2C0B">
      <w:pPr>
        <w:jc w:val="center"/>
        <w:rPr>
          <w:rFonts w:eastAsia="Times New Roman" w:cs="Times New Roman"/>
          <w:sz w:val="36"/>
          <w:szCs w:val="36"/>
          <w:highlight w:val="green"/>
          <w:lang w:eastAsia="es-ES"/>
        </w:rPr>
      </w:pPr>
      <w:r w:rsidRPr="006F4FC7">
        <w:rPr>
          <w:rFonts w:eastAsia="Times New Roman" w:cs="Times New Roman"/>
          <w:b/>
          <w:bCs/>
          <w:sz w:val="36"/>
          <w:szCs w:val="36"/>
          <w:highlight w:val="green"/>
          <w:lang w:val="es-CO" w:eastAsia="es-ES"/>
        </w:rPr>
        <w:t>15-05-2020</w:t>
      </w:r>
    </w:p>
    <w:p w14:paraId="4A66AE8F" w14:textId="77777777" w:rsidR="006201AB" w:rsidRPr="006F4FC7" w:rsidRDefault="006201AB" w:rsidP="00AD2C0B">
      <w:pPr>
        <w:jc w:val="center"/>
        <w:rPr>
          <w:rFonts w:eastAsia="Times New Roman" w:cs="Times New Roman"/>
          <w:sz w:val="36"/>
          <w:szCs w:val="36"/>
          <w:lang w:eastAsia="es-ES"/>
        </w:rPr>
      </w:pPr>
      <w:r w:rsidRPr="006F4FC7">
        <w:rPr>
          <w:rFonts w:eastAsia="Times New Roman" w:cs="Times New Roman"/>
          <w:b/>
          <w:bCs/>
          <w:sz w:val="36"/>
          <w:szCs w:val="36"/>
          <w:highlight w:val="green"/>
          <w:lang w:val="es-CO" w:eastAsia="es-ES"/>
        </w:rPr>
        <w:t>DIAN</w:t>
      </w:r>
    </w:p>
    <w:p w14:paraId="60437180" w14:textId="77777777" w:rsidR="006201AB" w:rsidRPr="006F4FC7" w:rsidRDefault="006201AB" w:rsidP="00AD2C0B">
      <w:pPr>
        <w:rPr>
          <w:rFonts w:eastAsia="Times New Roman" w:cs="Times New Roman"/>
          <w:sz w:val="36"/>
          <w:szCs w:val="36"/>
          <w:lang w:eastAsia="es-ES"/>
        </w:rPr>
      </w:pPr>
      <w:r w:rsidRPr="006F4FC7">
        <w:rPr>
          <w:rFonts w:eastAsia="Times New Roman" w:cs="Times New Roman"/>
          <w:sz w:val="36"/>
          <w:szCs w:val="36"/>
          <w:lang w:val="es-CO" w:eastAsia="es-ES"/>
        </w:rPr>
        <w:t> </w:t>
      </w:r>
    </w:p>
    <w:p w14:paraId="16661544" w14:textId="77777777" w:rsidR="006201AB" w:rsidRPr="00324B48" w:rsidRDefault="006201AB" w:rsidP="00AD2C0B">
      <w:pPr>
        <w:rPr>
          <w:rFonts w:eastAsia="Times New Roman" w:cs="Times New Roman"/>
          <w:szCs w:val="24"/>
          <w:lang w:eastAsia="es-ES"/>
        </w:rPr>
      </w:pPr>
      <w:r w:rsidRPr="00324B48">
        <w:rPr>
          <w:rFonts w:eastAsia="Times New Roman" w:cs="Times New Roman"/>
          <w:szCs w:val="24"/>
          <w:lang w:val="es-CO" w:eastAsia="es-ES"/>
        </w:rPr>
        <w:t> </w:t>
      </w:r>
    </w:p>
    <w:p w14:paraId="654A9C68" w14:textId="77777777" w:rsidR="006201AB" w:rsidRPr="00324B48" w:rsidRDefault="006201AB" w:rsidP="00AD2C0B">
      <w:pPr>
        <w:rPr>
          <w:rFonts w:eastAsia="Times New Roman" w:cs="Times New Roman"/>
          <w:szCs w:val="24"/>
          <w:lang w:eastAsia="es-ES"/>
        </w:rPr>
      </w:pPr>
      <w:r w:rsidRPr="00324B48">
        <w:rPr>
          <w:rFonts w:eastAsia="Times New Roman" w:cs="Times New Roman"/>
          <w:szCs w:val="24"/>
          <w:lang w:val="es-CO" w:eastAsia="es-ES"/>
        </w:rPr>
        <w:t>00208221 - 563</w:t>
      </w:r>
    </w:p>
    <w:p w14:paraId="7A5F1F4A" w14:textId="77777777" w:rsidR="006201AB" w:rsidRPr="00324B48" w:rsidRDefault="006201AB" w:rsidP="00AD2C0B">
      <w:pPr>
        <w:rPr>
          <w:rFonts w:eastAsia="Times New Roman" w:cs="Times New Roman"/>
          <w:szCs w:val="24"/>
          <w:lang w:eastAsia="es-ES"/>
        </w:rPr>
      </w:pPr>
      <w:r w:rsidRPr="00324B48">
        <w:rPr>
          <w:rFonts w:eastAsia="Times New Roman" w:cs="Times New Roman"/>
          <w:szCs w:val="24"/>
          <w:lang w:val="es-CO" w:eastAsia="es-ES"/>
        </w:rPr>
        <w:t>Bogotá, D.C.</w:t>
      </w:r>
    </w:p>
    <w:p w14:paraId="2E404E19" w14:textId="77777777" w:rsidR="006201AB" w:rsidRPr="00324B48" w:rsidRDefault="006201AB" w:rsidP="00AD2C0B">
      <w:pPr>
        <w:rPr>
          <w:rFonts w:eastAsia="Times New Roman" w:cs="Times New Roman"/>
          <w:szCs w:val="24"/>
          <w:lang w:eastAsia="es-ES"/>
        </w:rPr>
      </w:pPr>
      <w:r w:rsidRPr="00324B48">
        <w:rPr>
          <w:rFonts w:eastAsia="Times New Roman" w:cs="Times New Roman"/>
          <w:szCs w:val="24"/>
          <w:lang w:val="es-CO" w:eastAsia="es-ES"/>
        </w:rPr>
        <w:t> </w:t>
      </w:r>
    </w:p>
    <w:tbl>
      <w:tblPr>
        <w:tblW w:w="0" w:type="auto"/>
        <w:tblCellMar>
          <w:left w:w="0" w:type="dxa"/>
          <w:right w:w="0" w:type="dxa"/>
        </w:tblCellMar>
        <w:tblLook w:val="04A0" w:firstRow="1" w:lastRow="0" w:firstColumn="1" w:lastColumn="0" w:noHBand="0" w:noVBand="1"/>
      </w:tblPr>
      <w:tblGrid>
        <w:gridCol w:w="1969"/>
        <w:gridCol w:w="276"/>
        <w:gridCol w:w="276"/>
        <w:gridCol w:w="5141"/>
      </w:tblGrid>
      <w:tr w:rsidR="00324B48" w:rsidRPr="00324B48" w14:paraId="654F5D7D" w14:textId="77777777" w:rsidTr="006201AB">
        <w:tc>
          <w:tcPr>
            <w:tcW w:w="0" w:type="auto"/>
            <w:tcBorders>
              <w:top w:val="nil"/>
              <w:left w:val="nil"/>
              <w:bottom w:val="nil"/>
              <w:right w:val="nil"/>
            </w:tcBorders>
            <w:shd w:val="clear" w:color="auto" w:fill="auto"/>
            <w:tcMar>
              <w:top w:w="0" w:type="dxa"/>
              <w:left w:w="108" w:type="dxa"/>
              <w:bottom w:w="0" w:type="dxa"/>
              <w:right w:w="108" w:type="dxa"/>
            </w:tcMar>
            <w:hideMark/>
          </w:tcPr>
          <w:p w14:paraId="7400E46E" w14:textId="77777777" w:rsidR="006201AB" w:rsidRPr="00324B48" w:rsidRDefault="006201AB" w:rsidP="00AD2C0B">
            <w:pPr>
              <w:rPr>
                <w:rFonts w:eastAsia="Times New Roman" w:cs="Times New Roman"/>
                <w:szCs w:val="24"/>
                <w:lang w:eastAsia="es-ES"/>
              </w:rPr>
            </w:pPr>
            <w:r w:rsidRPr="00324B48">
              <w:rPr>
                <w:rFonts w:eastAsia="Times New Roman" w:cs="Times New Roman"/>
                <w:b/>
                <w:bCs/>
                <w:szCs w:val="24"/>
                <w:lang w:val="es-CO" w:eastAsia="es-ES"/>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1483783" w14:textId="77777777" w:rsidR="006201AB" w:rsidRPr="00324B48" w:rsidRDefault="006201AB" w:rsidP="00AD2C0B">
            <w:pPr>
              <w:rPr>
                <w:rFonts w:eastAsia="Times New Roman" w:cs="Times New Roman"/>
                <w:szCs w:val="24"/>
                <w:lang w:eastAsia="es-ES"/>
              </w:rPr>
            </w:pPr>
            <w:r w:rsidRPr="00324B48">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A8677A1" w14:textId="77777777" w:rsidR="006201AB" w:rsidRPr="00324B48" w:rsidRDefault="006201AB" w:rsidP="00AD2C0B">
            <w:pPr>
              <w:rPr>
                <w:rFonts w:eastAsia="Times New Roman" w:cs="Times New Roman"/>
                <w:szCs w:val="24"/>
                <w:lang w:eastAsia="es-ES"/>
              </w:rPr>
            </w:pPr>
            <w:r w:rsidRPr="00324B48">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3A82991" w14:textId="77777777" w:rsidR="006201AB" w:rsidRPr="00324B48" w:rsidRDefault="006201AB" w:rsidP="00AD2C0B">
            <w:pPr>
              <w:rPr>
                <w:rFonts w:eastAsia="Times New Roman" w:cs="Times New Roman"/>
                <w:szCs w:val="24"/>
                <w:lang w:eastAsia="es-ES"/>
              </w:rPr>
            </w:pPr>
            <w:r w:rsidRPr="00324B48">
              <w:rPr>
                <w:rFonts w:eastAsia="Times New Roman" w:cs="Times New Roman"/>
                <w:szCs w:val="24"/>
                <w:lang w:val="es-CO" w:eastAsia="es-ES"/>
              </w:rPr>
              <w:t>IVA PROCEDIMIENTO</w:t>
            </w:r>
          </w:p>
        </w:tc>
      </w:tr>
      <w:tr w:rsidR="00324B48" w:rsidRPr="00324B48" w14:paraId="5B7EA546" w14:textId="77777777" w:rsidTr="006201AB">
        <w:tc>
          <w:tcPr>
            <w:tcW w:w="0" w:type="auto"/>
            <w:tcBorders>
              <w:top w:val="nil"/>
              <w:left w:val="nil"/>
              <w:bottom w:val="nil"/>
              <w:right w:val="nil"/>
            </w:tcBorders>
            <w:shd w:val="clear" w:color="auto" w:fill="auto"/>
            <w:tcMar>
              <w:top w:w="0" w:type="dxa"/>
              <w:left w:w="108" w:type="dxa"/>
              <w:bottom w:w="0" w:type="dxa"/>
              <w:right w:w="108" w:type="dxa"/>
            </w:tcMar>
            <w:hideMark/>
          </w:tcPr>
          <w:p w14:paraId="30C27EFE" w14:textId="77777777" w:rsidR="006201AB" w:rsidRPr="00324B48" w:rsidRDefault="006201AB" w:rsidP="00AD2C0B">
            <w:pPr>
              <w:rPr>
                <w:rFonts w:eastAsia="Times New Roman" w:cs="Times New Roman"/>
                <w:szCs w:val="24"/>
                <w:lang w:eastAsia="es-ES"/>
              </w:rPr>
            </w:pPr>
            <w:r w:rsidRPr="00324B48">
              <w:rPr>
                <w:rFonts w:eastAsia="Times New Roman" w:cs="Times New Roman"/>
                <w:b/>
                <w:bCs/>
                <w:szCs w:val="24"/>
                <w:lang w:val="es-CO" w:eastAsia="es-ES"/>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08EB668" w14:textId="77777777" w:rsidR="006201AB" w:rsidRPr="00324B48" w:rsidRDefault="006201AB" w:rsidP="00AD2C0B">
            <w:pPr>
              <w:rPr>
                <w:rFonts w:eastAsia="Times New Roman" w:cs="Times New Roman"/>
                <w:szCs w:val="24"/>
                <w:lang w:eastAsia="es-ES"/>
              </w:rPr>
            </w:pPr>
            <w:r w:rsidRPr="00324B48">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DF88F57" w14:textId="77777777" w:rsidR="006201AB" w:rsidRPr="00324B48" w:rsidRDefault="006201AB" w:rsidP="00AD2C0B">
            <w:pPr>
              <w:rPr>
                <w:rFonts w:eastAsia="Times New Roman" w:cs="Times New Roman"/>
                <w:szCs w:val="24"/>
                <w:lang w:eastAsia="es-ES"/>
              </w:rPr>
            </w:pPr>
            <w:r w:rsidRPr="00324B48">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39FFB75" w14:textId="77777777" w:rsidR="006201AB" w:rsidRPr="00324B48" w:rsidRDefault="006201AB" w:rsidP="00AD2C0B">
            <w:pPr>
              <w:rPr>
                <w:rFonts w:eastAsia="Times New Roman" w:cs="Times New Roman"/>
                <w:szCs w:val="24"/>
                <w:lang w:eastAsia="es-ES"/>
              </w:rPr>
            </w:pPr>
            <w:r w:rsidRPr="00324B48">
              <w:rPr>
                <w:rFonts w:eastAsia="Times New Roman" w:cs="Times New Roman"/>
                <w:szCs w:val="24"/>
                <w:lang w:val="es-CO" w:eastAsia="es-ES"/>
              </w:rPr>
              <w:t>Propiedad Horizontal obligación de expedir factura</w:t>
            </w:r>
          </w:p>
        </w:tc>
      </w:tr>
      <w:tr w:rsidR="00324B48" w:rsidRPr="00324B48" w14:paraId="278AAF54" w14:textId="77777777" w:rsidTr="006201AB">
        <w:tc>
          <w:tcPr>
            <w:tcW w:w="0" w:type="auto"/>
            <w:tcBorders>
              <w:top w:val="nil"/>
              <w:left w:val="nil"/>
              <w:bottom w:val="nil"/>
              <w:right w:val="nil"/>
            </w:tcBorders>
            <w:shd w:val="clear" w:color="auto" w:fill="auto"/>
            <w:tcMar>
              <w:top w:w="0" w:type="dxa"/>
              <w:left w:w="108" w:type="dxa"/>
              <w:bottom w:w="0" w:type="dxa"/>
              <w:right w:w="108" w:type="dxa"/>
            </w:tcMar>
            <w:hideMark/>
          </w:tcPr>
          <w:p w14:paraId="24974C51" w14:textId="77777777" w:rsidR="006201AB" w:rsidRPr="00324B48" w:rsidRDefault="006201AB" w:rsidP="00AD2C0B">
            <w:pPr>
              <w:rPr>
                <w:rFonts w:eastAsia="Times New Roman" w:cs="Times New Roman"/>
                <w:szCs w:val="24"/>
                <w:lang w:eastAsia="es-ES"/>
              </w:rPr>
            </w:pPr>
            <w:r w:rsidRPr="00324B48">
              <w:rPr>
                <w:rFonts w:eastAsia="Times New Roman" w:cs="Times New Roman"/>
                <w:b/>
                <w:bCs/>
                <w:szCs w:val="24"/>
                <w:lang w:val="es-CO" w:eastAsia="es-ES"/>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B5789C1" w14:textId="77777777" w:rsidR="006201AB" w:rsidRPr="00324B48" w:rsidRDefault="006201AB" w:rsidP="00AD2C0B">
            <w:pPr>
              <w:rPr>
                <w:rFonts w:eastAsia="Times New Roman" w:cs="Times New Roman"/>
                <w:szCs w:val="24"/>
                <w:lang w:eastAsia="es-ES"/>
              </w:rPr>
            </w:pPr>
            <w:r w:rsidRPr="00324B48">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84C9225" w14:textId="77777777" w:rsidR="006201AB" w:rsidRPr="00324B48" w:rsidRDefault="006201AB" w:rsidP="00AD2C0B">
            <w:pPr>
              <w:rPr>
                <w:rFonts w:eastAsia="Times New Roman" w:cs="Times New Roman"/>
                <w:szCs w:val="24"/>
                <w:lang w:eastAsia="es-ES"/>
              </w:rPr>
            </w:pPr>
            <w:r w:rsidRPr="00324B48">
              <w:rPr>
                <w:rFonts w:eastAsia="Times New Roman" w:cs="Times New Roman"/>
                <w:szCs w:val="24"/>
                <w:lang w:val="es-CO" w:eastAsia="es-ES"/>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C8F77E6" w14:textId="77777777" w:rsidR="006201AB" w:rsidRPr="00324B48" w:rsidRDefault="006201AB" w:rsidP="00AD2C0B">
            <w:pPr>
              <w:rPr>
                <w:rFonts w:eastAsia="Times New Roman" w:cs="Times New Roman"/>
                <w:szCs w:val="24"/>
                <w:lang w:eastAsia="es-ES"/>
              </w:rPr>
            </w:pPr>
            <w:r w:rsidRPr="00324B48">
              <w:rPr>
                <w:rFonts w:eastAsia="Times New Roman" w:cs="Times New Roman"/>
                <w:szCs w:val="24"/>
                <w:lang w:val="es-CO" w:eastAsia="es-ES"/>
              </w:rPr>
              <w:t>Artículos </w:t>
            </w:r>
            <w:hyperlink r:id="rId4" w:tooltip="Estatuto Tributario CETA" w:history="1">
              <w:r w:rsidRPr="00324B48">
                <w:rPr>
                  <w:rFonts w:eastAsia="Times New Roman" w:cs="Times New Roman"/>
                  <w:szCs w:val="24"/>
                  <w:lang w:val="es-CO" w:eastAsia="es-ES"/>
                </w:rPr>
                <w:t>615</w:t>
              </w:r>
            </w:hyperlink>
            <w:r w:rsidRPr="00324B48">
              <w:rPr>
                <w:rFonts w:eastAsia="Times New Roman" w:cs="Times New Roman"/>
                <w:szCs w:val="24"/>
                <w:lang w:val="es-CO" w:eastAsia="es-ES"/>
              </w:rPr>
              <w:t> y </w:t>
            </w:r>
            <w:hyperlink r:id="rId5" w:tooltip="Estatuto Tributario CETA" w:history="1">
              <w:r w:rsidRPr="00324B48">
                <w:rPr>
                  <w:rFonts w:eastAsia="Times New Roman" w:cs="Times New Roman"/>
                  <w:szCs w:val="24"/>
                  <w:lang w:val="es-CO" w:eastAsia="es-ES"/>
                </w:rPr>
                <w:t>616-1</w:t>
              </w:r>
            </w:hyperlink>
            <w:r w:rsidRPr="00324B48">
              <w:rPr>
                <w:rFonts w:eastAsia="Times New Roman" w:cs="Times New Roman"/>
                <w:szCs w:val="24"/>
                <w:lang w:val="es-CO" w:eastAsia="es-ES"/>
              </w:rPr>
              <w:t> del E.T.</w:t>
            </w:r>
          </w:p>
          <w:p w14:paraId="66F77FF4" w14:textId="77777777" w:rsidR="006201AB" w:rsidRPr="00324B48" w:rsidRDefault="006201AB" w:rsidP="00AD2C0B">
            <w:pPr>
              <w:rPr>
                <w:rFonts w:eastAsia="Times New Roman" w:cs="Times New Roman"/>
                <w:szCs w:val="24"/>
                <w:lang w:eastAsia="es-ES"/>
              </w:rPr>
            </w:pPr>
            <w:r w:rsidRPr="00324B48">
              <w:rPr>
                <w:rFonts w:eastAsia="Times New Roman" w:cs="Times New Roman"/>
                <w:szCs w:val="24"/>
                <w:lang w:val="es-CO" w:eastAsia="es-ES"/>
              </w:rPr>
              <w:t>Decreto 1625 de 2016</w:t>
            </w:r>
          </w:p>
          <w:p w14:paraId="3FF4A5D5" w14:textId="77777777" w:rsidR="006201AB" w:rsidRPr="00324B48" w:rsidRDefault="006201AB" w:rsidP="00AD2C0B">
            <w:pPr>
              <w:rPr>
                <w:rFonts w:eastAsia="Times New Roman" w:cs="Times New Roman"/>
                <w:szCs w:val="24"/>
                <w:lang w:eastAsia="es-ES"/>
              </w:rPr>
            </w:pPr>
            <w:r w:rsidRPr="00324B48">
              <w:rPr>
                <w:rFonts w:eastAsia="Times New Roman" w:cs="Times New Roman"/>
                <w:szCs w:val="24"/>
                <w:lang w:val="es-CO" w:eastAsia="es-ES"/>
              </w:rPr>
              <w:t>Decreto 358 de 2020</w:t>
            </w:r>
          </w:p>
        </w:tc>
      </w:tr>
    </w:tbl>
    <w:p w14:paraId="0E74DFEB" w14:textId="77777777" w:rsidR="006201AB" w:rsidRPr="00324B48" w:rsidRDefault="006201AB" w:rsidP="00AD2C0B">
      <w:pPr>
        <w:rPr>
          <w:rFonts w:eastAsia="Times New Roman" w:cs="Times New Roman"/>
          <w:szCs w:val="24"/>
          <w:lang w:eastAsia="es-ES"/>
        </w:rPr>
      </w:pPr>
      <w:r w:rsidRPr="00324B48">
        <w:rPr>
          <w:rFonts w:eastAsia="Times New Roman" w:cs="Times New Roman"/>
          <w:szCs w:val="24"/>
          <w:lang w:val="es-CO" w:eastAsia="es-ES"/>
        </w:rPr>
        <w:t> </w:t>
      </w:r>
    </w:p>
    <w:p w14:paraId="34BEE8E7" w14:textId="77777777" w:rsidR="006201AB" w:rsidRPr="00324B48" w:rsidRDefault="006201AB" w:rsidP="00AD2C0B">
      <w:pPr>
        <w:rPr>
          <w:rFonts w:eastAsia="Times New Roman" w:cs="Times New Roman"/>
          <w:szCs w:val="24"/>
          <w:lang w:eastAsia="es-ES"/>
        </w:rPr>
      </w:pPr>
      <w:r w:rsidRPr="00324B48">
        <w:rPr>
          <w:rFonts w:eastAsia="Times New Roman" w:cs="Times New Roman"/>
          <w:szCs w:val="24"/>
          <w:lang w:val="es-CO" w:eastAsia="es-ES"/>
        </w:rPr>
        <w:t> </w:t>
      </w:r>
    </w:p>
    <w:p w14:paraId="1AF9B80B" w14:textId="77777777" w:rsidR="006201AB" w:rsidRPr="00324B48" w:rsidRDefault="006201AB" w:rsidP="00AD2C0B">
      <w:pPr>
        <w:rPr>
          <w:rFonts w:eastAsia="Times New Roman" w:cs="Times New Roman"/>
          <w:szCs w:val="24"/>
          <w:lang w:eastAsia="es-ES"/>
        </w:rPr>
      </w:pPr>
      <w:r w:rsidRPr="00324B48">
        <w:rPr>
          <w:rFonts w:eastAsia="Times New Roman" w:cs="Times New Roman"/>
          <w:szCs w:val="24"/>
          <w:lang w:val="es-CO" w:eastAsia="es-ES"/>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79163477" w14:textId="77777777" w:rsidR="006201AB" w:rsidRPr="00324B48" w:rsidRDefault="006201AB" w:rsidP="00AD2C0B">
      <w:pPr>
        <w:rPr>
          <w:rFonts w:eastAsia="Times New Roman" w:cs="Times New Roman"/>
          <w:szCs w:val="24"/>
          <w:lang w:eastAsia="es-ES"/>
        </w:rPr>
      </w:pPr>
      <w:r w:rsidRPr="00324B48">
        <w:rPr>
          <w:rFonts w:eastAsia="Times New Roman" w:cs="Times New Roman"/>
          <w:szCs w:val="24"/>
          <w:lang w:val="es-CO" w:eastAsia="es-ES"/>
        </w:rPr>
        <w:t> </w:t>
      </w:r>
    </w:p>
    <w:p w14:paraId="63E7BB74" w14:textId="77777777" w:rsidR="006201AB" w:rsidRPr="00324B48" w:rsidRDefault="006201AB" w:rsidP="00AD2C0B">
      <w:pPr>
        <w:rPr>
          <w:rFonts w:eastAsia="Times New Roman" w:cs="Times New Roman"/>
          <w:szCs w:val="24"/>
          <w:lang w:eastAsia="es-ES"/>
        </w:rPr>
      </w:pPr>
      <w:r w:rsidRPr="00324B48">
        <w:rPr>
          <w:rFonts w:eastAsia="Times New Roman" w:cs="Times New Roman"/>
          <w:szCs w:val="24"/>
          <w:lang w:val="es-CO" w:eastAsia="es-ES"/>
        </w:rPr>
        <w:t>Mediante el radicado de la referencia, la peticionaria realiza unas preguntas, que serán resueltas por este Despacho en el orden en que fueron propuestas, así:</w:t>
      </w:r>
    </w:p>
    <w:p w14:paraId="4C0F45A7" w14:textId="77777777" w:rsidR="006201AB" w:rsidRPr="00324B48" w:rsidRDefault="006201AB" w:rsidP="00AD2C0B">
      <w:pPr>
        <w:rPr>
          <w:rFonts w:eastAsia="Times New Roman" w:cs="Times New Roman"/>
          <w:szCs w:val="24"/>
          <w:lang w:eastAsia="es-ES"/>
        </w:rPr>
      </w:pPr>
      <w:r w:rsidRPr="00324B48">
        <w:rPr>
          <w:rFonts w:eastAsia="Times New Roman" w:cs="Times New Roman"/>
          <w:b/>
          <w:bCs/>
          <w:i/>
          <w:iCs/>
          <w:szCs w:val="24"/>
          <w:lang w:val="es-CO" w:eastAsia="es-ES"/>
        </w:rPr>
        <w:t> </w:t>
      </w:r>
    </w:p>
    <w:p w14:paraId="00F002D2" w14:textId="77777777" w:rsidR="006201AB" w:rsidRPr="00440892" w:rsidRDefault="006201AB" w:rsidP="00AD2C0B">
      <w:pPr>
        <w:ind w:left="284"/>
        <w:rPr>
          <w:rFonts w:eastAsia="Times New Roman" w:cs="Times New Roman"/>
          <w:sz w:val="32"/>
          <w:szCs w:val="32"/>
          <w:lang w:eastAsia="es-ES"/>
        </w:rPr>
      </w:pPr>
      <w:r w:rsidRPr="00440892">
        <w:rPr>
          <w:rFonts w:eastAsia="Times New Roman" w:cs="Times New Roman"/>
          <w:b/>
          <w:bCs/>
          <w:i/>
          <w:iCs/>
          <w:sz w:val="32"/>
          <w:szCs w:val="32"/>
          <w:lang w:val="es-CO" w:eastAsia="es-ES"/>
        </w:rPr>
        <w:t>1</w:t>
      </w:r>
      <w:r w:rsidRPr="00440892">
        <w:rPr>
          <w:rFonts w:eastAsia="Times New Roman" w:cs="Times New Roman"/>
          <w:b/>
          <w:bCs/>
          <w:i/>
          <w:iCs/>
          <w:sz w:val="32"/>
          <w:szCs w:val="32"/>
          <w:highlight w:val="green"/>
          <w:lang w:val="es-CO" w:eastAsia="es-ES"/>
        </w:rPr>
        <w:t>. “¿Está la propiedad horizontal obligada a facturar electrónicamente no solo los ingresos que generan IVA sino también las cuotas de administración que no están gravadas con este impuesto?”</w:t>
      </w:r>
    </w:p>
    <w:p w14:paraId="12A8DC07" w14:textId="77777777" w:rsidR="006201AB" w:rsidRPr="00324B48" w:rsidRDefault="006201AB" w:rsidP="00AD2C0B">
      <w:pPr>
        <w:rPr>
          <w:rFonts w:eastAsia="Times New Roman" w:cs="Times New Roman"/>
          <w:szCs w:val="24"/>
          <w:lang w:eastAsia="es-ES"/>
        </w:rPr>
      </w:pPr>
      <w:r w:rsidRPr="00324B48">
        <w:rPr>
          <w:rFonts w:eastAsia="Times New Roman" w:cs="Times New Roman"/>
          <w:szCs w:val="24"/>
          <w:lang w:val="es-CO" w:eastAsia="es-ES"/>
        </w:rPr>
        <w:t> </w:t>
      </w:r>
    </w:p>
    <w:p w14:paraId="730DB2B0" w14:textId="77777777" w:rsidR="006201AB" w:rsidRPr="00324B48" w:rsidRDefault="006201AB" w:rsidP="00AD2C0B">
      <w:pPr>
        <w:ind w:left="284"/>
        <w:rPr>
          <w:rFonts w:eastAsia="Times New Roman" w:cs="Times New Roman"/>
          <w:szCs w:val="24"/>
          <w:lang w:eastAsia="es-ES"/>
        </w:rPr>
      </w:pPr>
      <w:r w:rsidRPr="00324B48">
        <w:rPr>
          <w:rFonts w:eastAsia="Times New Roman" w:cs="Times New Roman"/>
          <w:szCs w:val="24"/>
          <w:lang w:val="es-CO" w:eastAsia="es-ES"/>
        </w:rPr>
        <w:t>1.1. Los artículos </w:t>
      </w:r>
      <w:hyperlink r:id="rId6" w:tooltip="Estatuto Tributario CETA" w:history="1">
        <w:r w:rsidRPr="00324B48">
          <w:rPr>
            <w:rFonts w:eastAsia="Times New Roman" w:cs="Times New Roman"/>
            <w:szCs w:val="24"/>
            <w:lang w:val="es-CO" w:eastAsia="es-ES"/>
          </w:rPr>
          <w:t>615</w:t>
        </w:r>
      </w:hyperlink>
      <w:r w:rsidRPr="00324B48">
        <w:rPr>
          <w:rFonts w:eastAsia="Times New Roman" w:cs="Times New Roman"/>
          <w:szCs w:val="24"/>
          <w:lang w:val="es-CO" w:eastAsia="es-ES"/>
        </w:rPr>
        <w:t> y </w:t>
      </w:r>
      <w:hyperlink r:id="rId7" w:tooltip="Estatuto Tributario CETA" w:history="1">
        <w:r w:rsidRPr="00324B48">
          <w:rPr>
            <w:rFonts w:eastAsia="Times New Roman" w:cs="Times New Roman"/>
            <w:szCs w:val="24"/>
            <w:lang w:val="es-CO" w:eastAsia="es-ES"/>
          </w:rPr>
          <w:t>616-1</w:t>
        </w:r>
      </w:hyperlink>
      <w:r w:rsidRPr="00324B48">
        <w:rPr>
          <w:rFonts w:eastAsia="Times New Roman" w:cs="Times New Roman"/>
          <w:szCs w:val="24"/>
          <w:lang w:val="es-CO" w:eastAsia="es-ES"/>
        </w:rPr>
        <w:t> del Estatuto Tributario establecen, entre otros, que:</w:t>
      </w:r>
    </w:p>
    <w:p w14:paraId="6F8CED7A" w14:textId="77777777" w:rsidR="006201AB" w:rsidRPr="00324B48" w:rsidRDefault="006201AB" w:rsidP="00AD2C0B">
      <w:pPr>
        <w:rPr>
          <w:rFonts w:eastAsia="Times New Roman" w:cs="Times New Roman"/>
          <w:szCs w:val="24"/>
          <w:lang w:eastAsia="es-ES"/>
        </w:rPr>
      </w:pPr>
      <w:r w:rsidRPr="00324B48">
        <w:rPr>
          <w:rFonts w:eastAsia="Times New Roman" w:cs="Times New Roman"/>
          <w:i/>
          <w:iCs/>
          <w:szCs w:val="24"/>
          <w:lang w:val="es-CO" w:eastAsia="es-ES"/>
        </w:rPr>
        <w:t> </w:t>
      </w:r>
    </w:p>
    <w:p w14:paraId="0C7F5A55" w14:textId="77777777" w:rsidR="006201AB" w:rsidRPr="00324B48" w:rsidRDefault="006201AB" w:rsidP="00AD2C0B">
      <w:pPr>
        <w:ind w:left="284"/>
        <w:rPr>
          <w:rFonts w:eastAsia="Times New Roman" w:cs="Times New Roman"/>
          <w:szCs w:val="24"/>
          <w:lang w:eastAsia="es-ES"/>
        </w:rPr>
      </w:pPr>
      <w:r w:rsidRPr="00324B48">
        <w:rPr>
          <w:rFonts w:eastAsia="Times New Roman" w:cs="Times New Roman"/>
          <w:i/>
          <w:iCs/>
          <w:szCs w:val="24"/>
          <w:lang w:val="es-CO" w:eastAsia="es-ES"/>
        </w:rPr>
        <w:t>“</w:t>
      </w:r>
      <w:hyperlink r:id="rId8" w:tooltip="Estatuto Tributario CETA" w:history="1">
        <w:r w:rsidRPr="00324B48">
          <w:rPr>
            <w:rFonts w:eastAsia="Times New Roman" w:cs="Times New Roman"/>
            <w:b/>
            <w:bCs/>
            <w:i/>
            <w:iCs/>
            <w:szCs w:val="24"/>
            <w:lang w:val="es-CO" w:eastAsia="es-ES"/>
          </w:rPr>
          <w:t>Artículo 615</w:t>
        </w:r>
      </w:hyperlink>
      <w:r w:rsidRPr="00324B48">
        <w:rPr>
          <w:rFonts w:eastAsia="Times New Roman" w:cs="Times New Roman"/>
          <w:b/>
          <w:bCs/>
          <w:i/>
          <w:iCs/>
          <w:szCs w:val="24"/>
          <w:lang w:val="es-CO" w:eastAsia="es-ES"/>
        </w:rPr>
        <w:t>. Obligación de expedir factura. </w:t>
      </w:r>
      <w:r w:rsidRPr="00324B48">
        <w:rPr>
          <w:rFonts w:eastAsia="Times New Roman" w:cs="Times New Roman"/>
          <w:i/>
          <w:iCs/>
          <w:szCs w:val="24"/>
          <w:lang w:val="es-CO" w:eastAsia="es-ES"/>
        </w:rPr>
        <w:t>Para efectos tributarios, todas las personas o entidades que tengan la calidad de comerciantes, ejerzan profesiones liberales o presten servicios inherentes a estas, o enajenen bienes producto de la actividad agrícola o ganadera, </w:t>
      </w:r>
      <w:r w:rsidRPr="00324B48">
        <w:rPr>
          <w:rFonts w:eastAsia="Times New Roman" w:cs="Times New Roman"/>
          <w:i/>
          <w:iCs/>
          <w:szCs w:val="24"/>
          <w:u w:val="single"/>
          <w:lang w:val="es-CO" w:eastAsia="es-ES"/>
        </w:rPr>
        <w:t xml:space="preserve">deberán expedir factura o documento equivalente, y conservar copia de la misma </w:t>
      </w:r>
      <w:r w:rsidRPr="00324B48">
        <w:rPr>
          <w:rFonts w:eastAsia="Times New Roman" w:cs="Times New Roman"/>
          <w:i/>
          <w:iCs/>
          <w:szCs w:val="24"/>
          <w:u w:val="single"/>
          <w:lang w:val="es-CO" w:eastAsia="es-ES"/>
        </w:rPr>
        <w:lastRenderedPageBreak/>
        <w:t>por cada una de las operaciones que realicen</w:t>
      </w:r>
      <w:r w:rsidRPr="00324B48">
        <w:rPr>
          <w:rFonts w:eastAsia="Times New Roman" w:cs="Times New Roman"/>
          <w:i/>
          <w:iCs/>
          <w:szCs w:val="24"/>
          <w:lang w:val="es-CO" w:eastAsia="es-ES"/>
        </w:rPr>
        <w:t>, independientemente de su calidad de contribuyentes o no contribuyentes de los impuestos administrados por la Dirección General de Impuestos Nacionales. (…).</w:t>
      </w:r>
    </w:p>
    <w:p w14:paraId="0CB92FD8" w14:textId="77777777" w:rsidR="006201AB" w:rsidRPr="00324B48" w:rsidRDefault="006201AB" w:rsidP="00AD2C0B">
      <w:pPr>
        <w:ind w:left="284"/>
        <w:rPr>
          <w:rFonts w:eastAsia="Times New Roman" w:cs="Times New Roman"/>
          <w:szCs w:val="24"/>
          <w:lang w:eastAsia="es-ES"/>
        </w:rPr>
      </w:pPr>
      <w:r w:rsidRPr="00324B48">
        <w:rPr>
          <w:rFonts w:eastAsia="Times New Roman" w:cs="Times New Roman"/>
          <w:b/>
          <w:bCs/>
          <w:i/>
          <w:iCs/>
          <w:szCs w:val="24"/>
          <w:lang w:val="es-CO" w:eastAsia="es-ES"/>
        </w:rPr>
        <w:t> </w:t>
      </w:r>
    </w:p>
    <w:p w14:paraId="376D3774" w14:textId="77777777" w:rsidR="006201AB" w:rsidRPr="00324B48" w:rsidRDefault="00000000" w:rsidP="00AD2C0B">
      <w:pPr>
        <w:ind w:left="284"/>
        <w:rPr>
          <w:rFonts w:eastAsia="Times New Roman" w:cs="Times New Roman"/>
          <w:szCs w:val="24"/>
          <w:lang w:eastAsia="es-ES"/>
        </w:rPr>
      </w:pPr>
      <w:hyperlink r:id="rId9" w:tooltip="Estatuto Tributario CETA" w:history="1">
        <w:r w:rsidR="006201AB" w:rsidRPr="00324B48">
          <w:rPr>
            <w:rFonts w:eastAsia="Times New Roman" w:cs="Times New Roman"/>
            <w:b/>
            <w:bCs/>
            <w:i/>
            <w:iCs/>
            <w:szCs w:val="24"/>
            <w:lang w:val="es-CO" w:eastAsia="es-ES"/>
          </w:rPr>
          <w:t>Artículo 616-1</w:t>
        </w:r>
      </w:hyperlink>
      <w:r w:rsidR="006201AB" w:rsidRPr="00324B48">
        <w:rPr>
          <w:rFonts w:eastAsia="Times New Roman" w:cs="Times New Roman"/>
          <w:b/>
          <w:bCs/>
          <w:i/>
          <w:iCs/>
          <w:szCs w:val="24"/>
          <w:lang w:val="es-CO" w:eastAsia="es-ES"/>
        </w:rPr>
        <w:t>. Factura o documento equivalente. </w:t>
      </w:r>
      <w:r w:rsidR="006201AB" w:rsidRPr="00324B48">
        <w:rPr>
          <w:rFonts w:eastAsia="Times New Roman" w:cs="Times New Roman"/>
          <w:i/>
          <w:iCs/>
          <w:szCs w:val="24"/>
          <w:u w:val="single"/>
          <w:lang w:val="es-CO" w:eastAsia="es-ES"/>
        </w:rPr>
        <w:t>La factura de venta o documento equivalente se expedirá, en las operaciones que se realicen con comerciantes, importadores o prestadores de servicios o en las ventas a consumidores finales</w:t>
      </w:r>
      <w:r w:rsidR="006201AB" w:rsidRPr="00324B48">
        <w:rPr>
          <w:rFonts w:eastAsia="Times New Roman" w:cs="Times New Roman"/>
          <w:i/>
          <w:iCs/>
          <w:szCs w:val="24"/>
          <w:lang w:val="es-CO" w:eastAsia="es-ES"/>
        </w:rPr>
        <w:t>. (…)”.</w:t>
      </w:r>
    </w:p>
    <w:p w14:paraId="73F529A4" w14:textId="77777777" w:rsidR="006201AB" w:rsidRPr="00324B48" w:rsidRDefault="006201AB" w:rsidP="00AD2C0B">
      <w:pPr>
        <w:rPr>
          <w:rFonts w:eastAsia="Times New Roman" w:cs="Times New Roman"/>
          <w:szCs w:val="24"/>
          <w:lang w:eastAsia="es-ES"/>
        </w:rPr>
      </w:pPr>
      <w:r w:rsidRPr="00324B48">
        <w:rPr>
          <w:rFonts w:eastAsia="Times New Roman" w:cs="Times New Roman"/>
          <w:szCs w:val="24"/>
          <w:lang w:val="es-CO" w:eastAsia="es-ES"/>
        </w:rPr>
        <w:t> </w:t>
      </w:r>
    </w:p>
    <w:p w14:paraId="1F4B63E1" w14:textId="77777777" w:rsidR="006201AB" w:rsidRPr="00324B48" w:rsidRDefault="006201AB" w:rsidP="00AD2C0B">
      <w:pPr>
        <w:rPr>
          <w:rFonts w:eastAsia="Times New Roman" w:cs="Times New Roman"/>
          <w:szCs w:val="24"/>
          <w:lang w:eastAsia="es-ES"/>
        </w:rPr>
      </w:pPr>
      <w:r w:rsidRPr="00324B48">
        <w:rPr>
          <w:rFonts w:eastAsia="Times New Roman" w:cs="Times New Roman"/>
          <w:szCs w:val="24"/>
          <w:lang w:val="es-CO" w:eastAsia="es-ES"/>
        </w:rPr>
        <w:t>1.2. Así mismo, el artículo 1.6.1.4.2. del Decreto 1625 de 2016 establece los sujetos obligados a expedir factura, donde señala, entre otros, que:</w:t>
      </w:r>
    </w:p>
    <w:p w14:paraId="2A436669" w14:textId="77777777" w:rsidR="006201AB" w:rsidRPr="00324B48" w:rsidRDefault="006201AB" w:rsidP="00AD2C0B">
      <w:pPr>
        <w:rPr>
          <w:rFonts w:eastAsia="Times New Roman" w:cs="Times New Roman"/>
          <w:szCs w:val="24"/>
          <w:lang w:eastAsia="es-ES"/>
        </w:rPr>
      </w:pPr>
      <w:r w:rsidRPr="00324B48">
        <w:rPr>
          <w:rFonts w:eastAsia="Times New Roman" w:cs="Times New Roman"/>
          <w:i/>
          <w:iCs/>
          <w:szCs w:val="24"/>
          <w:lang w:val="es-CO" w:eastAsia="es-ES"/>
        </w:rPr>
        <w:t> </w:t>
      </w:r>
    </w:p>
    <w:p w14:paraId="76BCA268" w14:textId="684E84E6" w:rsidR="006201AB" w:rsidRPr="00324B48" w:rsidRDefault="006201AB" w:rsidP="00AD2C0B">
      <w:pPr>
        <w:ind w:left="284"/>
        <w:rPr>
          <w:rFonts w:eastAsia="Times New Roman" w:cs="Times New Roman"/>
          <w:i/>
          <w:iCs/>
          <w:szCs w:val="24"/>
          <w:lang w:val="es-CO" w:eastAsia="es-ES"/>
        </w:rPr>
      </w:pPr>
      <w:r w:rsidRPr="00324B48">
        <w:rPr>
          <w:rFonts w:eastAsia="Times New Roman" w:cs="Times New Roman"/>
          <w:i/>
          <w:iCs/>
          <w:szCs w:val="24"/>
          <w:lang w:val="es-CO" w:eastAsia="es-ES"/>
        </w:rPr>
        <w:t>“</w:t>
      </w:r>
      <w:r w:rsidRPr="00324B48">
        <w:rPr>
          <w:rFonts w:eastAsia="Times New Roman" w:cs="Times New Roman"/>
          <w:b/>
          <w:bCs/>
          <w:i/>
          <w:iCs/>
          <w:szCs w:val="24"/>
          <w:lang w:val="es-CO" w:eastAsia="es-ES"/>
        </w:rPr>
        <w:t>ARTÍCULO 1.6.1.4.2. Sujetos obligados a expedir factura de venta y/o documento equivalente. </w:t>
      </w:r>
      <w:r w:rsidRPr="00324B48">
        <w:rPr>
          <w:rFonts w:eastAsia="Times New Roman" w:cs="Times New Roman"/>
          <w:i/>
          <w:iCs/>
          <w:szCs w:val="24"/>
          <w:lang w:val="es-CO" w:eastAsia="es-ES"/>
        </w:rPr>
        <w:t>Se encuentran obligados a expedir factura de venta y/o documento equivalente por todas y cada una de las operaciones que realicen, los siguientes sujetos:</w:t>
      </w:r>
    </w:p>
    <w:p w14:paraId="274D6278" w14:textId="77777777" w:rsidR="00AD2C0B" w:rsidRPr="00324B48" w:rsidRDefault="00AD2C0B" w:rsidP="00AD2C0B">
      <w:pPr>
        <w:ind w:left="284"/>
        <w:rPr>
          <w:rFonts w:eastAsia="Times New Roman" w:cs="Times New Roman"/>
          <w:szCs w:val="24"/>
          <w:lang w:eastAsia="es-ES"/>
        </w:rPr>
      </w:pPr>
    </w:p>
    <w:p w14:paraId="3DAF6EEF" w14:textId="77777777" w:rsidR="006201AB" w:rsidRPr="00324B48" w:rsidRDefault="006201AB" w:rsidP="00AD2C0B">
      <w:pPr>
        <w:ind w:left="284"/>
        <w:rPr>
          <w:rFonts w:eastAsia="Times New Roman" w:cs="Times New Roman"/>
          <w:szCs w:val="24"/>
          <w:lang w:eastAsia="es-ES"/>
        </w:rPr>
      </w:pPr>
      <w:r w:rsidRPr="00324B48">
        <w:rPr>
          <w:rFonts w:eastAsia="Times New Roman" w:cs="Times New Roman"/>
          <w:i/>
          <w:iCs/>
          <w:szCs w:val="24"/>
          <w:lang w:val="es-CO" w:eastAsia="es-ES"/>
        </w:rPr>
        <w:t>1. </w:t>
      </w:r>
      <w:r w:rsidRPr="00324B48">
        <w:rPr>
          <w:rFonts w:eastAsia="Times New Roman" w:cs="Times New Roman"/>
          <w:i/>
          <w:iCs/>
          <w:szCs w:val="24"/>
          <w:u w:val="single"/>
          <w:lang w:val="es-CO" w:eastAsia="es-ES"/>
        </w:rPr>
        <w:t>Los responsables del impuesto sobre la ventas -IVA</w:t>
      </w:r>
      <w:r w:rsidRPr="00324B48">
        <w:rPr>
          <w:rFonts w:eastAsia="Times New Roman" w:cs="Times New Roman"/>
          <w:i/>
          <w:iCs/>
          <w:szCs w:val="24"/>
          <w:lang w:val="es-CO" w:eastAsia="es-ES"/>
        </w:rPr>
        <w:t>;</w:t>
      </w:r>
    </w:p>
    <w:p w14:paraId="1FCF17C1" w14:textId="77777777" w:rsidR="00AD2C0B" w:rsidRPr="00324B48" w:rsidRDefault="00AD2C0B" w:rsidP="00AD2C0B">
      <w:pPr>
        <w:ind w:left="284"/>
        <w:rPr>
          <w:rFonts w:eastAsia="Times New Roman" w:cs="Times New Roman"/>
          <w:i/>
          <w:iCs/>
          <w:szCs w:val="24"/>
          <w:lang w:val="es-CO" w:eastAsia="es-ES"/>
        </w:rPr>
      </w:pPr>
    </w:p>
    <w:p w14:paraId="0E3FAA1C" w14:textId="5EC7532F" w:rsidR="006201AB" w:rsidRPr="00324B48" w:rsidRDefault="006201AB" w:rsidP="00AD2C0B">
      <w:pPr>
        <w:ind w:left="284"/>
        <w:rPr>
          <w:rFonts w:eastAsia="Times New Roman" w:cs="Times New Roman"/>
          <w:szCs w:val="24"/>
          <w:lang w:eastAsia="es-ES"/>
        </w:rPr>
      </w:pPr>
      <w:r w:rsidRPr="00324B48">
        <w:rPr>
          <w:rFonts w:eastAsia="Times New Roman" w:cs="Times New Roman"/>
          <w:i/>
          <w:iCs/>
          <w:szCs w:val="24"/>
          <w:lang w:val="es-CO" w:eastAsia="es-ES"/>
        </w:rPr>
        <w:t>2. Los responsables del impuesto nacional al consumo;</w:t>
      </w:r>
    </w:p>
    <w:p w14:paraId="303C0454" w14:textId="77777777" w:rsidR="00AD2C0B" w:rsidRPr="00324B48" w:rsidRDefault="00AD2C0B" w:rsidP="00AD2C0B">
      <w:pPr>
        <w:ind w:left="284"/>
        <w:rPr>
          <w:rFonts w:eastAsia="Times New Roman" w:cs="Times New Roman"/>
          <w:i/>
          <w:iCs/>
          <w:szCs w:val="24"/>
          <w:lang w:val="es-CO" w:eastAsia="es-ES"/>
        </w:rPr>
      </w:pPr>
    </w:p>
    <w:p w14:paraId="3B6D9B23" w14:textId="66CF0D3E" w:rsidR="006201AB" w:rsidRPr="00324B48" w:rsidRDefault="006201AB" w:rsidP="00AD2C0B">
      <w:pPr>
        <w:ind w:left="284"/>
        <w:rPr>
          <w:rFonts w:eastAsia="Times New Roman" w:cs="Times New Roman"/>
          <w:szCs w:val="24"/>
          <w:lang w:eastAsia="es-ES"/>
        </w:rPr>
      </w:pPr>
      <w:r w:rsidRPr="00324B48">
        <w:rPr>
          <w:rFonts w:eastAsia="Times New Roman" w:cs="Times New Roman"/>
          <w:i/>
          <w:iCs/>
          <w:szCs w:val="24"/>
          <w:lang w:val="es-CO" w:eastAsia="es-ES"/>
        </w:rPr>
        <w:t>3. </w:t>
      </w:r>
      <w:r w:rsidRPr="00324B48">
        <w:rPr>
          <w:rFonts w:eastAsia="Times New Roman" w:cs="Times New Roman"/>
          <w:i/>
          <w:iCs/>
          <w:szCs w:val="24"/>
          <w:u w:val="single"/>
          <w:lang w:val="es-CO" w:eastAsia="es-ES"/>
        </w:rPr>
        <w:t>Todas las personas o entidades que tengan la calidad de comerciantes, ejerzan profesiones liberales o presten servicios inherentes a estas, o enajenen bienes producto de la actividad agrícola o ganadera, independientemente de su calidad de contribuyentes o no contribuyentes de los impuestos administrados por la Unidad Administrativa Especial Dirección de Impuestos y Aduanas Nacionales - DIAN, con excepción de los sujetos no obligados a expedir factura de venta y/o documento equivalente previstos en los artículos </w:t>
      </w:r>
      <w:hyperlink r:id="rId10" w:tooltip="Estatuto Tributario CETA" w:history="1">
        <w:r w:rsidRPr="00324B48">
          <w:rPr>
            <w:rFonts w:eastAsia="Times New Roman" w:cs="Times New Roman"/>
            <w:i/>
            <w:iCs/>
            <w:szCs w:val="24"/>
            <w:lang w:val="es-CO" w:eastAsia="es-ES"/>
          </w:rPr>
          <w:t>616-2</w:t>
        </w:r>
      </w:hyperlink>
      <w:r w:rsidRPr="00324B48">
        <w:rPr>
          <w:rFonts w:eastAsia="Times New Roman" w:cs="Times New Roman"/>
          <w:i/>
          <w:iCs/>
          <w:szCs w:val="24"/>
          <w:u w:val="single"/>
          <w:lang w:val="es-CO" w:eastAsia="es-ES"/>
        </w:rPr>
        <w:t>, inciso 4 del parágrafo 2 y parágrafo 3 del artículo </w:t>
      </w:r>
      <w:hyperlink r:id="rId11" w:tooltip="Estatuto Tributario CETA" w:history="1">
        <w:r w:rsidRPr="00324B48">
          <w:rPr>
            <w:rFonts w:eastAsia="Times New Roman" w:cs="Times New Roman"/>
            <w:i/>
            <w:iCs/>
            <w:szCs w:val="24"/>
            <w:lang w:val="es-CO" w:eastAsia="es-ES"/>
          </w:rPr>
          <w:t>437</w:t>
        </w:r>
      </w:hyperlink>
      <w:r w:rsidRPr="00324B48">
        <w:rPr>
          <w:rFonts w:eastAsia="Times New Roman" w:cs="Times New Roman"/>
          <w:i/>
          <w:iCs/>
          <w:szCs w:val="24"/>
          <w:u w:val="single"/>
          <w:lang w:val="es-CO" w:eastAsia="es-ES"/>
        </w:rPr>
        <w:t> y </w:t>
      </w:r>
      <w:hyperlink r:id="rId12" w:tooltip="Estatuto Tributario CETA" w:history="1">
        <w:r w:rsidRPr="00324B48">
          <w:rPr>
            <w:rFonts w:eastAsia="Times New Roman" w:cs="Times New Roman"/>
            <w:i/>
            <w:iCs/>
            <w:szCs w:val="24"/>
            <w:lang w:val="es-CO" w:eastAsia="es-ES"/>
          </w:rPr>
          <w:t>512-13</w:t>
        </w:r>
      </w:hyperlink>
      <w:r w:rsidRPr="00324B48">
        <w:rPr>
          <w:rFonts w:eastAsia="Times New Roman" w:cs="Times New Roman"/>
          <w:i/>
          <w:iCs/>
          <w:szCs w:val="24"/>
          <w:u w:val="single"/>
          <w:lang w:val="es-CO" w:eastAsia="es-ES"/>
        </w:rPr>
        <w:t> del Estatuto Tributario y en el artículo 1.6.1.4.3., del presente Decreto</w:t>
      </w:r>
      <w:r w:rsidRPr="00324B48">
        <w:rPr>
          <w:rFonts w:eastAsia="Times New Roman" w:cs="Times New Roman"/>
          <w:i/>
          <w:iCs/>
          <w:szCs w:val="24"/>
          <w:lang w:val="es-CO" w:eastAsia="es-ES"/>
        </w:rPr>
        <w:t>; (…).”</w:t>
      </w:r>
    </w:p>
    <w:p w14:paraId="76E55292" w14:textId="77777777" w:rsidR="006201AB" w:rsidRPr="00324B48" w:rsidRDefault="006201AB" w:rsidP="00AD2C0B">
      <w:pPr>
        <w:rPr>
          <w:rFonts w:eastAsia="Times New Roman" w:cs="Times New Roman"/>
          <w:szCs w:val="24"/>
          <w:lang w:eastAsia="es-ES"/>
        </w:rPr>
      </w:pPr>
      <w:r w:rsidRPr="00324B48">
        <w:rPr>
          <w:rFonts w:eastAsia="Times New Roman" w:cs="Times New Roman"/>
          <w:szCs w:val="24"/>
          <w:lang w:val="es-CO" w:eastAsia="es-ES"/>
        </w:rPr>
        <w:t> </w:t>
      </w:r>
    </w:p>
    <w:p w14:paraId="569DA878" w14:textId="77777777" w:rsidR="006201AB" w:rsidRPr="00324B48" w:rsidRDefault="006201AB" w:rsidP="00AD2C0B">
      <w:pPr>
        <w:rPr>
          <w:rFonts w:eastAsia="Times New Roman" w:cs="Times New Roman"/>
          <w:szCs w:val="24"/>
          <w:lang w:eastAsia="es-ES"/>
        </w:rPr>
      </w:pPr>
      <w:r w:rsidRPr="00324B48">
        <w:rPr>
          <w:rFonts w:eastAsia="Times New Roman" w:cs="Times New Roman"/>
          <w:szCs w:val="24"/>
          <w:lang w:val="es-CO" w:eastAsia="es-ES"/>
        </w:rPr>
        <w:t>1.3. Respecto a lo anterior, el Oficio No. 900012 del 12 de febrero de 2019 realizó un análisis de </w:t>
      </w:r>
      <w:r w:rsidRPr="00324B48">
        <w:rPr>
          <w:rFonts w:eastAsia="Times New Roman" w:cs="Times New Roman"/>
          <w:i/>
          <w:iCs/>
          <w:szCs w:val="24"/>
          <w:lang w:val="es-CO" w:eastAsia="es-ES"/>
        </w:rPr>
        <w:t>“La propiedad horizontal y la Obligación de Expedir Factura”</w:t>
      </w:r>
      <w:r w:rsidRPr="00324B48">
        <w:rPr>
          <w:rFonts w:eastAsia="Times New Roman" w:cs="Times New Roman"/>
          <w:szCs w:val="24"/>
          <w:lang w:val="es-CO" w:eastAsia="es-ES"/>
        </w:rPr>
        <w:t>, donde concluyó que:</w:t>
      </w:r>
    </w:p>
    <w:p w14:paraId="7954E021" w14:textId="77777777" w:rsidR="006201AB" w:rsidRPr="00324B48" w:rsidRDefault="006201AB" w:rsidP="00AD2C0B">
      <w:pPr>
        <w:rPr>
          <w:rFonts w:eastAsia="Times New Roman" w:cs="Times New Roman"/>
          <w:szCs w:val="24"/>
          <w:lang w:eastAsia="es-ES"/>
        </w:rPr>
      </w:pPr>
      <w:r w:rsidRPr="00324B48">
        <w:rPr>
          <w:rFonts w:eastAsia="Times New Roman" w:cs="Times New Roman"/>
          <w:i/>
          <w:iCs/>
          <w:szCs w:val="24"/>
          <w:lang w:val="es-CO" w:eastAsia="es-ES"/>
        </w:rPr>
        <w:t> </w:t>
      </w:r>
    </w:p>
    <w:p w14:paraId="48273857" w14:textId="77777777" w:rsidR="006201AB" w:rsidRPr="00324B48" w:rsidRDefault="006201AB" w:rsidP="00AD2C0B">
      <w:pPr>
        <w:ind w:left="284"/>
        <w:rPr>
          <w:rFonts w:eastAsia="Times New Roman" w:cs="Times New Roman"/>
          <w:szCs w:val="24"/>
          <w:lang w:eastAsia="es-ES"/>
        </w:rPr>
      </w:pPr>
      <w:r w:rsidRPr="00324B48">
        <w:rPr>
          <w:rFonts w:eastAsia="Times New Roman" w:cs="Times New Roman"/>
          <w:i/>
          <w:iCs/>
          <w:szCs w:val="24"/>
          <w:lang w:val="es-CO" w:eastAsia="es-ES"/>
        </w:rPr>
        <w:t>“(…) En este contexto se concluye que:</w:t>
      </w:r>
    </w:p>
    <w:p w14:paraId="23A9403E" w14:textId="77777777" w:rsidR="006201AB" w:rsidRPr="00324B48" w:rsidRDefault="006201AB" w:rsidP="00AD2C0B">
      <w:pPr>
        <w:ind w:left="284"/>
        <w:rPr>
          <w:rFonts w:eastAsia="Times New Roman" w:cs="Times New Roman"/>
          <w:szCs w:val="24"/>
          <w:lang w:eastAsia="es-ES"/>
        </w:rPr>
      </w:pPr>
      <w:r w:rsidRPr="00324B48">
        <w:rPr>
          <w:rFonts w:eastAsia="Times New Roman" w:cs="Times New Roman"/>
          <w:i/>
          <w:iCs/>
          <w:szCs w:val="24"/>
          <w:lang w:val="es-CO" w:eastAsia="es-ES"/>
        </w:rPr>
        <w:t>- </w:t>
      </w:r>
      <w:r w:rsidRPr="00324B48">
        <w:rPr>
          <w:rFonts w:eastAsia="Times New Roman" w:cs="Times New Roman"/>
          <w:i/>
          <w:iCs/>
          <w:szCs w:val="24"/>
          <w:u w:val="single"/>
          <w:lang w:val="es-CO" w:eastAsia="es-ES"/>
        </w:rPr>
        <w:t>La obligación de expedir factura no se limita a los responsables del impuesto sobre las ventas, sino que se extiende, entre otros, a quienes presten servicios, independientemente que sean gravados o no</w:t>
      </w:r>
      <w:r w:rsidRPr="00324B48">
        <w:rPr>
          <w:rFonts w:eastAsia="Times New Roman" w:cs="Times New Roman"/>
          <w:i/>
          <w:iCs/>
          <w:szCs w:val="24"/>
          <w:lang w:val="es-CO" w:eastAsia="es-ES"/>
        </w:rPr>
        <w:t>.</w:t>
      </w:r>
    </w:p>
    <w:p w14:paraId="2F124DCF" w14:textId="77777777" w:rsidR="006201AB" w:rsidRPr="00324B48" w:rsidRDefault="006201AB" w:rsidP="00AD2C0B">
      <w:pPr>
        <w:ind w:left="284"/>
        <w:rPr>
          <w:rFonts w:eastAsia="Times New Roman" w:cs="Times New Roman"/>
          <w:szCs w:val="24"/>
          <w:lang w:eastAsia="es-ES"/>
        </w:rPr>
      </w:pPr>
      <w:r w:rsidRPr="00324B48">
        <w:rPr>
          <w:rFonts w:eastAsia="Times New Roman" w:cs="Times New Roman"/>
          <w:i/>
          <w:iCs/>
          <w:szCs w:val="24"/>
          <w:lang w:val="es-CO" w:eastAsia="es-ES"/>
        </w:rPr>
        <w:t>- Frente a la persona jurídica que surge de la propiedad horizontal, debe igualmente atender la regla general que trae el </w:t>
      </w:r>
      <w:hyperlink r:id="rId13" w:tooltip="Estatuto Tributario CETA" w:history="1">
        <w:r w:rsidRPr="00324B48">
          <w:rPr>
            <w:rFonts w:eastAsia="Times New Roman" w:cs="Times New Roman"/>
            <w:i/>
            <w:iCs/>
            <w:szCs w:val="24"/>
            <w:lang w:val="es-CO" w:eastAsia="es-ES"/>
          </w:rPr>
          <w:t>artículo 615</w:t>
        </w:r>
      </w:hyperlink>
      <w:r w:rsidRPr="00324B48">
        <w:rPr>
          <w:rFonts w:eastAsia="Times New Roman" w:cs="Times New Roman"/>
          <w:i/>
          <w:iCs/>
          <w:szCs w:val="24"/>
          <w:lang w:val="es-CO" w:eastAsia="es-ES"/>
        </w:rPr>
        <w:t> del Estatuto Tributario en armonía con el </w:t>
      </w:r>
      <w:hyperlink r:id="rId14" w:tooltip="Estatuto Tributario CETA" w:history="1">
        <w:r w:rsidRPr="00324B48">
          <w:rPr>
            <w:rFonts w:eastAsia="Times New Roman" w:cs="Times New Roman"/>
            <w:i/>
            <w:iCs/>
            <w:szCs w:val="24"/>
            <w:lang w:val="es-CO" w:eastAsia="es-ES"/>
          </w:rPr>
          <w:t>artículo 616-1</w:t>
        </w:r>
      </w:hyperlink>
      <w:r w:rsidRPr="00324B48">
        <w:rPr>
          <w:rFonts w:eastAsia="Times New Roman" w:cs="Times New Roman"/>
          <w:i/>
          <w:iCs/>
          <w:szCs w:val="24"/>
          <w:lang w:val="es-CO" w:eastAsia="es-ES"/>
        </w:rPr>
        <w:t> </w:t>
      </w:r>
      <w:proofErr w:type="spellStart"/>
      <w:r w:rsidRPr="00324B48">
        <w:rPr>
          <w:rFonts w:eastAsia="Times New Roman" w:cs="Times New Roman"/>
          <w:i/>
          <w:iCs/>
          <w:szCs w:val="24"/>
          <w:lang w:val="es-CO" w:eastAsia="es-ES"/>
        </w:rPr>
        <w:t>ibídem</w:t>
      </w:r>
      <w:proofErr w:type="spellEnd"/>
      <w:r w:rsidRPr="00324B48">
        <w:rPr>
          <w:rFonts w:eastAsia="Times New Roman" w:cs="Times New Roman"/>
          <w:i/>
          <w:iCs/>
          <w:szCs w:val="24"/>
          <w:lang w:val="es-CO" w:eastAsia="es-ES"/>
        </w:rPr>
        <w:t xml:space="preserve">, en cuanto a la obligación de expedir factura por las </w:t>
      </w:r>
      <w:r w:rsidRPr="00324B48">
        <w:rPr>
          <w:rFonts w:eastAsia="Times New Roman" w:cs="Times New Roman"/>
          <w:i/>
          <w:iCs/>
          <w:szCs w:val="24"/>
          <w:u w:val="single"/>
          <w:lang w:val="es-CO" w:eastAsia="es-ES"/>
        </w:rPr>
        <w:t>operaciones de venta de bienes o prestación de servicios que realice, independientemente que sean gravados o no</w:t>
      </w:r>
      <w:r w:rsidRPr="00324B48">
        <w:rPr>
          <w:rFonts w:eastAsia="Times New Roman" w:cs="Times New Roman"/>
          <w:i/>
          <w:iCs/>
          <w:szCs w:val="24"/>
          <w:lang w:val="es-CO" w:eastAsia="es-ES"/>
        </w:rPr>
        <w:t>; así como lo dispuesto en el </w:t>
      </w:r>
      <w:hyperlink r:id="rId15" w:tooltip="Estatuto Tributario CETA" w:history="1">
        <w:r w:rsidRPr="00324B48">
          <w:rPr>
            <w:rFonts w:eastAsia="Times New Roman" w:cs="Times New Roman"/>
            <w:i/>
            <w:iCs/>
            <w:szCs w:val="24"/>
            <w:lang w:val="es-CO" w:eastAsia="es-ES"/>
          </w:rPr>
          <w:t>artículo 616-2</w:t>
        </w:r>
      </w:hyperlink>
      <w:r w:rsidRPr="00324B48">
        <w:rPr>
          <w:rFonts w:eastAsia="Times New Roman" w:cs="Times New Roman"/>
          <w:i/>
          <w:iCs/>
          <w:szCs w:val="24"/>
          <w:lang w:val="es-CO" w:eastAsia="es-ES"/>
        </w:rPr>
        <w:t xml:space="preserve"> del mismo estatuto en conjunto con el artículo 2 del </w:t>
      </w:r>
      <w:r w:rsidRPr="00324B48">
        <w:rPr>
          <w:rFonts w:eastAsia="Times New Roman" w:cs="Times New Roman"/>
          <w:i/>
          <w:iCs/>
          <w:szCs w:val="24"/>
          <w:lang w:val="es-CO" w:eastAsia="es-ES"/>
        </w:rPr>
        <w:lastRenderedPageBreak/>
        <w:t>Decreto reglamentario 1001 de 1997, frente a las excepciones a la obligación de expedir factura, </w:t>
      </w:r>
      <w:r w:rsidRPr="00324B48">
        <w:rPr>
          <w:rFonts w:eastAsia="Times New Roman" w:cs="Times New Roman"/>
          <w:i/>
          <w:iCs/>
          <w:szCs w:val="24"/>
          <w:u w:val="single"/>
          <w:lang w:val="es-CO" w:eastAsia="es-ES"/>
        </w:rPr>
        <w:t>que no exceptúan de esta obligación a la propiedad horizontal, lo que implica que la misma debe facturar </w:t>
      </w:r>
      <w:r w:rsidRPr="00324B48">
        <w:rPr>
          <w:rFonts w:eastAsia="Times New Roman" w:cs="Times New Roman"/>
          <w:b/>
          <w:bCs/>
          <w:i/>
          <w:iCs/>
          <w:szCs w:val="24"/>
          <w:u w:val="single"/>
          <w:lang w:val="es-CO" w:eastAsia="es-ES"/>
        </w:rPr>
        <w:t>por las operaciones de venta de bienes o prestación de servicios que realice, independientemente que sean gravadas o no</w:t>
      </w:r>
      <w:r w:rsidRPr="00324B48">
        <w:rPr>
          <w:rFonts w:eastAsia="Times New Roman" w:cs="Times New Roman"/>
          <w:i/>
          <w:iCs/>
          <w:szCs w:val="24"/>
          <w:u w:val="single"/>
          <w:lang w:val="es-CO" w:eastAsia="es-ES"/>
        </w:rPr>
        <w:t>.</w:t>
      </w:r>
    </w:p>
    <w:p w14:paraId="7E3FE538" w14:textId="77777777" w:rsidR="00324B48" w:rsidRPr="00324B48" w:rsidRDefault="00324B48" w:rsidP="00AD2C0B">
      <w:pPr>
        <w:ind w:left="284"/>
        <w:rPr>
          <w:rFonts w:eastAsia="Times New Roman" w:cs="Times New Roman"/>
          <w:i/>
          <w:iCs/>
          <w:szCs w:val="24"/>
          <w:u w:val="single"/>
          <w:lang w:val="es-CO" w:eastAsia="es-ES"/>
        </w:rPr>
      </w:pPr>
    </w:p>
    <w:p w14:paraId="6C3FDC62" w14:textId="66E870E5" w:rsidR="006201AB" w:rsidRPr="00324B48" w:rsidRDefault="006201AB" w:rsidP="00AD2C0B">
      <w:pPr>
        <w:ind w:left="284"/>
        <w:rPr>
          <w:rFonts w:eastAsia="Times New Roman" w:cs="Times New Roman"/>
          <w:szCs w:val="24"/>
          <w:lang w:eastAsia="es-ES"/>
        </w:rPr>
      </w:pPr>
      <w:r w:rsidRPr="00324B48">
        <w:rPr>
          <w:rFonts w:eastAsia="Times New Roman" w:cs="Times New Roman"/>
          <w:i/>
          <w:iCs/>
          <w:szCs w:val="24"/>
          <w:u w:val="single"/>
          <w:lang w:val="es-CO" w:eastAsia="es-ES"/>
        </w:rPr>
        <w:t>Si la propiedad horizontal no es contribuyente del impuesto de renta y tampoco es responsable del impuesto sobre las ventas, podrá expedir el documento equivalente previsto en el artículo 1.6.1.4.39 del DUR 1625 de 2016. Documento que aplicaría, en este caso, para las cuotas de administración, si la propiedad horizontal cumple dichas condiciones</w:t>
      </w:r>
      <w:r w:rsidRPr="00324B48">
        <w:rPr>
          <w:rFonts w:eastAsia="Times New Roman" w:cs="Times New Roman"/>
          <w:i/>
          <w:iCs/>
          <w:szCs w:val="24"/>
          <w:lang w:val="es-CO" w:eastAsia="es-ES"/>
        </w:rPr>
        <w:t>.”</w:t>
      </w:r>
    </w:p>
    <w:p w14:paraId="68F681CD" w14:textId="77777777" w:rsidR="006201AB" w:rsidRPr="00324B48" w:rsidRDefault="006201AB" w:rsidP="00AD2C0B">
      <w:pPr>
        <w:rPr>
          <w:rFonts w:eastAsia="Times New Roman" w:cs="Times New Roman"/>
          <w:szCs w:val="24"/>
          <w:lang w:eastAsia="es-ES"/>
        </w:rPr>
      </w:pPr>
      <w:r w:rsidRPr="00324B48">
        <w:rPr>
          <w:rFonts w:eastAsia="Times New Roman" w:cs="Times New Roman"/>
          <w:szCs w:val="24"/>
          <w:lang w:val="es-CO" w:eastAsia="es-ES"/>
        </w:rPr>
        <w:t> </w:t>
      </w:r>
    </w:p>
    <w:p w14:paraId="53DE8C62" w14:textId="77777777" w:rsidR="006201AB" w:rsidRPr="006201AB" w:rsidRDefault="006201AB" w:rsidP="00AD2C0B">
      <w:pPr>
        <w:rPr>
          <w:rFonts w:eastAsia="Times New Roman" w:cs="Times New Roman"/>
          <w:szCs w:val="24"/>
          <w:lang w:eastAsia="es-ES"/>
        </w:rPr>
      </w:pPr>
      <w:r w:rsidRPr="00324B48">
        <w:rPr>
          <w:rFonts w:eastAsia="Times New Roman" w:cs="Times New Roman"/>
          <w:szCs w:val="24"/>
          <w:lang w:val="es-CO" w:eastAsia="es-ES"/>
        </w:rPr>
        <w:t xml:space="preserve">1.4. Teniendo en cuenta lo anterior, en los casos en que las propiedades horizontales sean obligadas a facturar, las mismas deberán expedir factura por las operaciones de venta de bienes o prestación de servicios que realicen, independientemente de que sean gravadas o no con el impuesto sobre las ventas. En estos casos, se deberá facturar electrónicamente, según lo establecido en el Estatuto </w:t>
      </w:r>
      <w:r w:rsidRPr="006201AB">
        <w:rPr>
          <w:rFonts w:eastAsia="Times New Roman" w:cs="Times New Roman"/>
          <w:szCs w:val="24"/>
          <w:lang w:val="es-CO" w:eastAsia="es-ES"/>
        </w:rPr>
        <w:t>Tributario y el Decreto 358 de 2020, al igual que las demás normas aplicables que sean expedidas, incluyendo aquellas en relación con el cronograma de implementación de la factura electrónica.</w:t>
      </w:r>
    </w:p>
    <w:p w14:paraId="1BBC6F8F" w14:textId="77777777" w:rsidR="006201AB" w:rsidRPr="006201AB" w:rsidRDefault="006201AB" w:rsidP="00AD2C0B">
      <w:pPr>
        <w:rPr>
          <w:rFonts w:eastAsia="Times New Roman" w:cs="Times New Roman"/>
          <w:szCs w:val="24"/>
          <w:lang w:eastAsia="es-ES"/>
        </w:rPr>
      </w:pPr>
      <w:r w:rsidRPr="006201AB">
        <w:rPr>
          <w:rFonts w:eastAsia="Times New Roman" w:cs="Times New Roman"/>
          <w:szCs w:val="24"/>
          <w:lang w:val="es-CO" w:eastAsia="es-ES"/>
        </w:rPr>
        <w:t> </w:t>
      </w:r>
    </w:p>
    <w:p w14:paraId="27108044" w14:textId="77777777" w:rsidR="006201AB" w:rsidRPr="00324B48" w:rsidRDefault="006201AB" w:rsidP="00AD2C0B">
      <w:pPr>
        <w:rPr>
          <w:rFonts w:eastAsia="Times New Roman" w:cs="Times New Roman"/>
          <w:b/>
          <w:bCs/>
          <w:sz w:val="36"/>
          <w:szCs w:val="36"/>
          <w:u w:val="single"/>
          <w:lang w:eastAsia="es-ES"/>
        </w:rPr>
      </w:pPr>
      <w:r w:rsidRPr="00324B48">
        <w:rPr>
          <w:rFonts w:eastAsia="Times New Roman" w:cs="Times New Roman"/>
          <w:sz w:val="36"/>
          <w:szCs w:val="36"/>
          <w:highlight w:val="green"/>
          <w:lang w:val="es-CO" w:eastAsia="es-ES"/>
        </w:rPr>
        <w:t xml:space="preserve">1.5. Ahora bien, el artículo 1.3.1.13.5. del Decreto 1625 de 2016 reconoce que las cuotas de administración fijadas por las juntas de copropietarios administradoras de edificios organizados en propiedad horizontal o de condominios </w:t>
      </w:r>
      <w:r w:rsidRPr="00645047">
        <w:rPr>
          <w:rFonts w:eastAsia="Times New Roman" w:cs="Times New Roman"/>
          <w:b/>
          <w:bCs/>
          <w:sz w:val="40"/>
          <w:szCs w:val="40"/>
          <w:highlight w:val="yellow"/>
          <w:u w:val="single"/>
          <w:lang w:val="es-CO" w:eastAsia="es-ES"/>
        </w:rPr>
        <w:t>son un aporte a capital no sometido al impuesto sobre las ventas</w:t>
      </w:r>
      <w:r w:rsidRPr="00324B48">
        <w:rPr>
          <w:rFonts w:eastAsia="Times New Roman" w:cs="Times New Roman"/>
          <w:sz w:val="36"/>
          <w:szCs w:val="36"/>
          <w:highlight w:val="yellow"/>
          <w:lang w:val="es-CO" w:eastAsia="es-ES"/>
        </w:rPr>
        <w:t>.</w:t>
      </w:r>
      <w:r w:rsidRPr="00324B48">
        <w:rPr>
          <w:rFonts w:eastAsia="Times New Roman" w:cs="Times New Roman"/>
          <w:sz w:val="36"/>
          <w:szCs w:val="36"/>
          <w:highlight w:val="green"/>
          <w:lang w:val="es-CO" w:eastAsia="es-ES"/>
        </w:rPr>
        <w:t xml:space="preserve"> </w:t>
      </w:r>
      <w:r w:rsidRPr="00645047">
        <w:rPr>
          <w:rFonts w:eastAsia="Times New Roman" w:cs="Times New Roman"/>
          <w:b/>
          <w:bCs/>
          <w:sz w:val="36"/>
          <w:szCs w:val="36"/>
          <w:highlight w:val="cyan"/>
          <w:u w:val="single"/>
          <w:lang w:val="es-CO" w:eastAsia="es-ES"/>
        </w:rPr>
        <w:t>Por lo cual, dichas cuotas no generan la obligación de facturar en los términos de los artículos </w:t>
      </w:r>
      <w:hyperlink r:id="rId16" w:tooltip="Estatuto Tributario CETA" w:history="1">
        <w:r w:rsidRPr="00645047">
          <w:rPr>
            <w:rFonts w:eastAsia="Times New Roman" w:cs="Times New Roman"/>
            <w:b/>
            <w:bCs/>
            <w:sz w:val="36"/>
            <w:szCs w:val="36"/>
            <w:highlight w:val="cyan"/>
            <w:u w:val="single"/>
            <w:lang w:val="es-CO" w:eastAsia="es-ES"/>
          </w:rPr>
          <w:t>615</w:t>
        </w:r>
      </w:hyperlink>
      <w:r w:rsidRPr="00645047">
        <w:rPr>
          <w:rFonts w:eastAsia="Times New Roman" w:cs="Times New Roman"/>
          <w:b/>
          <w:bCs/>
          <w:sz w:val="36"/>
          <w:szCs w:val="36"/>
          <w:highlight w:val="cyan"/>
          <w:u w:val="single"/>
          <w:lang w:val="es-CO" w:eastAsia="es-ES"/>
        </w:rPr>
        <w:t> y </w:t>
      </w:r>
      <w:hyperlink r:id="rId17" w:tooltip="Estatuto Tributario CETA" w:history="1">
        <w:r w:rsidRPr="00645047">
          <w:rPr>
            <w:rFonts w:eastAsia="Times New Roman" w:cs="Times New Roman"/>
            <w:b/>
            <w:bCs/>
            <w:sz w:val="36"/>
            <w:szCs w:val="36"/>
            <w:highlight w:val="cyan"/>
            <w:u w:val="single"/>
            <w:lang w:val="es-CO" w:eastAsia="es-ES"/>
          </w:rPr>
          <w:t>616-1</w:t>
        </w:r>
      </w:hyperlink>
      <w:r w:rsidRPr="00645047">
        <w:rPr>
          <w:rFonts w:eastAsia="Times New Roman" w:cs="Times New Roman"/>
          <w:b/>
          <w:bCs/>
          <w:sz w:val="36"/>
          <w:szCs w:val="36"/>
          <w:highlight w:val="cyan"/>
          <w:u w:val="single"/>
          <w:lang w:val="es-CO" w:eastAsia="es-ES"/>
        </w:rPr>
        <w:t> del Estatuto Tributario y del artículo 1.6.1.4.2. del Decreto 1625 de 2016.</w:t>
      </w:r>
    </w:p>
    <w:p w14:paraId="3F1576D6" w14:textId="77777777" w:rsidR="006201AB" w:rsidRPr="006201AB" w:rsidRDefault="006201AB" w:rsidP="00AD2C0B">
      <w:pPr>
        <w:rPr>
          <w:rFonts w:eastAsia="Times New Roman" w:cs="Times New Roman"/>
          <w:szCs w:val="24"/>
          <w:lang w:eastAsia="es-ES"/>
        </w:rPr>
      </w:pPr>
      <w:r w:rsidRPr="006201AB">
        <w:rPr>
          <w:rFonts w:eastAsia="Times New Roman" w:cs="Times New Roman"/>
          <w:b/>
          <w:bCs/>
          <w:i/>
          <w:iCs/>
          <w:szCs w:val="24"/>
          <w:lang w:val="es-CO" w:eastAsia="es-ES"/>
        </w:rPr>
        <w:t> </w:t>
      </w:r>
    </w:p>
    <w:p w14:paraId="357CCA2E" w14:textId="77777777" w:rsidR="006201AB" w:rsidRPr="006201AB" w:rsidRDefault="006201AB" w:rsidP="00AD2C0B">
      <w:pPr>
        <w:rPr>
          <w:rFonts w:eastAsia="Times New Roman" w:cs="Times New Roman"/>
          <w:szCs w:val="24"/>
          <w:lang w:eastAsia="es-ES"/>
        </w:rPr>
      </w:pPr>
      <w:r w:rsidRPr="006201AB">
        <w:rPr>
          <w:rFonts w:eastAsia="Times New Roman" w:cs="Times New Roman"/>
          <w:b/>
          <w:bCs/>
          <w:i/>
          <w:iCs/>
          <w:szCs w:val="24"/>
          <w:lang w:val="es-CO" w:eastAsia="es-ES"/>
        </w:rPr>
        <w:t>2. ¿Se está procediendo incorrectamente solo facturando electrónicamente el ingreso gravado obtenido por explotación de área común y las cuotas de administración haciendo el cobro mediante documento equivalente?</w:t>
      </w:r>
    </w:p>
    <w:p w14:paraId="0F6529C5" w14:textId="77777777" w:rsidR="006201AB" w:rsidRPr="006201AB" w:rsidRDefault="006201AB" w:rsidP="00AD2C0B">
      <w:pPr>
        <w:rPr>
          <w:rFonts w:eastAsia="Times New Roman" w:cs="Times New Roman"/>
          <w:szCs w:val="24"/>
          <w:lang w:eastAsia="es-ES"/>
        </w:rPr>
      </w:pPr>
      <w:r w:rsidRPr="006201AB">
        <w:rPr>
          <w:rFonts w:eastAsia="Times New Roman" w:cs="Times New Roman"/>
          <w:szCs w:val="24"/>
          <w:lang w:val="es-CO" w:eastAsia="es-ES"/>
        </w:rPr>
        <w:t> </w:t>
      </w:r>
    </w:p>
    <w:p w14:paraId="370022FD" w14:textId="77777777" w:rsidR="006201AB" w:rsidRPr="006201AB" w:rsidRDefault="006201AB" w:rsidP="00AD2C0B">
      <w:pPr>
        <w:rPr>
          <w:rFonts w:eastAsia="Times New Roman" w:cs="Times New Roman"/>
          <w:szCs w:val="24"/>
          <w:lang w:eastAsia="es-ES"/>
        </w:rPr>
      </w:pPr>
      <w:r w:rsidRPr="006201AB">
        <w:rPr>
          <w:rFonts w:eastAsia="Times New Roman" w:cs="Times New Roman"/>
          <w:szCs w:val="24"/>
          <w:lang w:val="es-CO" w:eastAsia="es-ES"/>
        </w:rPr>
        <w:t>2.1. Por favor remitirse a la respuesta inmediatamente anterior.</w:t>
      </w:r>
    </w:p>
    <w:p w14:paraId="1B4B1523" w14:textId="77777777" w:rsidR="006201AB" w:rsidRPr="006201AB" w:rsidRDefault="006201AB" w:rsidP="00AD2C0B">
      <w:pPr>
        <w:rPr>
          <w:rFonts w:eastAsia="Times New Roman" w:cs="Times New Roman"/>
          <w:szCs w:val="24"/>
          <w:lang w:eastAsia="es-ES"/>
        </w:rPr>
      </w:pPr>
      <w:r w:rsidRPr="006201AB">
        <w:rPr>
          <w:rFonts w:eastAsia="Times New Roman" w:cs="Times New Roman"/>
          <w:szCs w:val="24"/>
          <w:lang w:val="es-CO" w:eastAsia="es-ES"/>
        </w:rPr>
        <w:t> </w:t>
      </w:r>
    </w:p>
    <w:p w14:paraId="2A768F4C" w14:textId="77777777" w:rsidR="006201AB" w:rsidRPr="006201AB" w:rsidRDefault="006201AB" w:rsidP="00AD2C0B">
      <w:pPr>
        <w:rPr>
          <w:rFonts w:eastAsia="Times New Roman" w:cs="Times New Roman"/>
          <w:szCs w:val="24"/>
          <w:lang w:eastAsia="es-ES"/>
        </w:rPr>
      </w:pPr>
      <w:r w:rsidRPr="006201AB">
        <w:rPr>
          <w:rFonts w:eastAsia="Times New Roman" w:cs="Times New Roman"/>
          <w:szCs w:val="24"/>
          <w:lang w:val="es-CO" w:eastAsia="es-ES"/>
        </w:rPr>
        <w:t xml:space="preserve">2.2. Ahora bien, es preciso señalar que el documento equivalente a la factura de venta se encuentra reglamentado en el artículo 1.6.1.4.6. del Decreto 1625 de 2016 (modificado por el Decreto No. 358 de 2020), donde no se evidencia que las propiedades horizontales deban expedir documento </w:t>
      </w:r>
      <w:r w:rsidRPr="006201AB">
        <w:rPr>
          <w:rFonts w:eastAsia="Times New Roman" w:cs="Times New Roman"/>
          <w:szCs w:val="24"/>
          <w:lang w:val="es-CO" w:eastAsia="es-ES"/>
        </w:rPr>
        <w:lastRenderedPageBreak/>
        <w:t>equivalente a la factura de venta por concepto de las cuotas de administración. Por favor tener en cuenta las consideraciones señaladas a continuación.</w:t>
      </w:r>
    </w:p>
    <w:p w14:paraId="21641733" w14:textId="77777777" w:rsidR="006201AB" w:rsidRPr="006201AB" w:rsidRDefault="006201AB" w:rsidP="00AD2C0B">
      <w:pPr>
        <w:rPr>
          <w:rFonts w:eastAsia="Times New Roman" w:cs="Times New Roman"/>
          <w:szCs w:val="24"/>
          <w:lang w:eastAsia="es-ES"/>
        </w:rPr>
      </w:pPr>
      <w:r w:rsidRPr="006201AB">
        <w:rPr>
          <w:rFonts w:eastAsia="Times New Roman" w:cs="Times New Roman"/>
          <w:b/>
          <w:bCs/>
          <w:i/>
          <w:iCs/>
          <w:szCs w:val="24"/>
          <w:lang w:val="es-CO" w:eastAsia="es-ES"/>
        </w:rPr>
        <w:t> </w:t>
      </w:r>
    </w:p>
    <w:p w14:paraId="17DAC909" w14:textId="77777777" w:rsidR="006201AB" w:rsidRPr="006201AB" w:rsidRDefault="006201AB" w:rsidP="00AD2C0B">
      <w:pPr>
        <w:rPr>
          <w:rFonts w:eastAsia="Times New Roman" w:cs="Times New Roman"/>
          <w:szCs w:val="24"/>
          <w:lang w:eastAsia="es-ES"/>
        </w:rPr>
      </w:pPr>
      <w:r w:rsidRPr="006201AB">
        <w:rPr>
          <w:rFonts w:eastAsia="Times New Roman" w:cs="Times New Roman"/>
          <w:b/>
          <w:bCs/>
          <w:i/>
          <w:iCs/>
          <w:szCs w:val="24"/>
          <w:lang w:val="es-CO" w:eastAsia="es-ES"/>
        </w:rPr>
        <w:t>3. ¿El documento equivalente (Cuenta de Cobro) expedido por la propiedad horizontal no se considera válido como requisito para que el copropietario se lo descuente como costo o gasto en su renta?</w:t>
      </w:r>
    </w:p>
    <w:p w14:paraId="3F5F1904" w14:textId="77777777" w:rsidR="006201AB" w:rsidRPr="006201AB" w:rsidRDefault="006201AB" w:rsidP="00AD2C0B">
      <w:pPr>
        <w:rPr>
          <w:rFonts w:eastAsia="Times New Roman" w:cs="Times New Roman"/>
          <w:szCs w:val="24"/>
          <w:lang w:eastAsia="es-ES"/>
        </w:rPr>
      </w:pPr>
      <w:r w:rsidRPr="006201AB">
        <w:rPr>
          <w:rFonts w:eastAsia="Times New Roman" w:cs="Times New Roman"/>
          <w:szCs w:val="24"/>
          <w:lang w:val="es-CO" w:eastAsia="es-ES"/>
        </w:rPr>
        <w:t> </w:t>
      </w:r>
    </w:p>
    <w:p w14:paraId="3E4F7184" w14:textId="77777777" w:rsidR="006201AB" w:rsidRPr="006201AB" w:rsidRDefault="006201AB" w:rsidP="00AD2C0B">
      <w:pPr>
        <w:rPr>
          <w:rFonts w:eastAsia="Times New Roman" w:cs="Times New Roman"/>
          <w:szCs w:val="24"/>
          <w:lang w:eastAsia="es-ES"/>
        </w:rPr>
      </w:pPr>
      <w:r w:rsidRPr="006201AB">
        <w:rPr>
          <w:rFonts w:eastAsia="Times New Roman" w:cs="Times New Roman"/>
          <w:szCs w:val="24"/>
          <w:lang w:val="es-CO" w:eastAsia="es-ES"/>
        </w:rPr>
        <w:t>3.1. El artículo 1.6.1.4.12. del Decreto 1625 de 2016 (modificado por el Decreto 358 de 2020) establece, entre otros, que:</w:t>
      </w:r>
    </w:p>
    <w:p w14:paraId="08C29E3D" w14:textId="77777777" w:rsidR="006201AB" w:rsidRPr="006201AB" w:rsidRDefault="006201AB" w:rsidP="00AD2C0B">
      <w:pPr>
        <w:rPr>
          <w:rFonts w:eastAsia="Times New Roman" w:cs="Times New Roman"/>
          <w:szCs w:val="24"/>
          <w:lang w:eastAsia="es-ES"/>
        </w:rPr>
      </w:pPr>
      <w:r w:rsidRPr="006201AB">
        <w:rPr>
          <w:rFonts w:eastAsia="Times New Roman" w:cs="Times New Roman"/>
          <w:i/>
          <w:iCs/>
          <w:szCs w:val="24"/>
          <w:lang w:val="es-CO" w:eastAsia="es-ES"/>
        </w:rPr>
        <w:t> </w:t>
      </w:r>
    </w:p>
    <w:p w14:paraId="2D3D3000" w14:textId="77777777" w:rsidR="006201AB" w:rsidRPr="006201AB" w:rsidRDefault="006201AB" w:rsidP="00AD2C0B">
      <w:pPr>
        <w:ind w:left="284"/>
        <w:rPr>
          <w:rFonts w:eastAsia="Times New Roman" w:cs="Times New Roman"/>
          <w:szCs w:val="24"/>
          <w:lang w:eastAsia="es-ES"/>
        </w:rPr>
      </w:pPr>
      <w:r w:rsidRPr="006201AB">
        <w:rPr>
          <w:rFonts w:eastAsia="Times New Roman" w:cs="Times New Roman"/>
          <w:i/>
          <w:iCs/>
          <w:szCs w:val="24"/>
          <w:lang w:val="es-CO" w:eastAsia="es-ES"/>
        </w:rPr>
        <w:t>“</w:t>
      </w:r>
      <w:r w:rsidRPr="006201AB">
        <w:rPr>
          <w:rFonts w:eastAsia="Times New Roman" w:cs="Times New Roman"/>
          <w:b/>
          <w:bCs/>
          <w:i/>
          <w:iCs/>
          <w:szCs w:val="24"/>
          <w:lang w:val="es-CO" w:eastAsia="es-ES"/>
        </w:rPr>
        <w:t>ARTÍCULO 1.6.1.4.12. Documento soporte en adquisiciones efectuadas a sujetos no obligados a expedir factura de venta o documento equivalente. </w:t>
      </w:r>
      <w:r w:rsidRPr="006201AB">
        <w:rPr>
          <w:rFonts w:eastAsia="Times New Roman" w:cs="Times New Roman"/>
          <w:i/>
          <w:iCs/>
          <w:szCs w:val="24"/>
          <w:lang w:val="es-CO" w:eastAsia="es-ES"/>
        </w:rPr>
        <w:t>De conformidad con lo establecido en el </w:t>
      </w:r>
      <w:hyperlink r:id="rId18" w:tooltip="Estatuto Tributario CETA" w:history="1">
        <w:r w:rsidRPr="006201AB">
          <w:rPr>
            <w:rFonts w:eastAsia="Times New Roman" w:cs="Times New Roman"/>
            <w:i/>
            <w:iCs/>
            <w:szCs w:val="24"/>
            <w:lang w:val="es-CO" w:eastAsia="es-ES"/>
          </w:rPr>
          <w:t>artículo 771-2</w:t>
        </w:r>
      </w:hyperlink>
      <w:r w:rsidRPr="006201AB">
        <w:rPr>
          <w:rFonts w:eastAsia="Times New Roman" w:cs="Times New Roman"/>
          <w:i/>
          <w:iCs/>
          <w:szCs w:val="24"/>
          <w:lang w:val="es-CO" w:eastAsia="es-ES"/>
        </w:rPr>
        <w:t> del Estatuto Tributario, </w:t>
      </w:r>
      <w:r w:rsidRPr="006201AB">
        <w:rPr>
          <w:rFonts w:eastAsia="Times New Roman" w:cs="Times New Roman"/>
          <w:i/>
          <w:iCs/>
          <w:szCs w:val="24"/>
          <w:u w:val="single"/>
          <w:lang w:val="es-CO" w:eastAsia="es-ES"/>
        </w:rPr>
        <w:t>cuando se realicen transacciones con sujetos no obligados a expedir factura de venta y/o documento equivalente</w:t>
      </w:r>
      <w:r w:rsidRPr="006201AB">
        <w:rPr>
          <w:rFonts w:eastAsia="Times New Roman" w:cs="Times New Roman"/>
          <w:i/>
          <w:iCs/>
          <w:szCs w:val="24"/>
          <w:lang w:val="es-CO" w:eastAsia="es-ES"/>
        </w:rPr>
        <w:t>, el documento soporte que pruebe la respectiva transacción que da lugar a costos, deducciones, o impuestos descontables, deberá cumplir los siguientes requisitos y condiciones, </w:t>
      </w:r>
      <w:r w:rsidRPr="006201AB">
        <w:rPr>
          <w:rFonts w:eastAsia="Times New Roman" w:cs="Times New Roman"/>
          <w:i/>
          <w:iCs/>
          <w:szCs w:val="24"/>
          <w:u w:val="single"/>
          <w:lang w:val="es-CO" w:eastAsia="es-ES"/>
        </w:rPr>
        <w:t>y ser generado de forma física por parte del adquiriente del bien y/o servicio</w:t>
      </w:r>
      <w:r w:rsidRPr="006201AB">
        <w:rPr>
          <w:rFonts w:eastAsia="Times New Roman" w:cs="Times New Roman"/>
          <w:i/>
          <w:iCs/>
          <w:szCs w:val="24"/>
          <w:lang w:val="es-CO" w:eastAsia="es-ES"/>
        </w:rPr>
        <w:t>, salvo cuando se trate de importación de bienes: (…).”</w:t>
      </w:r>
    </w:p>
    <w:p w14:paraId="1F673F6D" w14:textId="77777777" w:rsidR="006201AB" w:rsidRPr="006201AB" w:rsidRDefault="006201AB" w:rsidP="00AD2C0B">
      <w:pPr>
        <w:rPr>
          <w:rFonts w:eastAsia="Times New Roman" w:cs="Times New Roman"/>
          <w:szCs w:val="24"/>
          <w:lang w:eastAsia="es-ES"/>
        </w:rPr>
      </w:pPr>
      <w:r w:rsidRPr="006201AB">
        <w:rPr>
          <w:rFonts w:eastAsia="Times New Roman" w:cs="Times New Roman"/>
          <w:szCs w:val="24"/>
          <w:lang w:val="es-CO" w:eastAsia="es-ES"/>
        </w:rPr>
        <w:t> </w:t>
      </w:r>
    </w:p>
    <w:p w14:paraId="56F900C1" w14:textId="77777777" w:rsidR="006201AB" w:rsidRPr="00324B48" w:rsidRDefault="006201AB" w:rsidP="00AD2C0B">
      <w:pPr>
        <w:rPr>
          <w:rFonts w:eastAsia="Times New Roman" w:cs="Times New Roman"/>
          <w:sz w:val="36"/>
          <w:szCs w:val="36"/>
          <w:highlight w:val="green"/>
          <w:u w:val="single"/>
          <w:lang w:eastAsia="es-ES"/>
        </w:rPr>
      </w:pPr>
      <w:r w:rsidRPr="00324B48">
        <w:rPr>
          <w:rFonts w:eastAsia="Times New Roman" w:cs="Times New Roman"/>
          <w:sz w:val="36"/>
          <w:szCs w:val="36"/>
          <w:highlight w:val="yellow"/>
          <w:lang w:val="es-CO" w:eastAsia="es-ES"/>
        </w:rPr>
        <w:t xml:space="preserve">3.2. </w:t>
      </w:r>
      <w:r w:rsidRPr="00324B48">
        <w:rPr>
          <w:rFonts w:eastAsia="Times New Roman" w:cs="Times New Roman"/>
          <w:sz w:val="36"/>
          <w:szCs w:val="36"/>
          <w:highlight w:val="yellow"/>
          <w:u w:val="single"/>
          <w:lang w:val="es-CO" w:eastAsia="es-ES"/>
        </w:rPr>
        <w:t xml:space="preserve">Considerando lo señalado a lo largo de este documento, donde </w:t>
      </w:r>
      <w:r w:rsidRPr="006F4FC7">
        <w:rPr>
          <w:rFonts w:eastAsia="Times New Roman" w:cs="Times New Roman"/>
          <w:b/>
          <w:bCs/>
          <w:sz w:val="36"/>
          <w:szCs w:val="36"/>
          <w:highlight w:val="yellow"/>
          <w:u w:val="single"/>
          <w:lang w:val="es-CO" w:eastAsia="es-ES"/>
        </w:rPr>
        <w:t>la propiedad horizontal no se encuentra obligada a facturar por concepto de las cuotas de administración</w:t>
      </w:r>
      <w:r w:rsidRPr="00324B48">
        <w:rPr>
          <w:rFonts w:eastAsia="Times New Roman" w:cs="Times New Roman"/>
          <w:sz w:val="36"/>
          <w:szCs w:val="36"/>
          <w:highlight w:val="yellow"/>
          <w:u w:val="single"/>
          <w:lang w:val="es-CO" w:eastAsia="es-ES"/>
        </w:rPr>
        <w:t xml:space="preserve">, es aplicable lo señalado en el artículo 1.6.1.4.12. del Decreto 1625 de 2016 (modificado por el Decreto No. 358 de 2020), </w:t>
      </w:r>
      <w:r w:rsidRPr="00324B48">
        <w:rPr>
          <w:rFonts w:eastAsia="Times New Roman" w:cs="Times New Roman"/>
          <w:sz w:val="36"/>
          <w:szCs w:val="36"/>
          <w:highlight w:val="green"/>
          <w:u w:val="single"/>
          <w:lang w:val="es-CO" w:eastAsia="es-ES"/>
        </w:rPr>
        <w:t>para efectos de que dichas cuotas de administración puedan ser reconocidas como costos o deducciones en el impuesto sobre la renta y complementarios. Lo anterior sin perjuicio de las demás disposiciones consagradas en el </w:t>
      </w:r>
      <w:hyperlink r:id="rId19" w:tooltip="Estatuto Tributario CETA" w:history="1">
        <w:r w:rsidRPr="00324B48">
          <w:rPr>
            <w:rFonts w:eastAsia="Times New Roman" w:cs="Times New Roman"/>
            <w:sz w:val="36"/>
            <w:szCs w:val="36"/>
            <w:highlight w:val="green"/>
            <w:u w:val="single"/>
            <w:lang w:val="es-CO" w:eastAsia="es-ES"/>
          </w:rPr>
          <w:t>artículo 771-2</w:t>
        </w:r>
      </w:hyperlink>
      <w:r w:rsidRPr="00324B48">
        <w:rPr>
          <w:rFonts w:eastAsia="Times New Roman" w:cs="Times New Roman"/>
          <w:sz w:val="36"/>
          <w:szCs w:val="36"/>
          <w:highlight w:val="green"/>
          <w:u w:val="single"/>
          <w:lang w:val="es-CO" w:eastAsia="es-ES"/>
        </w:rPr>
        <w:t> del Estatuto Tributario y el artículo 1.6.1.4.13 del Decreto 1625 de 2016.</w:t>
      </w:r>
    </w:p>
    <w:p w14:paraId="299EC2E2" w14:textId="77777777" w:rsidR="006201AB" w:rsidRPr="00324B48" w:rsidRDefault="006201AB" w:rsidP="00AD2C0B">
      <w:pPr>
        <w:rPr>
          <w:rFonts w:eastAsia="Times New Roman" w:cs="Times New Roman"/>
          <w:sz w:val="36"/>
          <w:szCs w:val="36"/>
          <w:highlight w:val="green"/>
          <w:u w:val="single"/>
          <w:lang w:eastAsia="es-ES"/>
        </w:rPr>
      </w:pPr>
      <w:r w:rsidRPr="00324B48">
        <w:rPr>
          <w:rFonts w:eastAsia="Times New Roman" w:cs="Times New Roman"/>
          <w:sz w:val="36"/>
          <w:szCs w:val="36"/>
          <w:highlight w:val="green"/>
          <w:u w:val="single"/>
          <w:lang w:val="es-CO" w:eastAsia="es-ES"/>
        </w:rPr>
        <w:t> </w:t>
      </w:r>
    </w:p>
    <w:p w14:paraId="4AA7189D" w14:textId="77777777" w:rsidR="006201AB" w:rsidRPr="001462C0" w:rsidRDefault="006201AB" w:rsidP="00AD2C0B">
      <w:pPr>
        <w:rPr>
          <w:rFonts w:eastAsia="Times New Roman" w:cs="Times New Roman"/>
          <w:sz w:val="36"/>
          <w:szCs w:val="36"/>
          <w:lang w:eastAsia="es-ES"/>
        </w:rPr>
      </w:pPr>
      <w:r w:rsidRPr="001462C0">
        <w:rPr>
          <w:rFonts w:eastAsia="Times New Roman" w:cs="Times New Roman"/>
          <w:sz w:val="36"/>
          <w:szCs w:val="36"/>
          <w:highlight w:val="green"/>
          <w:lang w:val="es-CO" w:eastAsia="es-ES"/>
        </w:rPr>
        <w:t xml:space="preserve">3.3. Sobre este particular, el artículo 55 de la Resolución 000042 de 2020 indica las características del “Documento soporte en </w:t>
      </w:r>
      <w:r w:rsidRPr="001462C0">
        <w:rPr>
          <w:rFonts w:eastAsia="Times New Roman" w:cs="Times New Roman"/>
          <w:sz w:val="36"/>
          <w:szCs w:val="36"/>
          <w:highlight w:val="green"/>
          <w:lang w:val="es-CO" w:eastAsia="es-ES"/>
        </w:rPr>
        <w:lastRenderedPageBreak/>
        <w:t>adquisiciones efectuadas a sujetos no obligados a expedir factura de venta o documento equivalente”.</w:t>
      </w:r>
    </w:p>
    <w:p w14:paraId="055698C7" w14:textId="22C7AE1C" w:rsidR="006201AB" w:rsidRPr="00324B48" w:rsidRDefault="006201AB" w:rsidP="00AD2C0B">
      <w:pPr>
        <w:rPr>
          <w:rFonts w:eastAsia="Times New Roman" w:cs="Times New Roman"/>
          <w:sz w:val="36"/>
          <w:szCs w:val="36"/>
          <w:lang w:eastAsia="es-ES"/>
        </w:rPr>
      </w:pPr>
      <w:r w:rsidRPr="001462C0">
        <w:rPr>
          <w:rFonts w:eastAsia="Times New Roman" w:cs="Times New Roman"/>
          <w:sz w:val="36"/>
          <w:szCs w:val="36"/>
          <w:lang w:val="es-CO" w:eastAsia="es-ES"/>
        </w:rPr>
        <w:t> </w:t>
      </w:r>
    </w:p>
    <w:p w14:paraId="662FB0BB" w14:textId="77777777" w:rsidR="006201AB" w:rsidRPr="006201AB" w:rsidRDefault="006201AB" w:rsidP="00AD2C0B">
      <w:pPr>
        <w:rPr>
          <w:rFonts w:eastAsia="Times New Roman" w:cs="Times New Roman"/>
          <w:szCs w:val="24"/>
          <w:lang w:eastAsia="es-ES"/>
        </w:rPr>
      </w:pPr>
      <w:r w:rsidRPr="006201AB">
        <w:rPr>
          <w:rFonts w:eastAsia="Times New Roman" w:cs="Times New Roman"/>
          <w:szCs w:val="24"/>
          <w:lang w:val="es-CO" w:eastAsia="es-ES"/>
        </w:rPr>
        <w:t>Atentamente,</w:t>
      </w:r>
    </w:p>
    <w:p w14:paraId="4B8A0493" w14:textId="616F3126" w:rsidR="006201AB" w:rsidRPr="006201AB" w:rsidRDefault="006201AB" w:rsidP="00AD2C0B">
      <w:pPr>
        <w:rPr>
          <w:rFonts w:eastAsia="Times New Roman" w:cs="Times New Roman"/>
          <w:szCs w:val="24"/>
          <w:lang w:eastAsia="es-ES"/>
        </w:rPr>
      </w:pPr>
      <w:r w:rsidRPr="006201AB">
        <w:rPr>
          <w:rFonts w:eastAsia="Times New Roman" w:cs="Times New Roman"/>
          <w:b/>
          <w:bCs/>
          <w:szCs w:val="24"/>
          <w:lang w:val="es-CO" w:eastAsia="es-ES"/>
        </w:rPr>
        <w:t>  </w:t>
      </w:r>
    </w:p>
    <w:p w14:paraId="08DE552C" w14:textId="77777777" w:rsidR="006201AB" w:rsidRPr="006201AB" w:rsidRDefault="006201AB" w:rsidP="00AD2C0B">
      <w:pPr>
        <w:rPr>
          <w:rFonts w:eastAsia="Times New Roman" w:cs="Times New Roman"/>
          <w:szCs w:val="24"/>
          <w:lang w:eastAsia="es-ES"/>
        </w:rPr>
      </w:pPr>
      <w:r w:rsidRPr="006201AB">
        <w:rPr>
          <w:rFonts w:eastAsia="Times New Roman" w:cs="Times New Roman"/>
          <w:b/>
          <w:bCs/>
          <w:szCs w:val="24"/>
          <w:lang w:val="es-CO" w:eastAsia="es-ES"/>
        </w:rPr>
        <w:t>PABLO EMILIO MENDOZA VELILLA</w:t>
      </w:r>
    </w:p>
    <w:p w14:paraId="54761D53" w14:textId="77777777" w:rsidR="006201AB" w:rsidRPr="006201AB" w:rsidRDefault="006201AB" w:rsidP="00AD2C0B">
      <w:pPr>
        <w:rPr>
          <w:rFonts w:eastAsia="Times New Roman" w:cs="Times New Roman"/>
          <w:szCs w:val="24"/>
          <w:lang w:eastAsia="es-ES"/>
        </w:rPr>
      </w:pPr>
      <w:r w:rsidRPr="006201AB">
        <w:rPr>
          <w:rFonts w:eastAsia="Times New Roman" w:cs="Times New Roman"/>
          <w:szCs w:val="24"/>
          <w:lang w:val="es-CO" w:eastAsia="es-ES"/>
        </w:rPr>
        <w:t>Subdirector de Gestión Normativa y Doctrina</w:t>
      </w:r>
    </w:p>
    <w:p w14:paraId="524FD6A9" w14:textId="77777777" w:rsidR="006201AB" w:rsidRPr="006201AB" w:rsidRDefault="006201AB" w:rsidP="00AD2C0B">
      <w:pPr>
        <w:rPr>
          <w:rFonts w:eastAsia="Times New Roman" w:cs="Times New Roman"/>
          <w:szCs w:val="24"/>
          <w:lang w:eastAsia="es-ES"/>
        </w:rPr>
      </w:pPr>
      <w:r w:rsidRPr="006201AB">
        <w:rPr>
          <w:rFonts w:eastAsia="Times New Roman" w:cs="Times New Roman"/>
          <w:szCs w:val="24"/>
          <w:lang w:val="es-CO" w:eastAsia="es-ES"/>
        </w:rPr>
        <w:t>Dirección de Gestión Jurídica</w:t>
      </w:r>
    </w:p>
    <w:p w14:paraId="5BEB059B" w14:textId="01BD7BDD" w:rsidR="006201AB" w:rsidRDefault="006201AB" w:rsidP="00AD2C0B">
      <w:pPr>
        <w:rPr>
          <w:rFonts w:eastAsia="Times New Roman" w:cs="Times New Roman"/>
          <w:szCs w:val="24"/>
          <w:lang w:val="es-CO" w:eastAsia="es-ES"/>
        </w:rPr>
      </w:pPr>
      <w:r w:rsidRPr="006201AB">
        <w:rPr>
          <w:rFonts w:eastAsia="Times New Roman" w:cs="Times New Roman"/>
          <w:szCs w:val="24"/>
          <w:lang w:val="es-CO" w:eastAsia="es-ES"/>
        </w:rPr>
        <w:t>UAE-Dirección de Impuestos y Aduanas Nacionales</w:t>
      </w:r>
    </w:p>
    <w:p w14:paraId="5D4586D4" w14:textId="32EE218F" w:rsidR="00324B48" w:rsidRPr="006201AB" w:rsidRDefault="00324B48" w:rsidP="00AD2C0B">
      <w:pPr>
        <w:rPr>
          <w:rFonts w:eastAsia="Times New Roman" w:cs="Times New Roman"/>
          <w:szCs w:val="24"/>
          <w:lang w:eastAsia="es-ES"/>
        </w:rPr>
      </w:pPr>
      <w:r>
        <w:rPr>
          <w:rFonts w:eastAsia="Times New Roman" w:cs="Times New Roman"/>
          <w:szCs w:val="24"/>
          <w:lang w:val="es-CO" w:eastAsia="es-ES"/>
        </w:rPr>
        <w:t>_____________________________________________________________________________</w:t>
      </w:r>
    </w:p>
    <w:p w14:paraId="624300F2" w14:textId="77777777" w:rsidR="006201AB" w:rsidRPr="006201AB" w:rsidRDefault="006201AB" w:rsidP="00AD2C0B">
      <w:pPr>
        <w:spacing w:after="285"/>
        <w:rPr>
          <w:rFonts w:eastAsia="Times New Roman" w:cs="Times New Roman"/>
          <w:szCs w:val="24"/>
          <w:lang w:eastAsia="es-ES"/>
        </w:rPr>
      </w:pPr>
      <w:r w:rsidRPr="006201AB">
        <w:rPr>
          <w:rFonts w:eastAsia="Times New Roman" w:cs="Times New Roman"/>
          <w:szCs w:val="24"/>
          <w:lang w:eastAsia="es-ES"/>
        </w:rPr>
        <w:t> </w:t>
      </w:r>
    </w:p>
    <w:p w14:paraId="5CE64F2C" w14:textId="77777777" w:rsidR="007F5CC8" w:rsidRPr="006201AB" w:rsidRDefault="007F5CC8" w:rsidP="00AD2C0B">
      <w:pPr>
        <w:rPr>
          <w:rFonts w:cs="Times New Roman"/>
          <w:szCs w:val="24"/>
        </w:rPr>
      </w:pPr>
    </w:p>
    <w:sectPr w:rsidR="007F5CC8" w:rsidRPr="006201AB"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1AB"/>
    <w:rsid w:val="001462C0"/>
    <w:rsid w:val="001E311E"/>
    <w:rsid w:val="002C1A95"/>
    <w:rsid w:val="00324B48"/>
    <w:rsid w:val="00434AE6"/>
    <w:rsid w:val="00440892"/>
    <w:rsid w:val="006201AB"/>
    <w:rsid w:val="00645047"/>
    <w:rsid w:val="006F4FC7"/>
    <w:rsid w:val="00747017"/>
    <w:rsid w:val="007F5CC8"/>
    <w:rsid w:val="008779BE"/>
    <w:rsid w:val="00AD2C0B"/>
    <w:rsid w:val="00DF5D1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F79FA"/>
  <w15:chartTrackingRefBased/>
  <w15:docId w15:val="{7283B787-BEB6-42ED-9362-3F030E622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982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755" TargetMode="External"/><Relationship Id="rId13" Type="http://schemas.openxmlformats.org/officeDocument/2006/relationships/hyperlink" Target="https://www.ceta.org.co/html/vista_de_un_articulo.asp?Norma=755" TargetMode="External"/><Relationship Id="rId18" Type="http://schemas.openxmlformats.org/officeDocument/2006/relationships/hyperlink" Target="https://www.ceta.org.co/html/vista_de_un_articulo.asp?Norma=957"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ceta.org.co/html/vista_de_un_articulo.asp?Norma=758" TargetMode="External"/><Relationship Id="rId12" Type="http://schemas.openxmlformats.org/officeDocument/2006/relationships/hyperlink" Target="https://www.ceta.org.co/html/vista_de_un_articulo.asp?Norma=29970" TargetMode="External"/><Relationship Id="rId17" Type="http://schemas.openxmlformats.org/officeDocument/2006/relationships/hyperlink" Target="https://www.ceta.org.co/html/vista_de_un_articulo.asp?Norma=758" TargetMode="External"/><Relationship Id="rId2" Type="http://schemas.openxmlformats.org/officeDocument/2006/relationships/settings" Target="settings.xml"/><Relationship Id="rId16" Type="http://schemas.openxmlformats.org/officeDocument/2006/relationships/hyperlink" Target="https://www.ceta.org.co/html/vista_de_un_articulo.asp?Norma=755"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eta.org.co/html/vista_de_un_articulo.asp?Norma=755" TargetMode="External"/><Relationship Id="rId11" Type="http://schemas.openxmlformats.org/officeDocument/2006/relationships/hyperlink" Target="https://www.ceta.org.co/html/vista_de_un_articulo.asp?Norma=548" TargetMode="External"/><Relationship Id="rId5" Type="http://schemas.openxmlformats.org/officeDocument/2006/relationships/hyperlink" Target="https://www.ceta.org.co/html/vista_de_un_articulo.asp?Norma=758" TargetMode="External"/><Relationship Id="rId15" Type="http://schemas.openxmlformats.org/officeDocument/2006/relationships/hyperlink" Target="https://www.ceta.org.co/html/vista_de_un_articulo.asp?Norma=759" TargetMode="External"/><Relationship Id="rId10" Type="http://schemas.openxmlformats.org/officeDocument/2006/relationships/hyperlink" Target="https://www.ceta.org.co/html/vista_de_un_articulo.asp?Norma=759" TargetMode="External"/><Relationship Id="rId19" Type="http://schemas.openxmlformats.org/officeDocument/2006/relationships/hyperlink" Target="https://www.ceta.org.co/html/vista_de_un_articulo.asp?Norma=957" TargetMode="External"/><Relationship Id="rId4" Type="http://schemas.openxmlformats.org/officeDocument/2006/relationships/hyperlink" Target="https://www.ceta.org.co/html/vista_de_un_articulo.asp?Norma=755" TargetMode="External"/><Relationship Id="rId9" Type="http://schemas.openxmlformats.org/officeDocument/2006/relationships/hyperlink" Target="https://www.ceta.org.co/html/vista_de_un_articulo.asp?Norma=758" TargetMode="External"/><Relationship Id="rId14" Type="http://schemas.openxmlformats.org/officeDocument/2006/relationships/hyperlink" Target="https://www.ceta.org.co/html/vista_de_un_articulo.asp?Norma=75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1603</Words>
  <Characters>8817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Guillermo Alzate Duque</cp:lastModifiedBy>
  <cp:revision>2</cp:revision>
  <dcterms:created xsi:type="dcterms:W3CDTF">2023-03-26T23:55:00Z</dcterms:created>
  <dcterms:modified xsi:type="dcterms:W3CDTF">2023-03-26T23:55:00Z</dcterms:modified>
</cp:coreProperties>
</file>