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B9AA" w14:textId="77777777" w:rsidR="00CB64AB" w:rsidRPr="00CB64AB" w:rsidRDefault="00CB64AB" w:rsidP="00CB64AB">
      <w:pPr>
        <w:pStyle w:val="NormalWeb"/>
        <w:spacing w:before="0" w:beforeAutospacing="0" w:after="0" w:afterAutospacing="0" w:line="360" w:lineRule="auto"/>
        <w:jc w:val="both"/>
        <w:rPr>
          <w:color w:val="000000"/>
        </w:rPr>
      </w:pPr>
    </w:p>
    <w:p w14:paraId="0ABEEA0B" w14:textId="478ABE25" w:rsidR="00CB64AB" w:rsidRPr="00DB5D07" w:rsidRDefault="00CB64AB" w:rsidP="00CB64AB">
      <w:pPr>
        <w:spacing w:after="0" w:line="360" w:lineRule="auto"/>
        <w:jc w:val="center"/>
        <w:rPr>
          <w:rFonts w:eastAsia="Times New Roman" w:cs="Times New Roman"/>
          <w:color w:val="000000"/>
          <w:sz w:val="28"/>
          <w:szCs w:val="28"/>
          <w:highlight w:val="cyan"/>
          <w:lang w:eastAsia="es-CO"/>
        </w:rPr>
      </w:pPr>
      <w:r w:rsidRPr="00DB5D07">
        <w:rPr>
          <w:rFonts w:eastAsia="Times New Roman" w:cs="Times New Roman"/>
          <w:b/>
          <w:bCs/>
          <w:color w:val="000000"/>
          <w:sz w:val="28"/>
          <w:szCs w:val="28"/>
          <w:highlight w:val="cyan"/>
          <w:lang w:eastAsia="es-CO"/>
        </w:rPr>
        <w:t xml:space="preserve">OFICIO </w:t>
      </w:r>
      <w:proofErr w:type="spellStart"/>
      <w:r w:rsidRPr="00DB5D07">
        <w:rPr>
          <w:rFonts w:eastAsia="Times New Roman" w:cs="Times New Roman"/>
          <w:b/>
          <w:bCs/>
          <w:color w:val="000000"/>
          <w:sz w:val="28"/>
          <w:szCs w:val="28"/>
          <w:highlight w:val="cyan"/>
          <w:lang w:eastAsia="es-CO"/>
        </w:rPr>
        <w:t>Nº</w:t>
      </w:r>
      <w:proofErr w:type="spellEnd"/>
      <w:r w:rsidRPr="00DB5D07">
        <w:rPr>
          <w:rFonts w:eastAsia="Times New Roman" w:cs="Times New Roman"/>
          <w:b/>
          <w:bCs/>
          <w:color w:val="000000"/>
          <w:sz w:val="28"/>
          <w:szCs w:val="28"/>
          <w:highlight w:val="cyan"/>
          <w:lang w:eastAsia="es-CO"/>
        </w:rPr>
        <w:t xml:space="preserve"> 47 [000085]</w:t>
      </w:r>
    </w:p>
    <w:p w14:paraId="592568F5" w14:textId="77777777" w:rsidR="00CB64AB" w:rsidRPr="00DB5D07" w:rsidRDefault="00CB64AB" w:rsidP="00CB64AB">
      <w:pPr>
        <w:spacing w:after="0" w:line="360" w:lineRule="auto"/>
        <w:jc w:val="center"/>
        <w:rPr>
          <w:rFonts w:eastAsia="Times New Roman" w:cs="Times New Roman"/>
          <w:color w:val="000000"/>
          <w:sz w:val="28"/>
          <w:szCs w:val="28"/>
          <w:highlight w:val="cyan"/>
          <w:lang w:eastAsia="es-CO"/>
        </w:rPr>
      </w:pPr>
      <w:r w:rsidRPr="00DB5D07">
        <w:rPr>
          <w:rFonts w:eastAsia="Times New Roman" w:cs="Times New Roman"/>
          <w:b/>
          <w:bCs/>
          <w:color w:val="000000"/>
          <w:sz w:val="28"/>
          <w:szCs w:val="28"/>
          <w:highlight w:val="cyan"/>
          <w:lang w:eastAsia="es-CO"/>
        </w:rPr>
        <w:t>10-01-2023</w:t>
      </w:r>
    </w:p>
    <w:p w14:paraId="0B386B5B" w14:textId="77777777" w:rsidR="00CB64AB" w:rsidRPr="00DB5D07" w:rsidRDefault="00CB64AB" w:rsidP="00CB64AB">
      <w:pPr>
        <w:spacing w:after="0" w:line="360" w:lineRule="auto"/>
        <w:jc w:val="center"/>
        <w:rPr>
          <w:rFonts w:eastAsia="Times New Roman" w:cs="Times New Roman"/>
          <w:color w:val="000000"/>
          <w:sz w:val="28"/>
          <w:szCs w:val="28"/>
          <w:highlight w:val="cyan"/>
          <w:lang w:eastAsia="es-CO"/>
        </w:rPr>
      </w:pPr>
      <w:r w:rsidRPr="00DB5D07">
        <w:rPr>
          <w:rFonts w:eastAsia="Times New Roman" w:cs="Times New Roman"/>
          <w:b/>
          <w:bCs/>
          <w:color w:val="000000"/>
          <w:sz w:val="28"/>
          <w:szCs w:val="28"/>
          <w:highlight w:val="cyan"/>
          <w:lang w:eastAsia="es-CO"/>
        </w:rPr>
        <w:t>DIAN</w:t>
      </w:r>
    </w:p>
    <w:p w14:paraId="0E7B2833"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color w:val="000000"/>
          <w:sz w:val="28"/>
          <w:szCs w:val="28"/>
          <w:highlight w:val="cyan"/>
          <w:lang w:eastAsia="es-CO"/>
        </w:rPr>
        <w:t> </w:t>
      </w:r>
    </w:p>
    <w:p w14:paraId="25C1F177"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color w:val="000000"/>
          <w:sz w:val="28"/>
          <w:szCs w:val="28"/>
          <w:highlight w:val="cyan"/>
          <w:lang w:eastAsia="es-CO"/>
        </w:rPr>
        <w:t> </w:t>
      </w:r>
    </w:p>
    <w:p w14:paraId="1C5919E8"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color w:val="000000"/>
          <w:sz w:val="28"/>
          <w:szCs w:val="28"/>
          <w:highlight w:val="cyan"/>
          <w:lang w:eastAsia="es-CO"/>
        </w:rPr>
        <w:t>100208192-47</w:t>
      </w:r>
    </w:p>
    <w:p w14:paraId="21438B30"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color w:val="000000"/>
          <w:sz w:val="28"/>
          <w:szCs w:val="28"/>
          <w:highlight w:val="cyan"/>
          <w:lang w:eastAsia="es-CO"/>
        </w:rPr>
        <w:t>Bogotá, D.C.,</w:t>
      </w:r>
    </w:p>
    <w:p w14:paraId="373F62DD"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color w:val="000000"/>
          <w:sz w:val="28"/>
          <w:szCs w:val="28"/>
          <w:highlight w:val="cyan"/>
          <w:lang w:eastAsia="es-CO"/>
        </w:rPr>
        <w:t> </w:t>
      </w:r>
    </w:p>
    <w:p w14:paraId="15C09B7E"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b/>
          <w:bCs/>
          <w:color w:val="000000"/>
          <w:sz w:val="28"/>
          <w:szCs w:val="28"/>
          <w:highlight w:val="cyan"/>
          <w:lang w:eastAsia="es-CO"/>
        </w:rPr>
        <w:t>Ref.:</w:t>
      </w:r>
      <w:r w:rsidRPr="00DB5D07">
        <w:rPr>
          <w:rFonts w:eastAsia="Times New Roman" w:cs="Times New Roman"/>
          <w:color w:val="000000"/>
          <w:sz w:val="28"/>
          <w:szCs w:val="28"/>
          <w:highlight w:val="cyan"/>
          <w:lang w:eastAsia="es-CO"/>
        </w:rPr>
        <w:t xml:space="preserve"> Radicado </w:t>
      </w:r>
      <w:proofErr w:type="spellStart"/>
      <w:r w:rsidRPr="00DB5D07">
        <w:rPr>
          <w:rFonts w:eastAsia="Times New Roman" w:cs="Times New Roman"/>
          <w:color w:val="000000"/>
          <w:sz w:val="28"/>
          <w:szCs w:val="28"/>
          <w:highlight w:val="cyan"/>
          <w:lang w:eastAsia="es-CO"/>
        </w:rPr>
        <w:t>N°</w:t>
      </w:r>
      <w:proofErr w:type="spellEnd"/>
      <w:r w:rsidRPr="00DB5D07">
        <w:rPr>
          <w:rFonts w:eastAsia="Times New Roman" w:cs="Times New Roman"/>
          <w:color w:val="000000"/>
          <w:sz w:val="28"/>
          <w:szCs w:val="28"/>
          <w:highlight w:val="cyan"/>
          <w:lang w:eastAsia="es-CO"/>
        </w:rPr>
        <w:t xml:space="preserve"> 001501 del 28/10/2022</w:t>
      </w:r>
    </w:p>
    <w:p w14:paraId="1919F722" w14:textId="77777777" w:rsidR="00CB64AB" w:rsidRPr="00DB5D07" w:rsidRDefault="00CB64AB" w:rsidP="00CB64AB">
      <w:pPr>
        <w:spacing w:after="0" w:line="360" w:lineRule="auto"/>
        <w:jc w:val="both"/>
        <w:rPr>
          <w:rFonts w:eastAsia="Times New Roman" w:cs="Times New Roman"/>
          <w:color w:val="000000"/>
          <w:sz w:val="28"/>
          <w:szCs w:val="28"/>
          <w:highlight w:val="cyan"/>
          <w:lang w:eastAsia="es-CO"/>
        </w:rPr>
      </w:pPr>
      <w:r w:rsidRPr="00DB5D07">
        <w:rPr>
          <w:rFonts w:eastAsia="Times New Roman" w:cs="Times New Roman"/>
          <w:color w:val="000000"/>
          <w:sz w:val="28"/>
          <w:szCs w:val="28"/>
          <w:highlight w:val="cyan"/>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66"/>
        <w:gridCol w:w="6240"/>
      </w:tblGrid>
      <w:tr w:rsidR="00CB64AB" w:rsidRPr="00DB5D07" w14:paraId="37A167F0" w14:textId="77777777" w:rsidTr="00CB64AB">
        <w:tc>
          <w:tcPr>
            <w:tcW w:w="2266" w:type="dxa"/>
            <w:tcBorders>
              <w:top w:val="nil"/>
              <w:left w:val="nil"/>
              <w:bottom w:val="nil"/>
              <w:right w:val="nil"/>
            </w:tcBorders>
            <w:tcMar>
              <w:top w:w="0" w:type="dxa"/>
              <w:left w:w="105" w:type="dxa"/>
              <w:bottom w:w="0" w:type="dxa"/>
              <w:right w:w="105" w:type="dxa"/>
            </w:tcMar>
            <w:hideMark/>
          </w:tcPr>
          <w:p w14:paraId="142A9C56"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b/>
                <w:bCs/>
                <w:sz w:val="28"/>
                <w:szCs w:val="28"/>
                <w:highlight w:val="cyan"/>
                <w:lang w:eastAsia="es-CO"/>
              </w:rPr>
              <w:t>Tema:</w:t>
            </w:r>
          </w:p>
        </w:tc>
        <w:tc>
          <w:tcPr>
            <w:tcW w:w="6240" w:type="dxa"/>
            <w:tcBorders>
              <w:top w:val="nil"/>
              <w:left w:val="nil"/>
              <w:bottom w:val="nil"/>
              <w:right w:val="nil"/>
            </w:tcBorders>
            <w:tcMar>
              <w:top w:w="0" w:type="dxa"/>
              <w:left w:w="105" w:type="dxa"/>
              <w:bottom w:w="0" w:type="dxa"/>
              <w:right w:w="105" w:type="dxa"/>
            </w:tcMar>
            <w:hideMark/>
          </w:tcPr>
          <w:p w14:paraId="41BC3F92"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sz w:val="28"/>
                <w:szCs w:val="28"/>
                <w:highlight w:val="cyan"/>
                <w:lang w:eastAsia="es-CO"/>
              </w:rPr>
              <w:t>Impuesto sobre la renta y complementarios</w:t>
            </w:r>
          </w:p>
          <w:p w14:paraId="6DDFA3F2"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sz w:val="28"/>
                <w:szCs w:val="28"/>
                <w:highlight w:val="cyan"/>
                <w:lang w:eastAsia="es-CO"/>
              </w:rPr>
              <w:t>Impuesto sobre las ventas</w:t>
            </w:r>
          </w:p>
        </w:tc>
      </w:tr>
      <w:tr w:rsidR="00CB64AB" w:rsidRPr="00DB5D07" w14:paraId="1834492C" w14:textId="77777777" w:rsidTr="00CB64AB">
        <w:tc>
          <w:tcPr>
            <w:tcW w:w="2266" w:type="dxa"/>
            <w:tcBorders>
              <w:top w:val="nil"/>
              <w:left w:val="nil"/>
              <w:bottom w:val="nil"/>
              <w:right w:val="nil"/>
            </w:tcBorders>
            <w:tcMar>
              <w:top w:w="0" w:type="dxa"/>
              <w:left w:w="105" w:type="dxa"/>
              <w:bottom w:w="0" w:type="dxa"/>
              <w:right w:w="105" w:type="dxa"/>
            </w:tcMar>
            <w:hideMark/>
          </w:tcPr>
          <w:p w14:paraId="461D20C1"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b/>
                <w:bCs/>
                <w:sz w:val="28"/>
                <w:szCs w:val="28"/>
                <w:highlight w:val="cyan"/>
                <w:lang w:eastAsia="es-CO"/>
              </w:rPr>
              <w:t>Descriptores:</w:t>
            </w:r>
          </w:p>
        </w:tc>
        <w:tc>
          <w:tcPr>
            <w:tcW w:w="6240" w:type="dxa"/>
            <w:tcBorders>
              <w:top w:val="nil"/>
              <w:left w:val="nil"/>
              <w:bottom w:val="nil"/>
              <w:right w:val="nil"/>
            </w:tcBorders>
            <w:tcMar>
              <w:top w:w="0" w:type="dxa"/>
              <w:left w:w="105" w:type="dxa"/>
              <w:bottom w:w="0" w:type="dxa"/>
              <w:right w:w="105" w:type="dxa"/>
            </w:tcMar>
            <w:hideMark/>
          </w:tcPr>
          <w:p w14:paraId="667E594A"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sz w:val="28"/>
                <w:szCs w:val="28"/>
                <w:highlight w:val="cyan"/>
                <w:lang w:eastAsia="es-CO"/>
              </w:rPr>
              <w:t>Incentivos tributarios</w:t>
            </w:r>
          </w:p>
        </w:tc>
      </w:tr>
      <w:tr w:rsidR="00CB64AB" w:rsidRPr="00DB5D07" w14:paraId="07955CB6" w14:textId="77777777" w:rsidTr="00CB64AB">
        <w:tc>
          <w:tcPr>
            <w:tcW w:w="2266" w:type="dxa"/>
            <w:tcBorders>
              <w:top w:val="nil"/>
              <w:left w:val="nil"/>
              <w:bottom w:val="nil"/>
              <w:right w:val="nil"/>
            </w:tcBorders>
            <w:tcMar>
              <w:top w:w="0" w:type="dxa"/>
              <w:left w:w="105" w:type="dxa"/>
              <w:bottom w:w="0" w:type="dxa"/>
              <w:right w:w="105" w:type="dxa"/>
            </w:tcMar>
            <w:hideMark/>
          </w:tcPr>
          <w:p w14:paraId="28E7D5EE"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b/>
                <w:bCs/>
                <w:sz w:val="28"/>
                <w:szCs w:val="28"/>
                <w:highlight w:val="cyan"/>
                <w:lang w:eastAsia="es-CO"/>
              </w:rPr>
              <w:t>Fuentes formales:</w:t>
            </w:r>
          </w:p>
        </w:tc>
        <w:tc>
          <w:tcPr>
            <w:tcW w:w="6240" w:type="dxa"/>
            <w:tcBorders>
              <w:top w:val="nil"/>
              <w:left w:val="nil"/>
              <w:bottom w:val="nil"/>
              <w:right w:val="nil"/>
            </w:tcBorders>
            <w:tcMar>
              <w:top w:w="0" w:type="dxa"/>
              <w:left w:w="105" w:type="dxa"/>
              <w:bottom w:w="0" w:type="dxa"/>
              <w:right w:w="105" w:type="dxa"/>
            </w:tcMar>
            <w:hideMark/>
          </w:tcPr>
          <w:p w14:paraId="6106E719" w14:textId="77777777" w:rsidR="00CB64AB" w:rsidRPr="00DB5D07" w:rsidRDefault="00CB64AB" w:rsidP="00CB64AB">
            <w:pPr>
              <w:spacing w:after="0" w:line="360" w:lineRule="auto"/>
              <w:jc w:val="both"/>
              <w:rPr>
                <w:rFonts w:eastAsia="Times New Roman" w:cs="Times New Roman"/>
                <w:sz w:val="28"/>
                <w:szCs w:val="28"/>
                <w:highlight w:val="cyan"/>
                <w:lang w:eastAsia="es-CO"/>
              </w:rPr>
            </w:pPr>
            <w:r w:rsidRPr="00DB5D07">
              <w:rPr>
                <w:rFonts w:eastAsia="Times New Roman" w:cs="Times New Roman"/>
                <w:sz w:val="28"/>
                <w:szCs w:val="28"/>
                <w:highlight w:val="cyan"/>
                <w:lang w:eastAsia="es-CO"/>
              </w:rPr>
              <w:t>Artículos 11 a 14 de la Ley 1715 de 2014</w:t>
            </w:r>
          </w:p>
          <w:p w14:paraId="60DC898A" w14:textId="77777777" w:rsidR="00CB64AB" w:rsidRPr="00DB5D07" w:rsidRDefault="00CB64AB" w:rsidP="00CB64AB">
            <w:pPr>
              <w:spacing w:after="0" w:line="360" w:lineRule="auto"/>
              <w:jc w:val="both"/>
              <w:rPr>
                <w:rFonts w:eastAsia="Times New Roman" w:cs="Times New Roman"/>
                <w:sz w:val="28"/>
                <w:szCs w:val="28"/>
                <w:lang w:eastAsia="es-CO"/>
              </w:rPr>
            </w:pPr>
            <w:r w:rsidRPr="00DB5D07">
              <w:rPr>
                <w:rFonts w:eastAsia="Times New Roman" w:cs="Times New Roman"/>
                <w:sz w:val="28"/>
                <w:szCs w:val="28"/>
                <w:highlight w:val="cyan"/>
                <w:lang w:eastAsia="es-CO"/>
              </w:rPr>
              <w:t>Artículos 1.2.1.18.71., 1.2.1.18.74. y 1.2.1.18.75. del Decreto 1625 de 2016.</w:t>
            </w:r>
          </w:p>
        </w:tc>
      </w:tr>
    </w:tbl>
    <w:p w14:paraId="081262F9"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446BAE6B"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720F0F0B"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Cordial saludo,</w:t>
      </w:r>
    </w:p>
    <w:p w14:paraId="46C10079"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753BF5F3"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8575CDF"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6A929892"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Mediante el radicado de la referencia, el peticionario consulta si las personas naturales asalariadas pueden, como inversionistas de proyectos de generación de energía a partir de fuentes no convencionales de energía (FNCE), obtener los beneficios tributarios previstos en la Ley 1715 de 2014.</w:t>
      </w:r>
    </w:p>
    <w:p w14:paraId="14F416C6"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731A5576"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Al respecto, considera este Despacho:</w:t>
      </w:r>
    </w:p>
    <w:p w14:paraId="544D7E29"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3BEDD31F"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Los artículos 11 a 14 de la Ley 1715 de 2014 señalan:</w:t>
      </w:r>
    </w:p>
    <w:p w14:paraId="2DC91924"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lastRenderedPageBreak/>
        <w:t> </w:t>
      </w:r>
    </w:p>
    <w:p w14:paraId="16D63B7E"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w:t>
      </w:r>
      <w:r w:rsidRPr="00CB64AB">
        <w:rPr>
          <w:rFonts w:eastAsia="Times New Roman" w:cs="Times New Roman"/>
          <w:b/>
          <w:bCs/>
          <w:i/>
          <w:iCs/>
          <w:color w:val="000000"/>
          <w:szCs w:val="24"/>
          <w:lang w:eastAsia="es-CO"/>
        </w:rPr>
        <w:t>ARTÍCULO 11. INCENTIVOS A LA GENERACIÓN DE ENERGÍA ELÉCTRICA CON FUENTES NO CONVENCIONALES (FNCE) Y A LA GESTIÓN EFICIENTE DE LA ENERGÍA.</w:t>
      </w:r>
      <w:r w:rsidRPr="00CB64AB">
        <w:rPr>
          <w:rFonts w:eastAsia="Times New Roman" w:cs="Times New Roman"/>
          <w:i/>
          <w:iCs/>
          <w:color w:val="000000"/>
          <w:szCs w:val="24"/>
          <w:lang w:eastAsia="es-CO"/>
        </w:rPr>
        <w:t> &lt;Artículo modificado por el artículo 8 de la Ley 2099 de 2021. El nuevo texto es el siguiente:&gt; Como fomento a la investigación, el desarrollo y la inversión en el ámbito de la producción de energía con fuentes no convencionales de energía (FNCE) y de la gestión eficiente de la energía, incluyendo la medición inteligente, </w:t>
      </w:r>
      <w:r w:rsidRPr="00CB64AB">
        <w:rPr>
          <w:rFonts w:eastAsia="Times New Roman" w:cs="Times New Roman"/>
          <w:i/>
          <w:iCs/>
          <w:color w:val="000000"/>
          <w:szCs w:val="24"/>
          <w:u w:val="single"/>
          <w:lang w:eastAsia="es-CO"/>
        </w:rPr>
        <w:t>los obligados a declarar renta que realicen directamente inversiones en este sentido,</w:t>
      </w:r>
      <w:r w:rsidRPr="00CB64AB">
        <w:rPr>
          <w:rFonts w:eastAsia="Times New Roman" w:cs="Times New Roman"/>
          <w:i/>
          <w:iCs/>
          <w:color w:val="000000"/>
          <w:szCs w:val="24"/>
          <w:lang w:eastAsia="es-CO"/>
        </w:rPr>
        <w:t> tendrán derecho a deducir de su renta, en un período no mayor de 15 años, contados a partir del año gravable siguiente en el que haya entrado en operación la inversión, el 50% del total de la inversión realizada.</w:t>
      </w:r>
    </w:p>
    <w:p w14:paraId="33B51A3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45BB1708"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El valor a deducir por este concepto en ningún caso podrá ser superior al 50% de la renta líquida del contribuyente, determinada antes de restar el valor de la inversión.</w:t>
      </w:r>
    </w:p>
    <w:p w14:paraId="356F5517"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B201C4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Para los efectos de la obtención del presente beneficio tributario, la inversión deberá ser evaluada y certificada como proyecto de generación de energía a partir de fuentes no convencionales de energía (FNCE) o como acción o medida de gestión eficiente de la energía por la Unidad de Planeación Minero Energética (UPME).</w:t>
      </w:r>
    </w:p>
    <w:p w14:paraId="69E9061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2B9A77D8"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b/>
          <w:bCs/>
          <w:i/>
          <w:iCs/>
          <w:color w:val="000000"/>
          <w:szCs w:val="24"/>
          <w:lang w:eastAsia="es-CO"/>
        </w:rPr>
        <w:t>ARTÍCULO 12. EXCLUSIÓN DEL IMPUESTO A LAS VENTAS (IVA) EN LA ADQUISICIÓN DE BIENES Y SERVICIOS PARA EL DESARROLLO DE PROYECTOS DE GENERACIÓN CON FNCE Y GESTIÓN EFICIENTE DE LA ENERGÍA.</w:t>
      </w:r>
      <w:r w:rsidRPr="00CB64AB">
        <w:rPr>
          <w:rFonts w:eastAsia="Times New Roman" w:cs="Times New Roman"/>
          <w:i/>
          <w:iCs/>
          <w:color w:val="000000"/>
          <w:szCs w:val="24"/>
          <w:lang w:eastAsia="es-CO"/>
        </w:rPr>
        <w:t> &lt;Artículo modificado por el artículo 9 de la Ley 2099 de 2021. El nuevo texto es el siguiente:&gt; Para fomentar el uso de la energía procedente de fuentes no convencionales de energía FNCE y la gestión eficiente de energía, </w:t>
      </w:r>
      <w:r w:rsidRPr="00CB64AB">
        <w:rPr>
          <w:rFonts w:eastAsia="Times New Roman" w:cs="Times New Roman"/>
          <w:i/>
          <w:iCs/>
          <w:color w:val="000000"/>
          <w:szCs w:val="24"/>
          <w:u w:val="single"/>
          <w:lang w:eastAsia="es-CO"/>
        </w:rPr>
        <w:t xml:space="preserve">los equipos, elementos, maquinaria y servicios nacionales o importados que se destinen a la </w:t>
      </w:r>
      <w:proofErr w:type="spellStart"/>
      <w:r w:rsidRPr="00CB64AB">
        <w:rPr>
          <w:rFonts w:eastAsia="Times New Roman" w:cs="Times New Roman"/>
          <w:i/>
          <w:iCs/>
          <w:color w:val="000000"/>
          <w:szCs w:val="24"/>
          <w:u w:val="single"/>
          <w:lang w:eastAsia="es-CO"/>
        </w:rPr>
        <w:t>preinversión</w:t>
      </w:r>
      <w:proofErr w:type="spellEnd"/>
      <w:r w:rsidRPr="00CB64AB">
        <w:rPr>
          <w:rFonts w:eastAsia="Times New Roman" w:cs="Times New Roman"/>
          <w:i/>
          <w:iCs/>
          <w:color w:val="000000"/>
          <w:szCs w:val="24"/>
          <w:u w:val="single"/>
          <w:lang w:eastAsia="es-CO"/>
        </w:rPr>
        <w:t xml:space="preserve"> e inversión, para la producción y utilización de energía a partir de las fuentes no convencionales, así como para la medición y evaluación de los potenciales recursos, y para adelantar las acciones y medidas de gestión eficiente de la energía, incluyendo los equipos de medición inteligente, que se encuentren en el Programa de Uso Racional y Eficiente de Energía y Fuentes No Convencionales (</w:t>
      </w:r>
      <w:proofErr w:type="spellStart"/>
      <w:r w:rsidRPr="00CB64AB">
        <w:rPr>
          <w:rFonts w:eastAsia="Times New Roman" w:cs="Times New Roman"/>
          <w:i/>
          <w:iCs/>
          <w:color w:val="000000"/>
          <w:szCs w:val="24"/>
          <w:u w:val="single"/>
          <w:lang w:eastAsia="es-CO"/>
        </w:rPr>
        <w:t>Proure</w:t>
      </w:r>
      <w:proofErr w:type="spellEnd"/>
      <w:r w:rsidRPr="00CB64AB">
        <w:rPr>
          <w:rFonts w:eastAsia="Times New Roman" w:cs="Times New Roman"/>
          <w:i/>
          <w:iCs/>
          <w:color w:val="000000"/>
          <w:szCs w:val="24"/>
          <w:u w:val="single"/>
          <w:lang w:eastAsia="es-CO"/>
        </w:rPr>
        <w:t>) estarán excluidos del IVA</w:t>
      </w:r>
      <w:r w:rsidRPr="00CB64AB">
        <w:rPr>
          <w:rFonts w:eastAsia="Times New Roman" w:cs="Times New Roman"/>
          <w:i/>
          <w:iCs/>
          <w:color w:val="000000"/>
          <w:szCs w:val="24"/>
          <w:lang w:eastAsia="es-CO"/>
        </w:rPr>
        <w:t>.</w:t>
      </w:r>
    </w:p>
    <w:p w14:paraId="5FF45FC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3D0A312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Este beneficio también será aplicable a </w:t>
      </w:r>
      <w:r w:rsidRPr="00CB64AB">
        <w:rPr>
          <w:rFonts w:eastAsia="Times New Roman" w:cs="Times New Roman"/>
          <w:i/>
          <w:iCs/>
          <w:color w:val="000000"/>
          <w:szCs w:val="24"/>
          <w:u w:val="single"/>
          <w:lang w:eastAsia="es-CO"/>
        </w:rPr>
        <w:t>todos los servicios prestados en Colombia o en el exterior que tengan la misma destinación prevista en el inciso anterior</w:t>
      </w:r>
      <w:r w:rsidRPr="00CB64AB">
        <w:rPr>
          <w:rFonts w:eastAsia="Times New Roman" w:cs="Times New Roman"/>
          <w:i/>
          <w:iCs/>
          <w:color w:val="000000"/>
          <w:szCs w:val="24"/>
          <w:lang w:eastAsia="es-CO"/>
        </w:rPr>
        <w:t>.</w:t>
      </w:r>
    </w:p>
    <w:p w14:paraId="4B0B737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11586F39"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Para tal efecto, la inversión deberá ser evaluada y certificada como proyecto de generación de energía eléctrica a partir de fuentes no convencionales de energía (FNCE) o como acción o medida de gestión eficiente de la energía por la Unidad de Planeación Minero Energética - UPME.</w:t>
      </w:r>
    </w:p>
    <w:p w14:paraId="08AFA7E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55C8828F"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lastRenderedPageBreak/>
        <w:t>PARÁGRAFO, En el caso de acciones y medidas de eficiencia de la energía, las mismas deberán aportar al cumplimiento de las metas dispuestas en el Plan de Acción Indicativo vigente, debidamente adoptado por el Ministerio de Minas y Energía.</w:t>
      </w:r>
    </w:p>
    <w:p w14:paraId="084592A7"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7017B6F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b/>
          <w:bCs/>
          <w:i/>
          <w:iCs/>
          <w:color w:val="000000"/>
          <w:szCs w:val="24"/>
          <w:lang w:eastAsia="es-CO"/>
        </w:rPr>
        <w:t>ARTÍCULO 13. INSTRUMENTOS PARA LA PROMOCIÓN DE LAS FUENTES NO CONVENCIONALES DE ENERGÍA (FNCE) Y GESTIÓN EFICIENTE DE LA ENERGÍA. INCENTIVO ARANCELARIO.</w:t>
      </w:r>
      <w:r w:rsidRPr="00CB64AB">
        <w:rPr>
          <w:rFonts w:eastAsia="Times New Roman" w:cs="Times New Roman"/>
          <w:i/>
          <w:iCs/>
          <w:color w:val="000000"/>
          <w:szCs w:val="24"/>
          <w:lang w:eastAsia="es-CO"/>
        </w:rPr>
        <w:t> &lt;Artículo modificado por el artículo 10 de la Ley 2099 de 2021. El nuevo texto es el siguiente:&gt; </w:t>
      </w:r>
      <w:r w:rsidRPr="00CB64AB">
        <w:rPr>
          <w:rFonts w:eastAsia="Times New Roman" w:cs="Times New Roman"/>
          <w:i/>
          <w:iCs/>
          <w:color w:val="000000"/>
          <w:szCs w:val="24"/>
          <w:u w:val="single"/>
          <w:lang w:eastAsia="es-CO"/>
        </w:rPr>
        <w:t>Las personas naturales</w:t>
      </w:r>
      <w:r w:rsidRPr="00CB64AB">
        <w:rPr>
          <w:rFonts w:eastAsia="Times New Roman" w:cs="Times New Roman"/>
          <w:i/>
          <w:iCs/>
          <w:color w:val="000000"/>
          <w:szCs w:val="24"/>
          <w:lang w:eastAsia="es-CO"/>
        </w:rPr>
        <w:t> o jurídicas que, a partir de la vigencia de la presente ley, </w:t>
      </w:r>
      <w:r w:rsidRPr="00CB64AB">
        <w:rPr>
          <w:rFonts w:eastAsia="Times New Roman" w:cs="Times New Roman"/>
          <w:i/>
          <w:iCs/>
          <w:color w:val="000000"/>
          <w:szCs w:val="24"/>
          <w:u w:val="single"/>
          <w:lang w:eastAsia="es-CO"/>
        </w:rPr>
        <w:t>sean titulares de nuevas inversiones en nuevos proyectos de fuentes no convencionales de energía (FNCE) y medición y evaluación de los potenciales recursos o acciones y medidas de eficiencia energética, incluyendo los equipos de medición inteligente, en el marco del Programa de Uso Racional y Eficiente de Energía y Fuentes No Convencionales (</w:t>
      </w:r>
      <w:proofErr w:type="spellStart"/>
      <w:r w:rsidRPr="00CB64AB">
        <w:rPr>
          <w:rFonts w:eastAsia="Times New Roman" w:cs="Times New Roman"/>
          <w:i/>
          <w:iCs/>
          <w:color w:val="000000"/>
          <w:szCs w:val="24"/>
          <w:u w:val="single"/>
          <w:lang w:eastAsia="es-CO"/>
        </w:rPr>
        <w:t>Proure</w:t>
      </w:r>
      <w:proofErr w:type="spellEnd"/>
      <w:r w:rsidRPr="00CB64AB">
        <w:rPr>
          <w:rFonts w:eastAsia="Times New Roman" w:cs="Times New Roman"/>
          <w:i/>
          <w:iCs/>
          <w:color w:val="000000"/>
          <w:szCs w:val="24"/>
          <w:u w:val="single"/>
          <w:lang w:eastAsia="es-CO"/>
        </w:rPr>
        <w:t>),</w:t>
      </w:r>
      <w:r w:rsidRPr="00CB64AB">
        <w:rPr>
          <w:rFonts w:eastAsia="Times New Roman" w:cs="Times New Roman"/>
          <w:i/>
          <w:iCs/>
          <w:color w:val="000000"/>
          <w:szCs w:val="24"/>
          <w:lang w:eastAsia="es-CO"/>
        </w:rPr>
        <w:t> gozarán de exención del pago de los derechos arancelarios de importación de maquinaria, equipos, materiales e insumos destinados exclusivamente para labores de reinversión y de inversión en dichos proyectos. Este beneficio arancelario será aplicable y recaerá sobre maquinaria, equipos, materiales e insumos que no sean producidos por la industria nacional y su único medio de adquisición esté sujeto a la importación de los mismos.</w:t>
      </w:r>
    </w:p>
    <w:p w14:paraId="58D2A7E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247F1252"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La exención del pago de los derechos arancelarios a que se refiere el inciso anterior se aplicará a proyectos de generación fuentes no convencionales de energía (FNCE) y a acciones o medidas de gestión eficiente de la energía en el marco del Programa de Uso Racional y Eficiente de Energía y Fuentes No Convencionales (</w:t>
      </w:r>
      <w:proofErr w:type="spellStart"/>
      <w:r w:rsidRPr="00CB64AB">
        <w:rPr>
          <w:rFonts w:eastAsia="Times New Roman" w:cs="Times New Roman"/>
          <w:i/>
          <w:iCs/>
          <w:color w:val="000000"/>
          <w:szCs w:val="24"/>
          <w:lang w:eastAsia="es-CO"/>
        </w:rPr>
        <w:t>Proure</w:t>
      </w:r>
      <w:proofErr w:type="spellEnd"/>
      <w:r w:rsidRPr="00CB64AB">
        <w:rPr>
          <w:rFonts w:eastAsia="Times New Roman" w:cs="Times New Roman"/>
          <w:i/>
          <w:iCs/>
          <w:color w:val="000000"/>
          <w:szCs w:val="24"/>
          <w:lang w:eastAsia="es-CO"/>
        </w:rPr>
        <w:t>) y deberá ser solicitada a la DIAN como mínimo 15 días hábiles antes de la importación de la maquinaria, equipos, materiales e insumos necesarios y destinados exclusivamente a desarrollar los proyectos de FNCE y gestión eficiente de la energía, de conformidad con la documentación del proyecto avalada en la certificación emitida por la UPME.</w:t>
      </w:r>
    </w:p>
    <w:p w14:paraId="39EE9461"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10BF16BF"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Para tal efecto, la inversión deberá ser evaluada y certificada como proyecto de generación de energía eléctrica a partir de fuentes no convencionales de energía (FNCE) o como acción o medida de gestión eficiente de energía en el marco del Programa de Uso Racional y Eficiente de Energía y Fuentes No Convencionales (</w:t>
      </w:r>
      <w:proofErr w:type="spellStart"/>
      <w:r w:rsidRPr="00CB64AB">
        <w:rPr>
          <w:rFonts w:eastAsia="Times New Roman" w:cs="Times New Roman"/>
          <w:i/>
          <w:iCs/>
          <w:color w:val="000000"/>
          <w:szCs w:val="24"/>
          <w:lang w:eastAsia="es-CO"/>
        </w:rPr>
        <w:t>Proure</w:t>
      </w:r>
      <w:proofErr w:type="spellEnd"/>
      <w:r w:rsidRPr="00CB64AB">
        <w:rPr>
          <w:rFonts w:eastAsia="Times New Roman" w:cs="Times New Roman"/>
          <w:i/>
          <w:iCs/>
          <w:color w:val="000000"/>
          <w:szCs w:val="24"/>
          <w:lang w:eastAsia="es-CO"/>
        </w:rPr>
        <w:t>) por la Unidad de Planeación Minero Energética (UPME).</w:t>
      </w:r>
    </w:p>
    <w:p w14:paraId="0DD85822"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3FB9D36A"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b/>
          <w:bCs/>
          <w:i/>
          <w:iCs/>
          <w:color w:val="000000"/>
          <w:szCs w:val="24"/>
          <w:lang w:eastAsia="es-CO"/>
        </w:rPr>
        <w:t>PARÁGRAFO.</w:t>
      </w:r>
      <w:r w:rsidRPr="00CB64AB">
        <w:rPr>
          <w:rFonts w:eastAsia="Times New Roman" w:cs="Times New Roman"/>
          <w:i/>
          <w:iCs/>
          <w:color w:val="000000"/>
          <w:szCs w:val="24"/>
          <w:lang w:eastAsia="es-CO"/>
        </w:rPr>
        <w:t> En el caso de acciones y medidas de eficiencia energética, deberán aportar al cumplimiento de las metas dispuestas en el Plan de Acción Indicativo vigente, debidamente adoptado por el Ministerio de Minas y Energía.</w:t>
      </w:r>
    </w:p>
    <w:p w14:paraId="56F052C9" w14:textId="77777777" w:rsidR="00CB64AB" w:rsidRPr="00AB0045" w:rsidRDefault="00CB64AB" w:rsidP="00CB64AB">
      <w:pPr>
        <w:spacing w:after="0" w:line="360" w:lineRule="auto"/>
        <w:ind w:left="284"/>
        <w:jc w:val="both"/>
        <w:rPr>
          <w:rFonts w:eastAsia="Times New Roman" w:cs="Times New Roman"/>
          <w:color w:val="000000"/>
          <w:sz w:val="32"/>
          <w:szCs w:val="32"/>
          <w:lang w:eastAsia="es-CO"/>
        </w:rPr>
      </w:pPr>
      <w:r w:rsidRPr="00AB0045">
        <w:rPr>
          <w:rFonts w:eastAsia="Times New Roman" w:cs="Times New Roman"/>
          <w:color w:val="000000"/>
          <w:sz w:val="32"/>
          <w:szCs w:val="32"/>
          <w:lang w:eastAsia="es-CO"/>
        </w:rPr>
        <w:t> </w:t>
      </w:r>
    </w:p>
    <w:p w14:paraId="5CA4DB95" w14:textId="77777777" w:rsidR="00CB64AB" w:rsidRPr="00AB0045" w:rsidRDefault="00CB64AB" w:rsidP="00CB64AB">
      <w:pPr>
        <w:spacing w:after="0" w:line="360" w:lineRule="auto"/>
        <w:ind w:left="284"/>
        <w:jc w:val="both"/>
        <w:rPr>
          <w:rFonts w:eastAsia="Times New Roman" w:cs="Times New Roman"/>
          <w:color w:val="000000"/>
          <w:sz w:val="32"/>
          <w:szCs w:val="32"/>
          <w:lang w:eastAsia="es-CO"/>
        </w:rPr>
      </w:pPr>
      <w:r w:rsidRPr="00AB0045">
        <w:rPr>
          <w:rFonts w:eastAsia="Times New Roman" w:cs="Times New Roman"/>
          <w:b/>
          <w:bCs/>
          <w:i/>
          <w:iCs/>
          <w:color w:val="000000"/>
          <w:sz w:val="32"/>
          <w:szCs w:val="32"/>
          <w:highlight w:val="cyan"/>
          <w:lang w:eastAsia="es-CO"/>
        </w:rPr>
        <w:lastRenderedPageBreak/>
        <w:t>ARTÍCULO 14. INSTRUMENTOS PARA LA PROMOCIÓN DE LAS FUENTES NO CONVENCIONALES DE ENERGÍA (FNCE) Y GESTIÓN EFICIENTE DE LA ENERGÍA. INCENTIVO CONTABLE DEPRECIACIÓN ACELERADA DE ACTIVOS. &lt;Artículo modificado por el artículo 11 de la Ley 2099 de 2021</w:t>
      </w:r>
      <w:r w:rsidRPr="00AB0045">
        <w:rPr>
          <w:rFonts w:eastAsia="Times New Roman" w:cs="Times New Roman"/>
          <w:i/>
          <w:iCs/>
          <w:color w:val="000000"/>
          <w:sz w:val="32"/>
          <w:szCs w:val="32"/>
          <w:highlight w:val="cyan"/>
          <w:lang w:eastAsia="es-CO"/>
        </w:rPr>
        <w:t>. El nuevo texto es el siguiente:&gt; </w:t>
      </w:r>
      <w:r w:rsidRPr="00AB0045">
        <w:rPr>
          <w:rFonts w:eastAsia="Times New Roman" w:cs="Times New Roman"/>
          <w:i/>
          <w:iCs/>
          <w:color w:val="000000"/>
          <w:sz w:val="32"/>
          <w:szCs w:val="32"/>
          <w:highlight w:val="cyan"/>
          <w:u w:val="single"/>
          <w:lang w:eastAsia="es-CO"/>
        </w:rPr>
        <w:t>Las actividades de generación a partir de fuentes no convencionales de energía (FNCE) y de gestión eficiente de la energía, gozará del régimen de depreciación acelerada</w:t>
      </w:r>
      <w:r w:rsidRPr="00AB0045">
        <w:rPr>
          <w:rFonts w:eastAsia="Times New Roman" w:cs="Times New Roman"/>
          <w:i/>
          <w:iCs/>
          <w:color w:val="000000"/>
          <w:sz w:val="32"/>
          <w:szCs w:val="32"/>
          <w:highlight w:val="cyan"/>
          <w:lang w:eastAsia="es-CO"/>
        </w:rPr>
        <w:t>.</w:t>
      </w:r>
    </w:p>
    <w:p w14:paraId="3B88D8EB"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BF67788"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 xml:space="preserve">La depreciación acelerada será aplicable a las maquinarias, equipos y obras civiles necesarias para la </w:t>
      </w:r>
      <w:proofErr w:type="spellStart"/>
      <w:r w:rsidRPr="00CB64AB">
        <w:rPr>
          <w:rFonts w:eastAsia="Times New Roman" w:cs="Times New Roman"/>
          <w:i/>
          <w:iCs/>
          <w:color w:val="000000"/>
          <w:szCs w:val="24"/>
          <w:lang w:eastAsia="es-CO"/>
        </w:rPr>
        <w:t>preinversión</w:t>
      </w:r>
      <w:proofErr w:type="spellEnd"/>
      <w:r w:rsidRPr="00CB64AB">
        <w:rPr>
          <w:rFonts w:eastAsia="Times New Roman" w:cs="Times New Roman"/>
          <w:i/>
          <w:iCs/>
          <w:color w:val="000000"/>
          <w:szCs w:val="24"/>
          <w:lang w:eastAsia="es-CO"/>
        </w:rPr>
        <w:t>, inversión y operación de los proyectos de generación con fuentes no convencionales de energía (FNCE), así como para la medición y evaluación de los potenciales recursos y para acciones o medidas de gestión eficiente de la energía, incluyendo los equipos de medición inteligente, que sean adquiridos y/o construidos, exclusivamente para estos fines, a partir de la vigencia de la presente ley. Para estos efectos, la tasa anual de depreciación será no mayor de treinta y tres punto treinta y tres por ciento (33.33%) como tasa global anual. La tasa podrá ser variada anualmente por el titular del proyecto, previa comunicación a la DIAN, sin exceder el límite señalado en este artículo, excepto en los casos en que la ley autorice porcentajes globales mayores.</w:t>
      </w:r>
    </w:p>
    <w:p w14:paraId="09544CD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213881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Para tal efecto, la inversión deberá ser evaluada y certificada como proyecto de generación de energía eléctrica a partir de fuentes no convencionales de energía (FNCE) o proyecto de gestión eficiente de la energía en el marco del Programa de Uso Racional y Eficiente de Energía y Fuentes No Convencionales (</w:t>
      </w:r>
      <w:proofErr w:type="spellStart"/>
      <w:r w:rsidRPr="00CB64AB">
        <w:rPr>
          <w:rFonts w:eastAsia="Times New Roman" w:cs="Times New Roman"/>
          <w:i/>
          <w:iCs/>
          <w:color w:val="000000"/>
          <w:szCs w:val="24"/>
          <w:lang w:eastAsia="es-CO"/>
        </w:rPr>
        <w:t>Proure</w:t>
      </w:r>
      <w:proofErr w:type="spellEnd"/>
      <w:r w:rsidRPr="00CB64AB">
        <w:rPr>
          <w:rFonts w:eastAsia="Times New Roman" w:cs="Times New Roman"/>
          <w:i/>
          <w:iCs/>
          <w:color w:val="000000"/>
          <w:szCs w:val="24"/>
          <w:lang w:eastAsia="es-CO"/>
        </w:rPr>
        <w:t>), por la Unidad de Planeación Minero Energética (UPME).</w:t>
      </w:r>
    </w:p>
    <w:p w14:paraId="425829CD"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4B4882B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b/>
          <w:bCs/>
          <w:i/>
          <w:iCs/>
          <w:color w:val="000000"/>
          <w:szCs w:val="24"/>
          <w:lang w:eastAsia="es-CO"/>
        </w:rPr>
        <w:t>PARÁGRAFO.</w:t>
      </w:r>
      <w:r w:rsidRPr="00CB64AB">
        <w:rPr>
          <w:rFonts w:eastAsia="Times New Roman" w:cs="Times New Roman"/>
          <w:i/>
          <w:iCs/>
          <w:color w:val="000000"/>
          <w:szCs w:val="24"/>
          <w:lang w:eastAsia="es-CO"/>
        </w:rPr>
        <w:t> En el caso de acciones o medidas de gestión eficiente de la energía, las mismas deberán aportar al cumplimiento de las metas dispuestas en el Plan de Acción Indicativo vigente, debidamente adoptado por el Ministerio de Minas y Energía." (subrayado fuera de texto)</w:t>
      </w:r>
    </w:p>
    <w:p w14:paraId="37CB0D15"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3C1A25E"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A su vez, el Decreto 1625 de 2016 indica:</w:t>
      </w:r>
    </w:p>
    <w:p w14:paraId="367EAB6B"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3482F559"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“Artículo 1.2.1.18.71. Deducción en la determinación del impuesto sobre la renta. Los contribuyentes y responsables </w:t>
      </w:r>
      <w:r w:rsidRPr="00CB64AB">
        <w:rPr>
          <w:rFonts w:eastAsia="Times New Roman" w:cs="Times New Roman"/>
          <w:i/>
          <w:iCs/>
          <w:color w:val="000000"/>
          <w:szCs w:val="24"/>
          <w:u w:val="single"/>
          <w:lang w:eastAsia="es-CO"/>
        </w:rPr>
        <w:t>obligados a la presentación de la declaración del impuesto sobre la renta y complementarios</w:t>
      </w:r>
      <w:r w:rsidRPr="00CB64AB">
        <w:rPr>
          <w:rFonts w:eastAsia="Times New Roman" w:cs="Times New Roman"/>
          <w:i/>
          <w:iCs/>
          <w:color w:val="000000"/>
          <w:szCs w:val="24"/>
          <w:lang w:eastAsia="es-CO"/>
        </w:rPr>
        <w:t xml:space="preserve"> que realicen directamente inversiones en proyectos de generación de energía eléctrica a partir de fuentes no convencionales de energía (FNCE), o en </w:t>
      </w:r>
      <w:r w:rsidRPr="00CB64AB">
        <w:rPr>
          <w:rFonts w:eastAsia="Times New Roman" w:cs="Times New Roman"/>
          <w:i/>
          <w:iCs/>
          <w:color w:val="000000"/>
          <w:szCs w:val="24"/>
          <w:lang w:eastAsia="es-CO"/>
        </w:rPr>
        <w:lastRenderedPageBreak/>
        <w:t>acciones o medidas de gestión eficiente de la energía (GEE), incluyendo la medición inteligente, tendrán derecho a deducir en la determinación del impuesto sobre la renta y complementarios el cincuenta por ciento (50%) del total de la inversión realizada, en un período no mayor de quince (15) años, contados a partir del año gravable siguiente en el que haya entrado en operación la inversión realizada.</w:t>
      </w:r>
    </w:p>
    <w:p w14:paraId="1F0B2A21"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A5C02D1"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w:t>
      </w:r>
    </w:p>
    <w:p w14:paraId="06E4C2B4"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110E1E67"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Artículo 1.2.1.18.74. Procedencia y aplicación de la deducción. Para efectos de la procedencia y aplicación de la deducción de que trata el artículo 11 de la Ley 1715 de 2014, modificado por el artículo 8° de la Ley 2099 de 2021, se deberán observar las siguientes condiciones:</w:t>
      </w:r>
    </w:p>
    <w:p w14:paraId="65B112EF"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55303988"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w:t>
      </w:r>
    </w:p>
    <w:p w14:paraId="361C0706"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6C464B3E"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4. Los </w:t>
      </w:r>
      <w:r w:rsidRPr="00CB64AB">
        <w:rPr>
          <w:rFonts w:eastAsia="Times New Roman" w:cs="Times New Roman"/>
          <w:i/>
          <w:iCs/>
          <w:color w:val="000000"/>
          <w:szCs w:val="24"/>
          <w:u w:val="single"/>
          <w:lang w:eastAsia="es-CO"/>
        </w:rPr>
        <w:t>contribuyentes obligados a declarar renta</w:t>
      </w:r>
      <w:r w:rsidRPr="00CB64AB">
        <w:rPr>
          <w:rFonts w:eastAsia="Times New Roman" w:cs="Times New Roman"/>
          <w:i/>
          <w:iCs/>
          <w:color w:val="000000"/>
          <w:szCs w:val="24"/>
          <w:lang w:eastAsia="es-CO"/>
        </w:rPr>
        <w:t> deberán obtener la certificación de la Unidad de Planeación Minero Energética (UPME), donde la inversión se catalogue como proyecto de generación de energía eléctrica a partir de fuentes no convencionales de energía (FNCE), o de la gestión eficiente de la energía (GEE), incluyendo la medición inteligente o proyectos de Hidrógeno Verde o Azul.</w:t>
      </w:r>
    </w:p>
    <w:p w14:paraId="5FC17019"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1AF6628D"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w:t>
      </w:r>
    </w:p>
    <w:p w14:paraId="792F6B2C"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2B2F80C7"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b/>
          <w:bCs/>
          <w:i/>
          <w:iCs/>
          <w:color w:val="000000"/>
          <w:szCs w:val="24"/>
          <w:lang w:eastAsia="es-CO"/>
        </w:rPr>
        <w:t>Parágrafo 1°.</w:t>
      </w:r>
      <w:r w:rsidRPr="00CB64AB">
        <w:rPr>
          <w:rFonts w:eastAsia="Times New Roman" w:cs="Times New Roman"/>
          <w:i/>
          <w:iCs/>
          <w:color w:val="000000"/>
          <w:szCs w:val="24"/>
          <w:lang w:eastAsia="es-CO"/>
        </w:rPr>
        <w:t> Corresponde al </w:t>
      </w:r>
      <w:r w:rsidRPr="00CB64AB">
        <w:rPr>
          <w:rFonts w:eastAsia="Times New Roman" w:cs="Times New Roman"/>
          <w:i/>
          <w:iCs/>
          <w:color w:val="000000"/>
          <w:szCs w:val="24"/>
          <w:u w:val="single"/>
          <w:lang w:eastAsia="es-CO"/>
        </w:rPr>
        <w:t>contribuyente</w:t>
      </w:r>
      <w:r w:rsidRPr="00CB64AB">
        <w:rPr>
          <w:rFonts w:eastAsia="Times New Roman" w:cs="Times New Roman"/>
          <w:i/>
          <w:iCs/>
          <w:color w:val="000000"/>
          <w:szCs w:val="24"/>
          <w:lang w:eastAsia="es-CO"/>
        </w:rPr>
        <w:t> conservar el certificado expedido por la Unidad de Planeación Minero Energética (UPME), y las pruebas de que el valor deducido corresponde a las inversiones del proyecto de generación de energía eléctrica a partir de fuentes no convencionales de energía (FNCE), o de acciones o medidas de gestión eficiente de la energía (GEE), incluyendo la medición inteligente o proyectos de hidrógeno verde y azul y que el proyecto se encuentra en operación. Lo anterior de conformidad con el </w:t>
      </w:r>
      <w:hyperlink r:id="rId5" w:tooltip="Estatuto Tributario CETA" w:history="1">
        <w:r w:rsidRPr="00CB64AB">
          <w:rPr>
            <w:rFonts w:eastAsia="Times New Roman" w:cs="Times New Roman"/>
            <w:i/>
            <w:iCs/>
            <w:color w:val="0645AD"/>
            <w:szCs w:val="24"/>
            <w:u w:val="single"/>
            <w:lang w:eastAsia="es-CO"/>
          </w:rPr>
          <w:t>artículo 632</w:t>
        </w:r>
      </w:hyperlink>
      <w:r w:rsidRPr="00CB64AB">
        <w:rPr>
          <w:rFonts w:eastAsia="Times New Roman" w:cs="Times New Roman"/>
          <w:i/>
          <w:iCs/>
          <w:color w:val="000000"/>
          <w:szCs w:val="24"/>
          <w:lang w:eastAsia="es-CO"/>
        </w:rPr>
        <w:t> del Estatuto Tributario, en concordancia con el artículo 46 de la Ley 962 de 2005.</w:t>
      </w:r>
    </w:p>
    <w:p w14:paraId="586C2DA1"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491F6370"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w:t>
      </w:r>
    </w:p>
    <w:p w14:paraId="54369362"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4CC0EC52"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Artículo 1.2.1.18.75. Deducción por depreciación acelerada de activos. Las actividades de generación a partir de fuentes no convencionales de energía (FNCE) y de gestión eficiente de la energía, están sujetas a la depreciación acelerada, al igual que los proyectos de Hidrógeno Verde y Azul conforme con lo previsto en el parágrafo 1° del artículo 21 de la Ley 2099 de 2021.</w:t>
      </w:r>
    </w:p>
    <w:p w14:paraId="2036D7D6"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7303029B"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w:t>
      </w:r>
    </w:p>
    <w:p w14:paraId="5587FAA7"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5CA7CCBB"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b/>
          <w:bCs/>
          <w:i/>
          <w:iCs/>
          <w:color w:val="000000"/>
          <w:szCs w:val="24"/>
          <w:lang w:eastAsia="es-CO"/>
        </w:rPr>
        <w:lastRenderedPageBreak/>
        <w:t>Parágrafo 1°.</w:t>
      </w:r>
      <w:r w:rsidRPr="00CB64AB">
        <w:rPr>
          <w:rFonts w:eastAsia="Times New Roman" w:cs="Times New Roman"/>
          <w:i/>
          <w:iCs/>
          <w:color w:val="000000"/>
          <w:szCs w:val="24"/>
          <w:lang w:eastAsia="es-CO"/>
        </w:rPr>
        <w:t> Corresponde al </w:t>
      </w:r>
      <w:r w:rsidRPr="00CB64AB">
        <w:rPr>
          <w:rFonts w:eastAsia="Times New Roman" w:cs="Times New Roman"/>
          <w:i/>
          <w:iCs/>
          <w:color w:val="000000"/>
          <w:szCs w:val="24"/>
          <w:u w:val="single"/>
          <w:lang w:eastAsia="es-CO"/>
        </w:rPr>
        <w:t>contribuyente</w:t>
      </w:r>
      <w:r w:rsidRPr="00CB64AB">
        <w:rPr>
          <w:rFonts w:eastAsia="Times New Roman" w:cs="Times New Roman"/>
          <w:i/>
          <w:iCs/>
          <w:color w:val="000000"/>
          <w:szCs w:val="24"/>
          <w:lang w:eastAsia="es-CO"/>
        </w:rPr>
        <w:t> conservar el certificado expedido por la Unidad de Planeación Minero Energética (UPME) y las pruebas que soporten la depreciación acelerada, para presentarlas cuando la Unidad Administrativa Especial Dirección de Impuestos y Aduanas Nacionales (DIAN) las requieran, de conformidad con lo establecido en el </w:t>
      </w:r>
      <w:hyperlink r:id="rId6" w:tooltip="Estatuto Tributario CETA" w:history="1">
        <w:r w:rsidRPr="00CB64AB">
          <w:rPr>
            <w:rFonts w:eastAsia="Times New Roman" w:cs="Times New Roman"/>
            <w:i/>
            <w:iCs/>
            <w:color w:val="0645AD"/>
            <w:szCs w:val="24"/>
            <w:u w:val="single"/>
            <w:lang w:eastAsia="es-CO"/>
          </w:rPr>
          <w:t>artículo 632</w:t>
        </w:r>
      </w:hyperlink>
      <w:r w:rsidRPr="00CB64AB">
        <w:rPr>
          <w:rFonts w:eastAsia="Times New Roman" w:cs="Times New Roman"/>
          <w:i/>
          <w:iCs/>
          <w:color w:val="000000"/>
          <w:szCs w:val="24"/>
          <w:lang w:eastAsia="es-CO"/>
        </w:rPr>
        <w:t> del Estatuto Tributario en concordancia con el artículo 46 de la Ley 962 de 2005.</w:t>
      </w:r>
    </w:p>
    <w:p w14:paraId="2C6609A3"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618C74AD" w14:textId="77777777" w:rsidR="00CB64AB" w:rsidRPr="00CB64AB" w:rsidRDefault="00CB64AB" w:rsidP="00CB64AB">
      <w:pPr>
        <w:spacing w:after="0" w:line="360" w:lineRule="auto"/>
        <w:ind w:left="284"/>
        <w:jc w:val="both"/>
        <w:rPr>
          <w:rFonts w:eastAsia="Times New Roman" w:cs="Times New Roman"/>
          <w:color w:val="000000"/>
          <w:szCs w:val="24"/>
          <w:lang w:eastAsia="es-CO"/>
        </w:rPr>
      </w:pPr>
      <w:r w:rsidRPr="00CB64AB">
        <w:rPr>
          <w:rFonts w:eastAsia="Times New Roman" w:cs="Times New Roman"/>
          <w:i/>
          <w:iCs/>
          <w:color w:val="000000"/>
          <w:szCs w:val="24"/>
          <w:lang w:eastAsia="es-CO"/>
        </w:rPr>
        <w:t>(...)” </w:t>
      </w:r>
      <w:r w:rsidRPr="00CB64AB">
        <w:rPr>
          <w:rFonts w:eastAsia="Times New Roman" w:cs="Times New Roman"/>
          <w:color w:val="000000"/>
          <w:szCs w:val="24"/>
          <w:lang w:eastAsia="es-CO"/>
        </w:rPr>
        <w:t>(subrayado fuera de texto)</w:t>
      </w:r>
    </w:p>
    <w:p w14:paraId="6464EF1B"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F35CBFB"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Nótese entonces que, a partir de las normas antes reseñadas, ni la Ley 1715 de 2014 ni su reglamentación impiden que las personas naturales asalariadas accedan a los beneficios contemplados en la misma; desde luego, siempre y cuando satisfagan los requisitos para ello.</w:t>
      </w:r>
    </w:p>
    <w:p w14:paraId="1DDF289D"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1525CD01"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En efecto:</w:t>
      </w:r>
    </w:p>
    <w:p w14:paraId="66365B27"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4E53E56C" w14:textId="77777777" w:rsidR="00CB64AB" w:rsidRPr="00CB64AB" w:rsidRDefault="00CB64AB" w:rsidP="00CB64AB">
      <w:pPr>
        <w:numPr>
          <w:ilvl w:val="0"/>
          <w:numId w:val="5"/>
        </w:numPr>
        <w:spacing w:before="100" w:beforeAutospacing="1" w:after="100" w:afterAutospacing="1" w:line="360" w:lineRule="auto"/>
        <w:ind w:left="1080" w:firstLine="0"/>
        <w:jc w:val="both"/>
        <w:rPr>
          <w:rFonts w:eastAsia="Times New Roman" w:cs="Times New Roman"/>
          <w:color w:val="000000"/>
          <w:szCs w:val="24"/>
          <w:lang w:eastAsia="es-CO"/>
        </w:rPr>
      </w:pPr>
      <w:r w:rsidRPr="00CB64AB">
        <w:rPr>
          <w:rFonts w:eastAsia="Times New Roman" w:cs="Times New Roman"/>
          <w:color w:val="000000"/>
          <w:szCs w:val="24"/>
          <w:lang w:eastAsia="es-CO"/>
        </w:rPr>
        <w:t>En lo referente a la deducción especial de que trata el artículo 11 de la Ley 1715 de 2014, esta disposición hace referencia a</w:t>
      </w:r>
      <w:r w:rsidRPr="00CB64AB">
        <w:rPr>
          <w:rFonts w:eastAsia="Times New Roman" w:cs="Times New Roman"/>
          <w:i/>
          <w:iCs/>
          <w:color w:val="000000"/>
          <w:szCs w:val="24"/>
          <w:lang w:eastAsia="es-CO"/>
        </w:rPr>
        <w:t> “los obligados a declarar renta”.</w:t>
      </w:r>
    </w:p>
    <w:p w14:paraId="03953C8D"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0F40984F" w14:textId="77777777" w:rsidR="00CB64AB" w:rsidRPr="00CB64AB" w:rsidRDefault="00CB64AB" w:rsidP="00CB64AB">
      <w:pPr>
        <w:numPr>
          <w:ilvl w:val="0"/>
          <w:numId w:val="6"/>
        </w:numPr>
        <w:spacing w:before="100" w:beforeAutospacing="1" w:after="100" w:afterAutospacing="1" w:line="360" w:lineRule="auto"/>
        <w:ind w:left="1080" w:firstLine="0"/>
        <w:jc w:val="both"/>
        <w:rPr>
          <w:rFonts w:eastAsia="Times New Roman" w:cs="Times New Roman"/>
          <w:color w:val="000000"/>
          <w:szCs w:val="24"/>
          <w:lang w:eastAsia="es-CO"/>
        </w:rPr>
      </w:pPr>
      <w:r w:rsidRPr="00CB64AB">
        <w:rPr>
          <w:rFonts w:eastAsia="Times New Roman" w:cs="Times New Roman"/>
          <w:color w:val="000000"/>
          <w:szCs w:val="24"/>
          <w:lang w:eastAsia="es-CO"/>
        </w:rPr>
        <w:t>La exclusión del IVA de que trata el artículo 12 ibidem recae sobre </w:t>
      </w:r>
      <w:r w:rsidRPr="00CB64AB">
        <w:rPr>
          <w:rFonts w:eastAsia="Times New Roman" w:cs="Times New Roman"/>
          <w:i/>
          <w:iCs/>
          <w:color w:val="000000"/>
          <w:szCs w:val="24"/>
          <w:lang w:eastAsia="es-CO"/>
        </w:rPr>
        <w:t xml:space="preserve">“los equipos, elementos, maquinaria y servicios nacionales o importados que se destinen a la </w:t>
      </w:r>
      <w:proofErr w:type="spellStart"/>
      <w:r w:rsidRPr="00CB64AB">
        <w:rPr>
          <w:rFonts w:eastAsia="Times New Roman" w:cs="Times New Roman"/>
          <w:i/>
          <w:iCs/>
          <w:color w:val="000000"/>
          <w:szCs w:val="24"/>
          <w:lang w:eastAsia="es-CO"/>
        </w:rPr>
        <w:t>preinversión</w:t>
      </w:r>
      <w:proofErr w:type="spellEnd"/>
      <w:r w:rsidRPr="00CB64AB">
        <w:rPr>
          <w:rFonts w:eastAsia="Times New Roman" w:cs="Times New Roman"/>
          <w:i/>
          <w:iCs/>
          <w:color w:val="000000"/>
          <w:szCs w:val="24"/>
          <w:lang w:eastAsia="es-CO"/>
        </w:rPr>
        <w:t xml:space="preserve"> e inversión, para la producción y utilización de energía a partir de las fuentes no convencionales, así como para la medición y evaluación de los potenciales recursos, y para adelantar las acciones y medidas de gestión eficiente de la energía, incluyendo los equipos de medición inteligente”, así como sobre “los servicios prestados en Colombia o en el exterior que tengan la misma destinación”.</w:t>
      </w:r>
    </w:p>
    <w:p w14:paraId="3C1FD32F"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2BF58CAA"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Lo antepuesto es apenas lógico considerando que este impuesto es de carácter real, es decir, </w:t>
      </w:r>
      <w:r w:rsidRPr="00CB64AB">
        <w:rPr>
          <w:rFonts w:eastAsia="Times New Roman" w:cs="Times New Roman"/>
          <w:i/>
          <w:iCs/>
          <w:color w:val="000000"/>
          <w:szCs w:val="24"/>
          <w:lang w:eastAsia="es-CO"/>
        </w:rPr>
        <w:t xml:space="preserve">“se causa por la venta de bienes y la </w:t>
      </w:r>
      <w:proofErr w:type="spellStart"/>
      <w:r w:rsidRPr="00CB64AB">
        <w:rPr>
          <w:rFonts w:eastAsia="Times New Roman" w:cs="Times New Roman"/>
          <w:i/>
          <w:iCs/>
          <w:color w:val="000000"/>
          <w:szCs w:val="24"/>
          <w:lang w:eastAsia="es-CO"/>
        </w:rPr>
        <w:t>prestacioin</w:t>
      </w:r>
      <w:proofErr w:type="spellEnd"/>
      <w:r w:rsidRPr="00CB64AB">
        <w:rPr>
          <w:rFonts w:eastAsia="Times New Roman" w:cs="Times New Roman"/>
          <w:i/>
          <w:iCs/>
          <w:color w:val="000000"/>
          <w:szCs w:val="24"/>
          <w:lang w:eastAsia="es-CO"/>
        </w:rPr>
        <w:t xml:space="preserve"> (sic) de servicios (...) independientemente de la calidad de la persona o entidad que venda el bien o preste el servicio y de la calidad de la persona o entidad adquirente o contratante” </w:t>
      </w:r>
      <w:r w:rsidRPr="00CB64AB">
        <w:rPr>
          <w:rFonts w:eastAsia="Times New Roman" w:cs="Times New Roman"/>
          <w:color w:val="000000"/>
          <w:szCs w:val="24"/>
          <w:lang w:eastAsia="es-CO"/>
        </w:rPr>
        <w:t>(cfr. Oficio 906046 - interno 1281 del 15 de octubre de 2020).</w:t>
      </w:r>
    </w:p>
    <w:p w14:paraId="06222064"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7220E932" w14:textId="1E82F22A" w:rsidR="00CB64AB" w:rsidRPr="00CB64AB" w:rsidRDefault="00CB64AB" w:rsidP="00CB64AB">
      <w:pPr>
        <w:numPr>
          <w:ilvl w:val="0"/>
          <w:numId w:val="7"/>
        </w:numPr>
        <w:spacing w:before="100" w:beforeAutospacing="1" w:after="100" w:afterAutospacing="1" w:line="360" w:lineRule="auto"/>
        <w:ind w:left="1080" w:firstLine="0"/>
        <w:jc w:val="both"/>
        <w:rPr>
          <w:rFonts w:eastAsia="Times New Roman" w:cs="Times New Roman"/>
          <w:color w:val="000000"/>
          <w:szCs w:val="24"/>
          <w:lang w:eastAsia="es-CO"/>
        </w:rPr>
      </w:pPr>
      <w:r w:rsidRPr="00CB64AB">
        <w:rPr>
          <w:rFonts w:eastAsia="Times New Roman" w:cs="Times New Roman"/>
          <w:color w:val="000000"/>
          <w:szCs w:val="24"/>
          <w:lang w:eastAsia="es-CO"/>
        </w:rPr>
        <w:t>Gozan del incentivo arancelario previsto en el artículo 13 ibidem las personas naturales (y jurídicas) que </w:t>
      </w:r>
      <w:r w:rsidRPr="00CB64AB">
        <w:rPr>
          <w:rFonts w:eastAsia="Times New Roman" w:cs="Times New Roman"/>
          <w:i/>
          <w:iCs/>
          <w:color w:val="000000"/>
          <w:szCs w:val="24"/>
          <w:lang w:eastAsia="es-CO"/>
        </w:rPr>
        <w:t xml:space="preserve">“sean titulares de nuevas inversiones en nuevos proyectos de fuentes no convencionales de energía (FNCE) y medición y evaluación de los potenciales recursos o acciones y medidas de eficiencia energética, incluyendo los </w:t>
      </w:r>
      <w:r w:rsidRPr="00CB64AB">
        <w:rPr>
          <w:rFonts w:eastAsia="Times New Roman" w:cs="Times New Roman"/>
          <w:i/>
          <w:iCs/>
          <w:color w:val="000000"/>
          <w:szCs w:val="24"/>
          <w:lang w:eastAsia="es-CO"/>
        </w:rPr>
        <w:lastRenderedPageBreak/>
        <w:t>equipos de medición inteligente, en el marco del Programa de Uso Racional y Eficiente de Energía y Fuentes No Convencionales (</w:t>
      </w:r>
      <w:proofErr w:type="spellStart"/>
      <w:r w:rsidRPr="00CB64AB">
        <w:rPr>
          <w:rFonts w:eastAsia="Times New Roman" w:cs="Times New Roman"/>
          <w:i/>
          <w:iCs/>
          <w:color w:val="000000"/>
          <w:szCs w:val="24"/>
          <w:lang w:eastAsia="es-CO"/>
        </w:rPr>
        <w:t>Proure</w:t>
      </w:r>
      <w:proofErr w:type="spellEnd"/>
      <w:r w:rsidRPr="00CB64AB">
        <w:rPr>
          <w:rFonts w:eastAsia="Times New Roman" w:cs="Times New Roman"/>
          <w:i/>
          <w:iCs/>
          <w:color w:val="000000"/>
          <w:szCs w:val="24"/>
          <w:lang w:eastAsia="es-CO"/>
        </w:rPr>
        <w:t>)”.</w:t>
      </w:r>
    </w:p>
    <w:p w14:paraId="739F186D" w14:textId="77777777" w:rsidR="00CB64AB" w:rsidRPr="00CB64AB" w:rsidRDefault="00CB64AB" w:rsidP="00CB64AB">
      <w:pPr>
        <w:numPr>
          <w:ilvl w:val="0"/>
          <w:numId w:val="8"/>
        </w:numPr>
        <w:spacing w:before="100" w:beforeAutospacing="1" w:after="100" w:afterAutospacing="1" w:line="360" w:lineRule="auto"/>
        <w:ind w:left="1080" w:firstLine="0"/>
        <w:jc w:val="both"/>
        <w:rPr>
          <w:rFonts w:eastAsia="Times New Roman" w:cs="Times New Roman"/>
          <w:color w:val="000000"/>
          <w:szCs w:val="24"/>
          <w:highlight w:val="yellow"/>
          <w:lang w:eastAsia="es-CO"/>
        </w:rPr>
      </w:pPr>
      <w:r w:rsidRPr="00CB64AB">
        <w:rPr>
          <w:rFonts w:eastAsia="Times New Roman" w:cs="Times New Roman"/>
          <w:color w:val="000000"/>
          <w:szCs w:val="24"/>
          <w:highlight w:val="yellow"/>
          <w:lang w:eastAsia="es-CO"/>
        </w:rPr>
        <w:t>Finalmente, la depreciación acelerada, contemplada en el artículo 14 ibidem, es aplicable </w:t>
      </w:r>
      <w:r w:rsidRPr="00CB64AB">
        <w:rPr>
          <w:rFonts w:eastAsia="Times New Roman" w:cs="Times New Roman"/>
          <w:i/>
          <w:iCs/>
          <w:color w:val="000000"/>
          <w:szCs w:val="24"/>
          <w:highlight w:val="yellow"/>
          <w:lang w:eastAsia="es-CO"/>
        </w:rPr>
        <w:t xml:space="preserve">“a las maquinarias, equipos y obras civiles necesarias para la </w:t>
      </w:r>
      <w:proofErr w:type="spellStart"/>
      <w:r w:rsidRPr="00CB64AB">
        <w:rPr>
          <w:rFonts w:eastAsia="Times New Roman" w:cs="Times New Roman"/>
          <w:i/>
          <w:iCs/>
          <w:color w:val="000000"/>
          <w:szCs w:val="24"/>
          <w:highlight w:val="yellow"/>
          <w:lang w:eastAsia="es-CO"/>
        </w:rPr>
        <w:t>preinversión</w:t>
      </w:r>
      <w:proofErr w:type="spellEnd"/>
      <w:r w:rsidRPr="00CB64AB">
        <w:rPr>
          <w:rFonts w:eastAsia="Times New Roman" w:cs="Times New Roman"/>
          <w:i/>
          <w:iCs/>
          <w:color w:val="000000"/>
          <w:szCs w:val="24"/>
          <w:highlight w:val="yellow"/>
          <w:lang w:eastAsia="es-CO"/>
        </w:rPr>
        <w:t>, inversión y operación de los proyectos de generación con fuentes no convencionales de energía (FNCE), así como para la medición y evaluación de los potenciales recursos y para acciones o medidas de gestión eficiente de la energía, incluyendo los equipos de medición inteligente”.</w:t>
      </w:r>
    </w:p>
    <w:p w14:paraId="3978F1C7"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 </w:t>
      </w:r>
    </w:p>
    <w:p w14:paraId="6FE03396" w14:textId="77777777" w:rsidR="00CB64AB" w:rsidRPr="00CB64AB" w:rsidRDefault="00CB64AB" w:rsidP="00CB64AB">
      <w:pPr>
        <w:spacing w:after="0" w:line="360" w:lineRule="auto"/>
        <w:jc w:val="both"/>
        <w:rPr>
          <w:rFonts w:eastAsia="Times New Roman" w:cs="Times New Roman"/>
          <w:color w:val="000000"/>
          <w:szCs w:val="24"/>
          <w:lang w:eastAsia="es-CO"/>
        </w:rPr>
      </w:pPr>
      <w:r w:rsidRPr="00CB64AB">
        <w:rPr>
          <w:rFonts w:eastAsia="Times New Roman" w:cs="Times New Roman"/>
          <w:color w:val="000000"/>
          <w:szCs w:val="24"/>
          <w:lang w:eastAsia="es-CO"/>
        </w:rPr>
        <w:t>Finalmente, es de recordar</w:t>
      </w:r>
      <w:r w:rsidRPr="00CB64AB">
        <w:rPr>
          <w:rFonts w:eastAsia="Times New Roman" w:cs="Times New Roman"/>
          <w:i/>
          <w:iCs/>
          <w:color w:val="000000"/>
          <w:szCs w:val="24"/>
          <w:lang w:eastAsia="es-CO"/>
        </w:rPr>
        <w:t> “el principio general de interpretación jurídica según el cual </w:t>
      </w:r>
      <w:r w:rsidRPr="00CB64AB">
        <w:rPr>
          <w:rFonts w:eastAsia="Times New Roman" w:cs="Times New Roman"/>
          <w:i/>
          <w:iCs/>
          <w:color w:val="000000"/>
          <w:szCs w:val="24"/>
          <w:u w:val="single"/>
          <w:lang w:eastAsia="es-CO"/>
        </w:rPr>
        <w:t>donde la norma no distingue, no le corresponde distinguir al intérprete</w:t>
      </w:r>
      <w:r w:rsidRPr="00CB64AB">
        <w:rPr>
          <w:rFonts w:eastAsia="Times New Roman" w:cs="Times New Roman"/>
          <w:i/>
          <w:iCs/>
          <w:color w:val="000000"/>
          <w:szCs w:val="24"/>
          <w:lang w:eastAsia="es-CO"/>
        </w:rPr>
        <w:t>” </w:t>
      </w:r>
      <w:r w:rsidRPr="00CB64AB">
        <w:rPr>
          <w:rFonts w:eastAsia="Times New Roman" w:cs="Times New Roman"/>
          <w:color w:val="000000"/>
          <w:szCs w:val="24"/>
          <w:lang w:eastAsia="es-CO"/>
        </w:rPr>
        <w:t>(subrayado fuera de texto) (cfr. Sentencia C-317/12 de la Corte Constitucional, M.P. MARÍA VICTORIA CALLE CORREA).</w:t>
      </w:r>
    </w:p>
    <w:p w14:paraId="3502B642" w14:textId="77777777" w:rsidR="00CB64AB" w:rsidRPr="00CB64AB" w:rsidRDefault="00CB64AB" w:rsidP="00CB64AB">
      <w:pPr>
        <w:pStyle w:val="NormalWeb"/>
        <w:spacing w:before="0" w:beforeAutospacing="0" w:after="0" w:afterAutospacing="0" w:line="360" w:lineRule="auto"/>
        <w:jc w:val="both"/>
        <w:rPr>
          <w:color w:val="000000"/>
        </w:rPr>
      </w:pPr>
    </w:p>
    <w:p w14:paraId="0A8F23DB" w14:textId="584073E4" w:rsidR="00CB64AB" w:rsidRPr="00CB64AB" w:rsidRDefault="00CB64AB" w:rsidP="00CB64AB">
      <w:pPr>
        <w:pStyle w:val="NormalWeb"/>
        <w:spacing w:before="0" w:beforeAutospacing="0" w:after="0" w:afterAutospacing="0" w:line="360" w:lineRule="auto"/>
        <w:jc w:val="both"/>
        <w:rPr>
          <w:color w:val="000000"/>
        </w:rPr>
      </w:pPr>
      <w:r w:rsidRPr="00CB64AB">
        <w:rPr>
          <w:color w:val="000000"/>
        </w:rPr>
        <w:t>Atentamente,</w:t>
      </w:r>
    </w:p>
    <w:p w14:paraId="305F2F39" w14:textId="77777777" w:rsidR="00CB64AB" w:rsidRPr="00CB64AB" w:rsidRDefault="00CB64AB" w:rsidP="00CB64AB">
      <w:pPr>
        <w:pStyle w:val="NormalWeb"/>
        <w:spacing w:before="0" w:beforeAutospacing="0" w:after="0" w:afterAutospacing="0" w:line="360" w:lineRule="auto"/>
        <w:jc w:val="both"/>
        <w:rPr>
          <w:color w:val="000000"/>
        </w:rPr>
      </w:pPr>
      <w:r w:rsidRPr="00CB64AB">
        <w:rPr>
          <w:color w:val="000000"/>
        </w:rPr>
        <w:t> </w:t>
      </w:r>
    </w:p>
    <w:p w14:paraId="4EA36D0E" w14:textId="77777777" w:rsidR="00CB64AB" w:rsidRPr="00CB64AB" w:rsidRDefault="00CB64AB" w:rsidP="00CB64AB">
      <w:pPr>
        <w:pStyle w:val="NormalWeb"/>
        <w:spacing w:before="0" w:beforeAutospacing="0" w:after="0" w:afterAutospacing="0" w:line="360" w:lineRule="auto"/>
        <w:jc w:val="both"/>
        <w:rPr>
          <w:color w:val="000000"/>
        </w:rPr>
      </w:pPr>
      <w:r w:rsidRPr="00CB64AB">
        <w:rPr>
          <w:color w:val="000000"/>
        </w:rPr>
        <w:t> </w:t>
      </w:r>
    </w:p>
    <w:p w14:paraId="6E9B99A2" w14:textId="77777777" w:rsidR="00CB64AB" w:rsidRPr="00CB64AB" w:rsidRDefault="00CB64AB" w:rsidP="00CB64AB">
      <w:pPr>
        <w:pStyle w:val="NormalWeb"/>
        <w:spacing w:before="0" w:beforeAutospacing="0" w:after="0" w:afterAutospacing="0" w:line="360" w:lineRule="auto"/>
        <w:jc w:val="both"/>
        <w:rPr>
          <w:color w:val="000000"/>
        </w:rPr>
      </w:pPr>
      <w:r w:rsidRPr="00CB64AB">
        <w:rPr>
          <w:b/>
          <w:bCs/>
          <w:color w:val="000000"/>
        </w:rPr>
        <w:t>ALFREDO RAMÍREZ CASTAÑEDA</w:t>
      </w:r>
    </w:p>
    <w:p w14:paraId="6261DD1A" w14:textId="77777777" w:rsidR="00CB64AB" w:rsidRPr="00CB64AB" w:rsidRDefault="00CB64AB" w:rsidP="00CB64AB">
      <w:pPr>
        <w:pStyle w:val="NormalWeb"/>
        <w:spacing w:before="0" w:beforeAutospacing="0" w:after="0" w:afterAutospacing="0" w:line="360" w:lineRule="auto"/>
        <w:jc w:val="both"/>
        <w:rPr>
          <w:color w:val="000000"/>
        </w:rPr>
      </w:pPr>
      <w:r w:rsidRPr="00CB64AB">
        <w:rPr>
          <w:color w:val="000000"/>
        </w:rPr>
        <w:t>Subdirector de Normativa y Doctrina (E)</w:t>
      </w:r>
    </w:p>
    <w:p w14:paraId="5F6C1505" w14:textId="77777777" w:rsidR="00CB64AB" w:rsidRPr="00CB64AB" w:rsidRDefault="00CB64AB" w:rsidP="00CB64AB">
      <w:pPr>
        <w:pStyle w:val="NormalWeb"/>
        <w:spacing w:before="0" w:beforeAutospacing="0" w:after="0" w:afterAutospacing="0" w:line="360" w:lineRule="auto"/>
        <w:jc w:val="both"/>
        <w:rPr>
          <w:color w:val="000000"/>
        </w:rPr>
      </w:pPr>
      <w:r w:rsidRPr="00CB64AB">
        <w:rPr>
          <w:color w:val="000000"/>
        </w:rPr>
        <w:t>Dirección de Gestión Jurídica</w:t>
      </w:r>
    </w:p>
    <w:p w14:paraId="506F5435" w14:textId="1551E7ED" w:rsidR="00CB64AB" w:rsidRDefault="00CB64AB" w:rsidP="00CB64AB">
      <w:pPr>
        <w:pStyle w:val="NormalWeb"/>
        <w:spacing w:before="0" w:beforeAutospacing="0" w:after="0" w:afterAutospacing="0" w:line="360" w:lineRule="auto"/>
        <w:jc w:val="both"/>
        <w:rPr>
          <w:color w:val="000000"/>
        </w:rPr>
      </w:pPr>
      <w:r w:rsidRPr="00CB64AB">
        <w:rPr>
          <w:color w:val="000000"/>
        </w:rPr>
        <w:t>UAE-Dirección de Impuestos y Aduanas Nacionales</w:t>
      </w:r>
    </w:p>
    <w:p w14:paraId="023B3BFA" w14:textId="3D82442B" w:rsidR="00CB64AB" w:rsidRPr="00CB64AB" w:rsidRDefault="00CB64AB" w:rsidP="00CB64AB">
      <w:pPr>
        <w:pStyle w:val="NormalWeb"/>
        <w:spacing w:before="0" w:beforeAutospacing="0" w:after="0" w:afterAutospacing="0" w:line="360" w:lineRule="auto"/>
        <w:jc w:val="both"/>
        <w:rPr>
          <w:color w:val="000000"/>
        </w:rPr>
      </w:pPr>
      <w:r>
        <w:rPr>
          <w:color w:val="000000"/>
        </w:rPr>
        <w:t>____________________________________________________________________________</w:t>
      </w:r>
    </w:p>
    <w:p w14:paraId="19208065" w14:textId="77777777" w:rsidR="007F5CC8" w:rsidRPr="00CB64AB" w:rsidRDefault="007F5CC8" w:rsidP="00CB64AB">
      <w:pPr>
        <w:spacing w:line="360" w:lineRule="auto"/>
        <w:rPr>
          <w:rFonts w:cs="Times New Roman"/>
          <w:szCs w:val="24"/>
        </w:rPr>
      </w:pPr>
    </w:p>
    <w:sectPr w:rsidR="007F5CC8" w:rsidRPr="00CB64A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F10"/>
    <w:multiLevelType w:val="multilevel"/>
    <w:tmpl w:val="74B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2507A"/>
    <w:multiLevelType w:val="multilevel"/>
    <w:tmpl w:val="36BC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51AFE"/>
    <w:multiLevelType w:val="multilevel"/>
    <w:tmpl w:val="70FA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D1121"/>
    <w:multiLevelType w:val="multilevel"/>
    <w:tmpl w:val="C18C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9A7"/>
    <w:multiLevelType w:val="multilevel"/>
    <w:tmpl w:val="6E5C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B3F63"/>
    <w:multiLevelType w:val="multilevel"/>
    <w:tmpl w:val="1A28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663932"/>
    <w:multiLevelType w:val="multilevel"/>
    <w:tmpl w:val="D93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04317"/>
    <w:multiLevelType w:val="multilevel"/>
    <w:tmpl w:val="143C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759438">
    <w:abstractNumId w:val="7"/>
    <w:lvlOverride w:ilvl="0">
      <w:startOverride w:val="1"/>
    </w:lvlOverride>
  </w:num>
  <w:num w:numId="2" w16cid:durableId="1936471596">
    <w:abstractNumId w:val="1"/>
    <w:lvlOverride w:ilvl="0">
      <w:startOverride w:val="2"/>
    </w:lvlOverride>
  </w:num>
  <w:num w:numId="3" w16cid:durableId="278342862">
    <w:abstractNumId w:val="4"/>
    <w:lvlOverride w:ilvl="0">
      <w:startOverride w:val="1"/>
    </w:lvlOverride>
  </w:num>
  <w:num w:numId="4" w16cid:durableId="1802646761">
    <w:abstractNumId w:val="5"/>
    <w:lvlOverride w:ilvl="0">
      <w:startOverride w:val="2"/>
    </w:lvlOverride>
  </w:num>
  <w:num w:numId="5" w16cid:durableId="1294486662">
    <w:abstractNumId w:val="6"/>
    <w:lvlOverride w:ilvl="0">
      <w:startOverride w:val="1"/>
    </w:lvlOverride>
  </w:num>
  <w:num w:numId="6" w16cid:durableId="1702628573">
    <w:abstractNumId w:val="0"/>
    <w:lvlOverride w:ilvl="0">
      <w:startOverride w:val="2"/>
    </w:lvlOverride>
  </w:num>
  <w:num w:numId="7" w16cid:durableId="126239497">
    <w:abstractNumId w:val="3"/>
    <w:lvlOverride w:ilvl="0">
      <w:startOverride w:val="1"/>
    </w:lvlOverride>
  </w:num>
  <w:num w:numId="8" w16cid:durableId="200967223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AB"/>
    <w:rsid w:val="000F3837"/>
    <w:rsid w:val="001E311E"/>
    <w:rsid w:val="00434AE6"/>
    <w:rsid w:val="006334D9"/>
    <w:rsid w:val="007F5CC8"/>
    <w:rsid w:val="008779BE"/>
    <w:rsid w:val="00AB0045"/>
    <w:rsid w:val="00CB64AB"/>
    <w:rsid w:val="00DB5D0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8F0A"/>
  <w15:chartTrackingRefBased/>
  <w15:docId w15:val="{0360B800-D0A8-41F3-B6B6-C2848866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64AB"/>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B6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19">
      <w:bodyDiv w:val="1"/>
      <w:marLeft w:val="0"/>
      <w:marRight w:val="0"/>
      <w:marTop w:val="0"/>
      <w:marBottom w:val="0"/>
      <w:divBdr>
        <w:top w:val="none" w:sz="0" w:space="0" w:color="auto"/>
        <w:left w:val="none" w:sz="0" w:space="0" w:color="auto"/>
        <w:bottom w:val="none" w:sz="0" w:space="0" w:color="auto"/>
        <w:right w:val="none" w:sz="0" w:space="0" w:color="auto"/>
      </w:divBdr>
    </w:div>
    <w:div w:id="147719846">
      <w:bodyDiv w:val="1"/>
      <w:marLeft w:val="0"/>
      <w:marRight w:val="0"/>
      <w:marTop w:val="0"/>
      <w:marBottom w:val="0"/>
      <w:divBdr>
        <w:top w:val="none" w:sz="0" w:space="0" w:color="auto"/>
        <w:left w:val="none" w:sz="0" w:space="0" w:color="auto"/>
        <w:bottom w:val="none" w:sz="0" w:space="0" w:color="auto"/>
        <w:right w:val="none" w:sz="0" w:space="0" w:color="auto"/>
      </w:divBdr>
    </w:div>
    <w:div w:id="363213779">
      <w:bodyDiv w:val="1"/>
      <w:marLeft w:val="0"/>
      <w:marRight w:val="0"/>
      <w:marTop w:val="0"/>
      <w:marBottom w:val="0"/>
      <w:divBdr>
        <w:top w:val="none" w:sz="0" w:space="0" w:color="auto"/>
        <w:left w:val="none" w:sz="0" w:space="0" w:color="auto"/>
        <w:bottom w:val="none" w:sz="0" w:space="0" w:color="auto"/>
        <w:right w:val="none" w:sz="0" w:space="0" w:color="auto"/>
      </w:divBdr>
    </w:div>
    <w:div w:id="20617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785" TargetMode="External"/><Relationship Id="rId5" Type="http://schemas.openxmlformats.org/officeDocument/2006/relationships/hyperlink" Target="https://www.ceta.org.co/html/vista_de_un_articulo.asp?Norma=78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2262</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3</cp:revision>
  <dcterms:created xsi:type="dcterms:W3CDTF">2023-02-10T22:15:00Z</dcterms:created>
  <dcterms:modified xsi:type="dcterms:W3CDTF">2023-03-14T00:00:00Z</dcterms:modified>
</cp:coreProperties>
</file>