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48A0"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p>
    <w:p w14:paraId="1DF1F0BF"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p>
    <w:p w14:paraId="50537DFC"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p>
    <w:p w14:paraId="7A4EF6DB"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p>
    <w:p w14:paraId="221F43DF"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p>
    <w:p w14:paraId="2F263048"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p>
    <w:p w14:paraId="2538D1C5" w14:textId="77777777" w:rsidR="006B79A4" w:rsidRPr="006B79A4" w:rsidRDefault="006B79A4" w:rsidP="006B79A4">
      <w:pPr>
        <w:spacing w:after="0" w:line="240" w:lineRule="auto"/>
        <w:jc w:val="center"/>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b/>
          <w:bCs/>
          <w:color w:val="000000"/>
          <w:kern w:val="0"/>
          <w:sz w:val="21"/>
          <w:szCs w:val="21"/>
          <w:lang w:eastAsia="es-CO"/>
          <w14:ligatures w14:val="none"/>
        </w:rPr>
        <w:t xml:space="preserve">OFICIO </w:t>
      </w:r>
      <w:proofErr w:type="spellStart"/>
      <w:r w:rsidRPr="006B79A4">
        <w:rPr>
          <w:rFonts w:ascii="Segoe UI" w:eastAsia="Times New Roman" w:hAnsi="Segoe UI" w:cs="Segoe UI"/>
          <w:b/>
          <w:bCs/>
          <w:color w:val="000000"/>
          <w:kern w:val="0"/>
          <w:sz w:val="21"/>
          <w:szCs w:val="21"/>
          <w:lang w:eastAsia="es-CO"/>
          <w14:ligatures w14:val="none"/>
        </w:rPr>
        <w:t>Nº</w:t>
      </w:r>
      <w:proofErr w:type="spellEnd"/>
      <w:r w:rsidRPr="006B79A4">
        <w:rPr>
          <w:rFonts w:ascii="Segoe UI" w:eastAsia="Times New Roman" w:hAnsi="Segoe UI" w:cs="Segoe UI"/>
          <w:b/>
          <w:bCs/>
          <w:color w:val="000000"/>
          <w:kern w:val="0"/>
          <w:sz w:val="21"/>
          <w:szCs w:val="21"/>
          <w:lang w:eastAsia="es-CO"/>
          <w14:ligatures w14:val="none"/>
        </w:rPr>
        <w:t xml:space="preserve"> 466 [002554]</w:t>
      </w:r>
    </w:p>
    <w:p w14:paraId="0FD42718" w14:textId="77777777" w:rsidR="006B79A4" w:rsidRPr="006B79A4" w:rsidRDefault="006B79A4" w:rsidP="006B79A4">
      <w:pPr>
        <w:spacing w:after="0" w:line="240" w:lineRule="auto"/>
        <w:jc w:val="center"/>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b/>
          <w:bCs/>
          <w:color w:val="000000"/>
          <w:kern w:val="0"/>
          <w:sz w:val="21"/>
          <w:szCs w:val="21"/>
          <w:lang w:eastAsia="es-CO"/>
          <w14:ligatures w14:val="none"/>
        </w:rPr>
        <w:t>21-04-2023</w:t>
      </w:r>
    </w:p>
    <w:p w14:paraId="58EC83DB" w14:textId="77777777" w:rsidR="006B79A4" w:rsidRPr="006B79A4" w:rsidRDefault="006B79A4" w:rsidP="006B79A4">
      <w:pPr>
        <w:spacing w:after="0" w:line="240" w:lineRule="auto"/>
        <w:jc w:val="center"/>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b/>
          <w:bCs/>
          <w:color w:val="000000"/>
          <w:kern w:val="0"/>
          <w:sz w:val="21"/>
          <w:szCs w:val="21"/>
          <w:lang w:eastAsia="es-CO"/>
          <w14:ligatures w14:val="none"/>
        </w:rPr>
        <w:t>DIAN</w:t>
      </w:r>
    </w:p>
    <w:p w14:paraId="048B54FC"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7047F4A7"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138191D9"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100208192-466</w:t>
      </w:r>
    </w:p>
    <w:p w14:paraId="6CC4E9F3"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Bogotá, D.C.</w:t>
      </w:r>
    </w:p>
    <w:p w14:paraId="5950115A"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36"/>
        <w:gridCol w:w="6055"/>
      </w:tblGrid>
      <w:tr w:rsidR="006B79A4" w:rsidRPr="006B79A4" w14:paraId="79AA7638" w14:textId="77777777" w:rsidTr="006B79A4">
        <w:tc>
          <w:tcPr>
            <w:tcW w:w="2236" w:type="dxa"/>
            <w:tcBorders>
              <w:top w:val="nil"/>
              <w:left w:val="nil"/>
              <w:bottom w:val="nil"/>
              <w:right w:val="nil"/>
            </w:tcBorders>
            <w:tcMar>
              <w:top w:w="0" w:type="dxa"/>
              <w:left w:w="105" w:type="dxa"/>
              <w:bottom w:w="0" w:type="dxa"/>
              <w:right w:w="105" w:type="dxa"/>
            </w:tcMar>
            <w:hideMark/>
          </w:tcPr>
          <w:p w14:paraId="6FB6901F" w14:textId="77777777" w:rsidR="006B79A4" w:rsidRPr="006B79A4" w:rsidRDefault="006B79A4" w:rsidP="006B79A4">
            <w:pPr>
              <w:spacing w:after="0" w:line="240" w:lineRule="auto"/>
              <w:jc w:val="both"/>
              <w:rPr>
                <w:rFonts w:ascii="Segoe UI" w:eastAsia="Times New Roman" w:hAnsi="Segoe UI" w:cs="Segoe UI"/>
                <w:kern w:val="0"/>
                <w:sz w:val="21"/>
                <w:szCs w:val="21"/>
                <w:lang w:eastAsia="es-CO"/>
                <w14:ligatures w14:val="none"/>
              </w:rPr>
            </w:pPr>
            <w:r w:rsidRPr="006B79A4">
              <w:rPr>
                <w:rFonts w:ascii="Segoe UI" w:eastAsia="Times New Roman" w:hAnsi="Segoe UI" w:cs="Segoe UI"/>
                <w:b/>
                <w:bCs/>
                <w:kern w:val="0"/>
                <w:sz w:val="21"/>
                <w:szCs w:val="21"/>
                <w:lang w:eastAsia="es-CO"/>
                <w14:ligatures w14:val="none"/>
              </w:rPr>
              <w:t>Tema:</w:t>
            </w:r>
          </w:p>
        </w:tc>
        <w:tc>
          <w:tcPr>
            <w:tcW w:w="6055" w:type="dxa"/>
            <w:tcBorders>
              <w:top w:val="nil"/>
              <w:left w:val="nil"/>
              <w:bottom w:val="nil"/>
              <w:right w:val="nil"/>
            </w:tcBorders>
            <w:tcMar>
              <w:top w:w="0" w:type="dxa"/>
              <w:left w:w="105" w:type="dxa"/>
              <w:bottom w:w="0" w:type="dxa"/>
              <w:right w:w="105" w:type="dxa"/>
            </w:tcMar>
            <w:hideMark/>
          </w:tcPr>
          <w:p w14:paraId="49C3DAB7" w14:textId="77777777" w:rsidR="006B79A4" w:rsidRPr="006B79A4" w:rsidRDefault="006B79A4" w:rsidP="006B79A4">
            <w:pPr>
              <w:spacing w:after="0" w:line="240" w:lineRule="auto"/>
              <w:jc w:val="both"/>
              <w:rPr>
                <w:rFonts w:ascii="Segoe UI" w:eastAsia="Times New Roman" w:hAnsi="Segoe UI" w:cs="Segoe UI"/>
                <w:kern w:val="0"/>
                <w:sz w:val="21"/>
                <w:szCs w:val="21"/>
                <w:lang w:eastAsia="es-CO"/>
                <w14:ligatures w14:val="none"/>
              </w:rPr>
            </w:pPr>
            <w:r w:rsidRPr="006B79A4">
              <w:rPr>
                <w:rFonts w:ascii="Segoe UI" w:eastAsia="Times New Roman" w:hAnsi="Segoe UI" w:cs="Segoe UI"/>
                <w:kern w:val="0"/>
                <w:sz w:val="21"/>
                <w:szCs w:val="21"/>
                <w:lang w:eastAsia="es-CO"/>
                <w14:ligatures w14:val="none"/>
              </w:rPr>
              <w:t>Impuesto sobre la renta y complementarios</w:t>
            </w:r>
          </w:p>
        </w:tc>
      </w:tr>
      <w:tr w:rsidR="006B79A4" w:rsidRPr="006B79A4" w14:paraId="0BC49F45" w14:textId="77777777" w:rsidTr="006B79A4">
        <w:tc>
          <w:tcPr>
            <w:tcW w:w="2236" w:type="dxa"/>
            <w:tcBorders>
              <w:top w:val="nil"/>
              <w:left w:val="nil"/>
              <w:bottom w:val="nil"/>
              <w:right w:val="nil"/>
            </w:tcBorders>
            <w:tcMar>
              <w:top w:w="0" w:type="dxa"/>
              <w:left w:w="105" w:type="dxa"/>
              <w:bottom w:w="0" w:type="dxa"/>
              <w:right w:w="105" w:type="dxa"/>
            </w:tcMar>
            <w:hideMark/>
          </w:tcPr>
          <w:p w14:paraId="1B863716" w14:textId="77777777" w:rsidR="006B79A4" w:rsidRPr="006B79A4" w:rsidRDefault="006B79A4" w:rsidP="006B79A4">
            <w:pPr>
              <w:spacing w:after="0" w:line="240" w:lineRule="auto"/>
              <w:jc w:val="both"/>
              <w:rPr>
                <w:rFonts w:ascii="Segoe UI" w:eastAsia="Times New Roman" w:hAnsi="Segoe UI" w:cs="Segoe UI"/>
                <w:kern w:val="0"/>
                <w:sz w:val="21"/>
                <w:szCs w:val="21"/>
                <w:lang w:eastAsia="es-CO"/>
                <w14:ligatures w14:val="none"/>
              </w:rPr>
            </w:pPr>
            <w:r w:rsidRPr="006B79A4">
              <w:rPr>
                <w:rFonts w:ascii="Segoe UI" w:eastAsia="Times New Roman" w:hAnsi="Segoe UI" w:cs="Segoe UI"/>
                <w:b/>
                <w:bCs/>
                <w:kern w:val="0"/>
                <w:sz w:val="21"/>
                <w:szCs w:val="21"/>
                <w:lang w:eastAsia="es-CO"/>
                <w14:ligatures w14:val="none"/>
              </w:rPr>
              <w:t>Descriptores:</w:t>
            </w:r>
          </w:p>
        </w:tc>
        <w:tc>
          <w:tcPr>
            <w:tcW w:w="6055" w:type="dxa"/>
            <w:tcBorders>
              <w:top w:val="nil"/>
              <w:left w:val="nil"/>
              <w:bottom w:val="nil"/>
              <w:right w:val="nil"/>
            </w:tcBorders>
            <w:tcMar>
              <w:top w:w="0" w:type="dxa"/>
              <w:left w:w="105" w:type="dxa"/>
              <w:bottom w:w="0" w:type="dxa"/>
              <w:right w:w="105" w:type="dxa"/>
            </w:tcMar>
            <w:hideMark/>
          </w:tcPr>
          <w:p w14:paraId="06FBFA79" w14:textId="77777777" w:rsidR="006B79A4" w:rsidRPr="006B79A4" w:rsidRDefault="006B79A4" w:rsidP="006B79A4">
            <w:pPr>
              <w:spacing w:after="0" w:line="240" w:lineRule="auto"/>
              <w:jc w:val="both"/>
              <w:rPr>
                <w:rFonts w:ascii="Segoe UI" w:eastAsia="Times New Roman" w:hAnsi="Segoe UI" w:cs="Segoe UI"/>
                <w:kern w:val="0"/>
                <w:sz w:val="21"/>
                <w:szCs w:val="21"/>
                <w:lang w:eastAsia="es-CO"/>
                <w14:ligatures w14:val="none"/>
              </w:rPr>
            </w:pPr>
            <w:r w:rsidRPr="006B79A4">
              <w:rPr>
                <w:rFonts w:ascii="Segoe UI" w:eastAsia="Times New Roman" w:hAnsi="Segoe UI" w:cs="Segoe UI"/>
                <w:kern w:val="0"/>
                <w:sz w:val="21"/>
                <w:szCs w:val="21"/>
                <w:lang w:eastAsia="es-CO"/>
                <w14:ligatures w14:val="none"/>
              </w:rPr>
              <w:t>Beneficios tributarios</w:t>
            </w:r>
          </w:p>
        </w:tc>
      </w:tr>
      <w:tr w:rsidR="006B79A4" w:rsidRPr="006B79A4" w14:paraId="5647FDF7" w14:textId="77777777" w:rsidTr="006B79A4">
        <w:tc>
          <w:tcPr>
            <w:tcW w:w="2236" w:type="dxa"/>
            <w:tcBorders>
              <w:top w:val="nil"/>
              <w:left w:val="nil"/>
              <w:bottom w:val="nil"/>
              <w:right w:val="nil"/>
            </w:tcBorders>
            <w:tcMar>
              <w:top w:w="0" w:type="dxa"/>
              <w:left w:w="105" w:type="dxa"/>
              <w:bottom w:w="0" w:type="dxa"/>
              <w:right w:w="105" w:type="dxa"/>
            </w:tcMar>
            <w:hideMark/>
          </w:tcPr>
          <w:p w14:paraId="111ECD19" w14:textId="77777777" w:rsidR="006B79A4" w:rsidRPr="006B79A4" w:rsidRDefault="006B79A4" w:rsidP="006B79A4">
            <w:pPr>
              <w:spacing w:after="0" w:line="240" w:lineRule="auto"/>
              <w:jc w:val="both"/>
              <w:rPr>
                <w:rFonts w:ascii="Segoe UI" w:eastAsia="Times New Roman" w:hAnsi="Segoe UI" w:cs="Segoe UI"/>
                <w:kern w:val="0"/>
                <w:sz w:val="21"/>
                <w:szCs w:val="21"/>
                <w:lang w:eastAsia="es-CO"/>
                <w14:ligatures w14:val="none"/>
              </w:rPr>
            </w:pPr>
            <w:r w:rsidRPr="006B79A4">
              <w:rPr>
                <w:rFonts w:ascii="Segoe UI" w:eastAsia="Times New Roman" w:hAnsi="Segoe UI" w:cs="Segoe UI"/>
                <w:b/>
                <w:bCs/>
                <w:kern w:val="0"/>
                <w:sz w:val="21"/>
                <w:szCs w:val="21"/>
                <w:lang w:eastAsia="es-CO"/>
                <w14:ligatures w14:val="none"/>
              </w:rPr>
              <w:t>Fuentes formales:</w:t>
            </w:r>
          </w:p>
        </w:tc>
        <w:tc>
          <w:tcPr>
            <w:tcW w:w="6055" w:type="dxa"/>
            <w:tcBorders>
              <w:top w:val="nil"/>
              <w:left w:val="nil"/>
              <w:bottom w:val="nil"/>
              <w:right w:val="nil"/>
            </w:tcBorders>
            <w:tcMar>
              <w:top w:w="0" w:type="dxa"/>
              <w:left w:w="105" w:type="dxa"/>
              <w:bottom w:w="0" w:type="dxa"/>
              <w:right w:w="105" w:type="dxa"/>
            </w:tcMar>
            <w:hideMark/>
          </w:tcPr>
          <w:p w14:paraId="65AEDFF1" w14:textId="77777777" w:rsidR="006B79A4" w:rsidRPr="006B79A4" w:rsidRDefault="006B79A4" w:rsidP="006B79A4">
            <w:pPr>
              <w:spacing w:after="0" w:line="240" w:lineRule="auto"/>
              <w:jc w:val="both"/>
              <w:rPr>
                <w:rFonts w:ascii="Segoe UI" w:eastAsia="Times New Roman" w:hAnsi="Segoe UI" w:cs="Segoe UI"/>
                <w:kern w:val="0"/>
                <w:sz w:val="21"/>
                <w:szCs w:val="21"/>
                <w:lang w:eastAsia="es-CO"/>
                <w14:ligatures w14:val="none"/>
              </w:rPr>
            </w:pPr>
            <w:hyperlink r:id="rId4" w:tooltip="Estatuto Tributario CETA" w:history="1">
              <w:r w:rsidRPr="006B79A4">
                <w:rPr>
                  <w:rFonts w:ascii="Segoe UI" w:eastAsia="Times New Roman" w:hAnsi="Segoe UI" w:cs="Segoe UI"/>
                  <w:color w:val="0645AD"/>
                  <w:kern w:val="0"/>
                  <w:sz w:val="21"/>
                  <w:szCs w:val="21"/>
                  <w:u w:val="single"/>
                  <w:lang w:eastAsia="es-CO"/>
                  <w14:ligatures w14:val="none"/>
                </w:rPr>
                <w:t>Artículo 126-4</w:t>
              </w:r>
            </w:hyperlink>
            <w:r w:rsidRPr="006B79A4">
              <w:rPr>
                <w:rFonts w:ascii="Segoe UI" w:eastAsia="Times New Roman" w:hAnsi="Segoe UI" w:cs="Segoe UI"/>
                <w:kern w:val="0"/>
                <w:sz w:val="21"/>
                <w:szCs w:val="21"/>
                <w:lang w:eastAsia="es-CO"/>
                <w14:ligatures w14:val="none"/>
              </w:rPr>
              <w:t> del Estatuto Tributario</w:t>
            </w:r>
          </w:p>
          <w:p w14:paraId="00D212AC" w14:textId="77777777" w:rsidR="006B79A4" w:rsidRPr="006B79A4" w:rsidRDefault="006B79A4" w:rsidP="006B79A4">
            <w:pPr>
              <w:spacing w:after="0" w:line="240" w:lineRule="auto"/>
              <w:jc w:val="both"/>
              <w:rPr>
                <w:rFonts w:ascii="Segoe UI" w:eastAsia="Times New Roman" w:hAnsi="Segoe UI" w:cs="Segoe UI"/>
                <w:kern w:val="0"/>
                <w:sz w:val="21"/>
                <w:szCs w:val="21"/>
                <w:lang w:eastAsia="es-CO"/>
                <w14:ligatures w14:val="none"/>
              </w:rPr>
            </w:pPr>
            <w:r w:rsidRPr="006B79A4">
              <w:rPr>
                <w:rFonts w:ascii="Segoe UI" w:eastAsia="Times New Roman" w:hAnsi="Segoe UI" w:cs="Segoe UI"/>
                <w:kern w:val="0"/>
                <w:sz w:val="21"/>
                <w:szCs w:val="21"/>
                <w:lang w:eastAsia="es-CO"/>
                <w14:ligatures w14:val="none"/>
              </w:rPr>
              <w:t>Artículo 2 de la Ley 1114 de 2006</w:t>
            </w:r>
          </w:p>
          <w:p w14:paraId="1622F61A" w14:textId="77777777" w:rsidR="006B79A4" w:rsidRPr="006B79A4" w:rsidRDefault="006B79A4" w:rsidP="006B79A4">
            <w:pPr>
              <w:spacing w:after="0" w:line="240" w:lineRule="auto"/>
              <w:jc w:val="both"/>
              <w:rPr>
                <w:rFonts w:ascii="Segoe UI" w:eastAsia="Times New Roman" w:hAnsi="Segoe UI" w:cs="Segoe UI"/>
                <w:kern w:val="0"/>
                <w:sz w:val="21"/>
                <w:szCs w:val="21"/>
                <w:lang w:eastAsia="es-CO"/>
                <w14:ligatures w14:val="none"/>
              </w:rPr>
            </w:pPr>
            <w:r w:rsidRPr="006B79A4">
              <w:rPr>
                <w:rFonts w:ascii="Segoe UI" w:eastAsia="Times New Roman" w:hAnsi="Segoe UI" w:cs="Segoe UI"/>
                <w:kern w:val="0"/>
                <w:sz w:val="21"/>
                <w:szCs w:val="21"/>
                <w:lang w:eastAsia="es-CO"/>
                <w14:ligatures w14:val="none"/>
              </w:rPr>
              <w:t>Artículos 1.2.1.22.43., 1.2.4.1.34. y 1.2.4.1.36. del Decreto 1625 de 2016.</w:t>
            </w:r>
          </w:p>
        </w:tc>
      </w:tr>
    </w:tbl>
    <w:p w14:paraId="22E6CCC1"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0B49C602"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283DEF8E"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Cordial saludo,</w:t>
      </w:r>
    </w:p>
    <w:p w14:paraId="6B1BD03B"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251069BC"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1B52658"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1D8CB7AA"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Mediante el radicado de la referencia, la peticionaria formula los interrogantes que se resolverán a continuación.</w:t>
      </w:r>
    </w:p>
    <w:p w14:paraId="3A6EC95B"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472F754F" w14:textId="77777777" w:rsidR="006B79A4" w:rsidRPr="006B79A4" w:rsidRDefault="006B79A4" w:rsidP="006B79A4">
      <w:pPr>
        <w:spacing w:after="0" w:line="240" w:lineRule="auto"/>
        <w:ind w:left="284"/>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b/>
          <w:bCs/>
          <w:color w:val="000000"/>
          <w:kern w:val="0"/>
          <w:sz w:val="21"/>
          <w:szCs w:val="21"/>
          <w:lang w:eastAsia="es-CO"/>
          <w14:ligatures w14:val="none"/>
        </w:rPr>
        <w:t>1. ¿El beneficio tributario de renta exenta, de que trata el </w:t>
      </w:r>
      <w:hyperlink r:id="rId5" w:tooltip="Estatuto Tributario CETA" w:history="1">
        <w:r w:rsidRPr="006B79A4">
          <w:rPr>
            <w:rFonts w:ascii="Segoe UI" w:eastAsia="Times New Roman" w:hAnsi="Segoe UI" w:cs="Segoe UI"/>
            <w:b/>
            <w:bCs/>
            <w:color w:val="0645AD"/>
            <w:kern w:val="0"/>
            <w:sz w:val="21"/>
            <w:szCs w:val="21"/>
            <w:u w:val="single"/>
            <w:lang w:eastAsia="es-CO"/>
            <w14:ligatures w14:val="none"/>
          </w:rPr>
          <w:t>artículo 126-4</w:t>
        </w:r>
      </w:hyperlink>
      <w:r w:rsidRPr="006B79A4">
        <w:rPr>
          <w:rFonts w:ascii="Segoe UI" w:eastAsia="Times New Roman" w:hAnsi="Segoe UI" w:cs="Segoe UI"/>
          <w:b/>
          <w:bCs/>
          <w:color w:val="000000"/>
          <w:kern w:val="0"/>
          <w:sz w:val="21"/>
          <w:szCs w:val="21"/>
          <w:lang w:eastAsia="es-CO"/>
          <w14:ligatures w14:val="none"/>
        </w:rPr>
        <w:t> del Estatuto Tributario, procede tanto para los trabajadores dependientes como independientes que suscriban contratos de Ahorro Voluntario Contractual (AVC en adelante)?</w:t>
      </w:r>
    </w:p>
    <w:p w14:paraId="02B43BF5"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576CDAD4"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0613D309"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Sí, este beneficio tributario de renta exenta cobija a las personas naturales que suscriban contratos de AVC, independientemente que sean trabajadores dependientes o independientes, </w:t>
      </w:r>
      <w:r w:rsidRPr="006B79A4">
        <w:rPr>
          <w:rFonts w:ascii="Segoe UI" w:eastAsia="Times New Roman" w:hAnsi="Segoe UI" w:cs="Segoe UI"/>
          <w:color w:val="000000"/>
          <w:kern w:val="0"/>
          <w:sz w:val="21"/>
          <w:szCs w:val="21"/>
          <w:u w:val="single"/>
          <w:lang w:eastAsia="es-CO"/>
          <w14:ligatures w14:val="none"/>
        </w:rPr>
        <w:t>en los términos estrictamente establecidos por el citado </w:t>
      </w:r>
      <w:hyperlink r:id="rId6" w:tooltip="Estatuto Tributario CETA" w:history="1">
        <w:r w:rsidRPr="006B79A4">
          <w:rPr>
            <w:rFonts w:ascii="Segoe UI" w:eastAsia="Times New Roman" w:hAnsi="Segoe UI" w:cs="Segoe UI"/>
            <w:color w:val="0645AD"/>
            <w:kern w:val="0"/>
            <w:sz w:val="21"/>
            <w:szCs w:val="21"/>
            <w:u w:val="single"/>
            <w:lang w:eastAsia="es-CO"/>
            <w14:ligatures w14:val="none"/>
          </w:rPr>
          <w:t>artículo 126-4</w:t>
        </w:r>
      </w:hyperlink>
      <w:r w:rsidRPr="006B79A4">
        <w:rPr>
          <w:rFonts w:ascii="Segoe UI" w:eastAsia="Times New Roman" w:hAnsi="Segoe UI" w:cs="Segoe UI"/>
          <w:color w:val="000000"/>
          <w:kern w:val="0"/>
          <w:sz w:val="21"/>
          <w:szCs w:val="21"/>
          <w:u w:val="single"/>
          <w:lang w:eastAsia="es-CO"/>
          <w14:ligatures w14:val="none"/>
        </w:rPr>
        <w:t> y su reglamentación</w:t>
      </w:r>
      <w:r w:rsidRPr="006B79A4">
        <w:rPr>
          <w:rFonts w:ascii="Segoe UI" w:eastAsia="Times New Roman" w:hAnsi="Segoe UI" w:cs="Segoe UI"/>
          <w:color w:val="000000"/>
          <w:kern w:val="0"/>
          <w:sz w:val="21"/>
          <w:szCs w:val="21"/>
          <w:lang w:eastAsia="es-CO"/>
          <w14:ligatures w14:val="none"/>
        </w:rPr>
        <w:t>.</w:t>
      </w:r>
    </w:p>
    <w:p w14:paraId="4193A67C"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5866AEF3"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Lo anterior se desprende de lo establecido en las siguientes disposiciones:</w:t>
      </w:r>
    </w:p>
    <w:p w14:paraId="76527A30"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55268271"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hyperlink r:id="rId7" w:tooltip="Estatuto Tributario CETA" w:history="1">
        <w:r w:rsidRPr="006B79A4">
          <w:rPr>
            <w:rFonts w:ascii="Segoe UI" w:eastAsia="Times New Roman" w:hAnsi="Segoe UI" w:cs="Segoe UI"/>
            <w:color w:val="0645AD"/>
            <w:kern w:val="0"/>
            <w:sz w:val="21"/>
            <w:szCs w:val="21"/>
            <w:u w:val="single"/>
            <w:lang w:eastAsia="es-CO"/>
            <w14:ligatures w14:val="none"/>
          </w:rPr>
          <w:t>Artículo 126-4</w:t>
        </w:r>
      </w:hyperlink>
      <w:r w:rsidRPr="006B79A4">
        <w:rPr>
          <w:rFonts w:ascii="Segoe UI" w:eastAsia="Times New Roman" w:hAnsi="Segoe UI" w:cs="Segoe UI"/>
          <w:color w:val="000000"/>
          <w:kern w:val="0"/>
          <w:sz w:val="21"/>
          <w:szCs w:val="21"/>
          <w:lang w:eastAsia="es-CO"/>
          <w14:ligatures w14:val="none"/>
        </w:rPr>
        <w:t> del Estatuto Tributario:</w:t>
      </w:r>
    </w:p>
    <w:p w14:paraId="4166FE65"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273A3E43" w14:textId="77777777" w:rsidR="006B79A4" w:rsidRPr="006B79A4" w:rsidRDefault="006B79A4" w:rsidP="006B79A4">
      <w:pPr>
        <w:spacing w:after="0" w:line="240" w:lineRule="auto"/>
        <w:ind w:left="284"/>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“Las sumas que los </w:t>
      </w:r>
      <w:r w:rsidRPr="006B79A4">
        <w:rPr>
          <w:rFonts w:ascii="Segoe UI" w:eastAsia="Times New Roman" w:hAnsi="Segoe UI" w:cs="Segoe UI"/>
          <w:color w:val="000000"/>
          <w:kern w:val="0"/>
          <w:sz w:val="21"/>
          <w:szCs w:val="21"/>
          <w:u w:val="single"/>
          <w:lang w:eastAsia="es-CO"/>
          <w14:ligatures w14:val="none"/>
        </w:rPr>
        <w:t>contribuyentes personas naturales</w:t>
      </w:r>
      <w:r w:rsidRPr="006B79A4">
        <w:rPr>
          <w:rFonts w:ascii="Segoe UI" w:eastAsia="Times New Roman" w:hAnsi="Segoe UI" w:cs="Segoe UI"/>
          <w:color w:val="000000"/>
          <w:kern w:val="0"/>
          <w:sz w:val="21"/>
          <w:szCs w:val="21"/>
          <w:lang w:eastAsia="es-CO"/>
          <w14:ligatures w14:val="none"/>
        </w:rPr>
        <w:t> depositen en las cuentas de ahorro denominadas Ahorro para el Fomento a la Construcción (AFC) no formarán parte de la base de retención en la fuente del contribuyente persona natural, y tendrán el carácter de rentas exentas del impuesto sobre la renta y complementarios, hasta un valor que, adicionado al valor de los aportes voluntarios a los seguros privados de pensiones y a los fondos de pensiones voluntarias de que trata el </w:t>
      </w:r>
      <w:hyperlink r:id="rId8" w:tooltip="Estatuto Tributario CETA" w:history="1">
        <w:r w:rsidRPr="006B79A4">
          <w:rPr>
            <w:rFonts w:ascii="Segoe UI" w:eastAsia="Times New Roman" w:hAnsi="Segoe UI" w:cs="Segoe UI"/>
            <w:color w:val="0645AD"/>
            <w:kern w:val="0"/>
            <w:sz w:val="21"/>
            <w:szCs w:val="21"/>
            <w:u w:val="single"/>
            <w:lang w:eastAsia="es-CO"/>
            <w14:ligatures w14:val="none"/>
          </w:rPr>
          <w:t>artículo 126-1</w:t>
        </w:r>
      </w:hyperlink>
      <w:r w:rsidRPr="006B79A4">
        <w:rPr>
          <w:rFonts w:ascii="Segoe UI" w:eastAsia="Times New Roman" w:hAnsi="Segoe UI" w:cs="Segoe UI"/>
          <w:color w:val="000000"/>
          <w:kern w:val="0"/>
          <w:sz w:val="21"/>
          <w:szCs w:val="21"/>
          <w:lang w:eastAsia="es-CO"/>
          <w14:ligatures w14:val="none"/>
        </w:rPr>
        <w:t> de este Estatuto, no exceda del treinta por ciento (30%) del ingreso laboral o del ingreso tributario del año, según corresponda, y hasta un monto máximo de tres mil ochocientas (3.800) UVT por año.</w:t>
      </w:r>
    </w:p>
    <w:p w14:paraId="00735474" w14:textId="77777777" w:rsidR="006B79A4" w:rsidRPr="006B79A4" w:rsidRDefault="006B79A4" w:rsidP="006B79A4">
      <w:pPr>
        <w:spacing w:after="0" w:line="240" w:lineRule="auto"/>
        <w:ind w:left="284"/>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637B9DE3" w14:textId="77777777" w:rsidR="006B79A4" w:rsidRPr="006B79A4" w:rsidRDefault="006B79A4" w:rsidP="006B79A4">
      <w:pPr>
        <w:spacing w:after="0" w:line="240" w:lineRule="auto"/>
        <w:ind w:left="284"/>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xml:space="preserve">Las cuentas de ahorro AFC deberán operar en los establecimientos de crédito vigilados por la Superintendencia Financiera de Colombia. Solo se podrán realizar retiros de los recursos de las </w:t>
      </w:r>
      <w:r w:rsidRPr="006B79A4">
        <w:rPr>
          <w:rFonts w:ascii="Segoe UI" w:eastAsia="Times New Roman" w:hAnsi="Segoe UI" w:cs="Segoe UI"/>
          <w:color w:val="000000"/>
          <w:kern w:val="0"/>
          <w:sz w:val="21"/>
          <w:szCs w:val="21"/>
          <w:lang w:eastAsia="es-CO"/>
          <w14:ligatures w14:val="none"/>
        </w:rPr>
        <w:lastRenderedPageBreak/>
        <w:t>cuentas de ahorros AFC para la adquisición de vivienda del trabajador, sea o no financiada por entidades sujetas a la inspección y vigilancia de la Superintendencia Financiera de Colombia, a través de créditos hipotecarios o leasing habitacional. En el evento en que la adquisición de vivienda se realice sin financiación, previamente al retiro, deberá acreditarse ante la entidad financiera, con copia de la escritura de compraventa, que los recursos se destinaron a dicha adquisición. El retiro de los recursos para cualquier otro propósito, antes de un período mínimo de permanencia de diez (10) años contados a partir de la fecha de su consignación, implica que el </w:t>
      </w:r>
      <w:r w:rsidRPr="006B79A4">
        <w:rPr>
          <w:rFonts w:ascii="Segoe UI" w:eastAsia="Times New Roman" w:hAnsi="Segoe UI" w:cs="Segoe UI"/>
          <w:color w:val="000000"/>
          <w:kern w:val="0"/>
          <w:sz w:val="21"/>
          <w:szCs w:val="21"/>
          <w:u w:val="single"/>
          <w:lang w:eastAsia="es-CO"/>
          <w14:ligatures w14:val="none"/>
        </w:rPr>
        <w:t>trabajador</w:t>
      </w:r>
      <w:r w:rsidRPr="006B79A4">
        <w:rPr>
          <w:rFonts w:ascii="Segoe UI" w:eastAsia="Times New Roman" w:hAnsi="Segoe UI" w:cs="Segoe UI"/>
          <w:color w:val="000000"/>
          <w:kern w:val="0"/>
          <w:sz w:val="21"/>
          <w:szCs w:val="21"/>
          <w:lang w:eastAsia="es-CO"/>
          <w14:ligatures w14:val="none"/>
        </w:rPr>
        <w:t> pierda el beneficio y que se efectúen, por parte de la respectiva entidad financiera, las retenciones inicialmente no realizadas en el año en que se percibió el ingreso y se realizó el aporte.</w:t>
      </w:r>
    </w:p>
    <w:p w14:paraId="1864ECB4" w14:textId="77777777" w:rsidR="006B79A4" w:rsidRPr="006B79A4" w:rsidRDefault="006B79A4" w:rsidP="006B79A4">
      <w:pPr>
        <w:spacing w:after="0" w:line="240" w:lineRule="auto"/>
        <w:ind w:left="284"/>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72D96F28" w14:textId="77777777" w:rsidR="006B79A4" w:rsidRPr="006B79A4" w:rsidRDefault="006B79A4" w:rsidP="006B79A4">
      <w:pPr>
        <w:spacing w:after="0" w:line="240" w:lineRule="auto"/>
        <w:ind w:left="284"/>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(subrayado fuera de texto)</w:t>
      </w:r>
    </w:p>
    <w:p w14:paraId="1A8A5376"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47B08825"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Artículo 2 de la Ley 1114 de 2006:</w:t>
      </w:r>
    </w:p>
    <w:p w14:paraId="5A63C8B5"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4117BCB8" w14:textId="77777777" w:rsidR="006B79A4" w:rsidRPr="006B79A4" w:rsidRDefault="006B79A4" w:rsidP="006B79A4">
      <w:pPr>
        <w:spacing w:after="0" w:line="240" w:lineRule="auto"/>
        <w:ind w:left="284"/>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w:t>
      </w:r>
      <w:r w:rsidRPr="006B79A4">
        <w:rPr>
          <w:rFonts w:ascii="Segoe UI" w:eastAsia="Times New Roman" w:hAnsi="Segoe UI" w:cs="Segoe UI"/>
          <w:b/>
          <w:bCs/>
          <w:color w:val="000000"/>
          <w:kern w:val="0"/>
          <w:sz w:val="21"/>
          <w:szCs w:val="21"/>
          <w:lang w:eastAsia="es-CO"/>
          <w14:ligatures w14:val="none"/>
        </w:rPr>
        <w:t>ARTÍCULO 2o.</w:t>
      </w:r>
      <w:r w:rsidRPr="006B79A4">
        <w:rPr>
          <w:rFonts w:ascii="Segoe UI" w:eastAsia="Times New Roman" w:hAnsi="Segoe UI" w:cs="Segoe UI"/>
          <w:color w:val="000000"/>
          <w:kern w:val="0"/>
          <w:sz w:val="21"/>
          <w:szCs w:val="21"/>
          <w:lang w:eastAsia="es-CO"/>
          <w14:ligatures w14:val="none"/>
        </w:rPr>
        <w:t> El ahorro voluntario </w:t>
      </w:r>
      <w:r w:rsidRPr="006B79A4">
        <w:rPr>
          <w:rFonts w:ascii="Segoe UI" w:eastAsia="Times New Roman" w:hAnsi="Segoe UI" w:cs="Segoe UI"/>
          <w:color w:val="000000"/>
          <w:kern w:val="0"/>
          <w:sz w:val="21"/>
          <w:szCs w:val="21"/>
          <w:u w:val="single"/>
          <w:lang w:eastAsia="es-CO"/>
          <w14:ligatures w14:val="none"/>
        </w:rPr>
        <w:t>recibirá los mismos beneficios tributarios</w:t>
      </w:r>
      <w:r w:rsidRPr="006B79A4">
        <w:rPr>
          <w:rFonts w:ascii="Segoe UI" w:eastAsia="Times New Roman" w:hAnsi="Segoe UI" w:cs="Segoe UI"/>
          <w:color w:val="000000"/>
          <w:kern w:val="0"/>
          <w:sz w:val="21"/>
          <w:szCs w:val="21"/>
          <w:lang w:eastAsia="es-CO"/>
          <w14:ligatures w14:val="none"/>
        </w:rPr>
        <w:t> concedidos a la cuenta de ahorro para el fomento a la construcción AFC previstos en las Leyes 488 de 1998 y 633 de 2000. (…)” (subrayado fuera de texto)</w:t>
      </w:r>
    </w:p>
    <w:p w14:paraId="46AFA713"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5BA961A3"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Nótese que el </w:t>
      </w:r>
      <w:hyperlink r:id="rId9" w:tooltip="Estatuto Tributario CETA" w:history="1">
        <w:r w:rsidRPr="006B79A4">
          <w:rPr>
            <w:rFonts w:ascii="Segoe UI" w:eastAsia="Times New Roman" w:hAnsi="Segoe UI" w:cs="Segoe UI"/>
            <w:color w:val="0645AD"/>
            <w:kern w:val="0"/>
            <w:sz w:val="21"/>
            <w:szCs w:val="21"/>
            <w:u w:val="single"/>
            <w:lang w:eastAsia="es-CO"/>
            <w14:ligatures w14:val="none"/>
          </w:rPr>
          <w:t>artículo 126-4</w:t>
        </w:r>
      </w:hyperlink>
      <w:r w:rsidRPr="006B79A4">
        <w:rPr>
          <w:rFonts w:ascii="Segoe UI" w:eastAsia="Times New Roman" w:hAnsi="Segoe UI" w:cs="Segoe UI"/>
          <w:color w:val="000000"/>
          <w:kern w:val="0"/>
          <w:sz w:val="21"/>
          <w:szCs w:val="21"/>
          <w:lang w:eastAsia="es-CO"/>
          <w14:ligatures w14:val="none"/>
        </w:rPr>
        <w:t> </w:t>
      </w:r>
      <w:r w:rsidRPr="006B79A4">
        <w:rPr>
          <w:rFonts w:ascii="Segoe UI" w:eastAsia="Times New Roman" w:hAnsi="Segoe UI" w:cs="Segoe UI"/>
          <w:i/>
          <w:iCs/>
          <w:color w:val="000000"/>
          <w:kern w:val="0"/>
          <w:sz w:val="21"/>
          <w:szCs w:val="21"/>
          <w:lang w:eastAsia="es-CO"/>
          <w14:ligatures w14:val="none"/>
        </w:rPr>
        <w:t>ibidem</w:t>
      </w:r>
      <w:r w:rsidRPr="006B79A4">
        <w:rPr>
          <w:rFonts w:ascii="Segoe UI" w:eastAsia="Times New Roman" w:hAnsi="Segoe UI" w:cs="Segoe UI"/>
          <w:color w:val="000000"/>
          <w:kern w:val="0"/>
          <w:sz w:val="21"/>
          <w:szCs w:val="21"/>
          <w:lang w:eastAsia="es-CO"/>
          <w14:ligatures w14:val="none"/>
        </w:rPr>
        <w:t> se refiere a “los contribuyentes personas naturales” y al “trabajador” sin mayor distinción, sin que -por ende- sean relevantes las categorías de trabajador dependiente o independiente.</w:t>
      </w:r>
    </w:p>
    <w:p w14:paraId="0C138CF9"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w:t>
      </w:r>
    </w:p>
    <w:p w14:paraId="6513EF5E" w14:textId="77777777" w:rsidR="006B79A4" w:rsidRPr="006B79A4" w:rsidRDefault="006B79A4" w:rsidP="006B79A4">
      <w:pPr>
        <w:spacing w:after="0" w:line="240" w:lineRule="auto"/>
        <w:jc w:val="both"/>
        <w:rPr>
          <w:rFonts w:ascii="Segoe UI" w:eastAsia="Times New Roman" w:hAnsi="Segoe UI" w:cs="Segoe UI"/>
          <w:color w:val="000000"/>
          <w:kern w:val="0"/>
          <w:sz w:val="21"/>
          <w:szCs w:val="21"/>
          <w:lang w:eastAsia="es-CO"/>
          <w14:ligatures w14:val="none"/>
        </w:rPr>
      </w:pPr>
      <w:r w:rsidRPr="006B79A4">
        <w:rPr>
          <w:rFonts w:ascii="Segoe UI" w:eastAsia="Times New Roman" w:hAnsi="Segoe UI" w:cs="Segoe UI"/>
          <w:color w:val="000000"/>
          <w:kern w:val="0"/>
          <w:sz w:val="21"/>
          <w:szCs w:val="21"/>
          <w:lang w:eastAsia="es-CO"/>
          <w14:ligatures w14:val="none"/>
        </w:rPr>
        <w:t xml:space="preserve">En este sentido, el Decreto 1625 de 2016 en sus artículos 1.2.1.22.43., 1.2.4.1.34. y 1.2.4.1.36., al desarrollar el carácter de renta exenta de los aportes a las cuentas de AFC y </w:t>
      </w:r>
      <w:proofErr w:type="gramStart"/>
      <w:r w:rsidRPr="006B79A4">
        <w:rPr>
          <w:rFonts w:ascii="Segoe UI" w:eastAsia="Times New Roman" w:hAnsi="Segoe UI" w:cs="Segoe UI"/>
          <w:color w:val="000000"/>
          <w:kern w:val="0"/>
          <w:sz w:val="21"/>
          <w:szCs w:val="21"/>
          <w:lang w:eastAsia="es-CO"/>
          <w14:ligatures w14:val="none"/>
        </w:rPr>
        <w:t>AVC</w:t>
      </w:r>
      <w:proofErr w:type="gramEnd"/>
      <w:r w:rsidRPr="006B79A4">
        <w:rPr>
          <w:rFonts w:ascii="Segoe UI" w:eastAsia="Times New Roman" w:hAnsi="Segoe UI" w:cs="Segoe UI"/>
          <w:color w:val="000000"/>
          <w:kern w:val="0"/>
          <w:sz w:val="21"/>
          <w:szCs w:val="21"/>
          <w:lang w:eastAsia="es-CO"/>
          <w14:ligatures w14:val="none"/>
        </w:rPr>
        <w:t xml:space="preserve"> así como lo relacionado con la retención en la fuente contingente, se refiere -de nuevo- en términos amplios a los contribuyentes personas naturales.</w:t>
      </w:r>
    </w:p>
    <w:p w14:paraId="12F18CFA" w14:textId="577497D5" w:rsidR="006B79A4" w:rsidRDefault="006B79A4" w:rsidP="006B79A4">
      <w:pPr>
        <w:pStyle w:val="NormalWeb"/>
        <w:spacing w:before="0" w:beforeAutospacing="0" w:after="0" w:afterAutospacing="0"/>
        <w:jc w:val="both"/>
        <w:rPr>
          <w:rFonts w:ascii="Segoe UI" w:hAnsi="Segoe UI" w:cs="Segoe UI"/>
          <w:color w:val="000000"/>
          <w:sz w:val="21"/>
          <w:szCs w:val="21"/>
          <w:shd w:val="clear" w:color="auto" w:fill="FFFFFF"/>
        </w:rPr>
      </w:pPr>
    </w:p>
    <w:p w14:paraId="0C9D17B1" w14:textId="77777777" w:rsidR="006B79A4" w:rsidRDefault="006B79A4" w:rsidP="006B79A4">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color w:val="000000"/>
          <w:sz w:val="21"/>
          <w:szCs w:val="21"/>
        </w:rPr>
        <w:t>2. En lo relacionado con las cuentas AFC ¿es viable tener en cuenta lo expresado por la DIAN en el Concepto No. 0004 del 8 de agosto de 2002 - Concepto especial sobre incentivo al ahorro a largo plazo para el fomento de la construcción - AFC?</w:t>
      </w:r>
    </w:p>
    <w:p w14:paraId="01A28951"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37A9BC0"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Concepto especial en comento fue expedido de manera previa a las modificaciones que introdujeron las Leyes 1607 de 2012 y 1819 de 2016 y que dotan al </w:t>
      </w:r>
      <w:hyperlink r:id="rId10" w:tooltip="Estatuto Tributario CETA" w:history="1">
        <w:r>
          <w:rPr>
            <w:rStyle w:val="Hipervnculo"/>
            <w:rFonts w:ascii="Segoe UI" w:hAnsi="Segoe UI" w:cs="Segoe UI"/>
            <w:color w:val="0645AD"/>
            <w:sz w:val="21"/>
            <w:szCs w:val="21"/>
          </w:rPr>
          <w:t>artículo 126-4</w:t>
        </w:r>
      </w:hyperlink>
      <w:r>
        <w:rPr>
          <w:rFonts w:ascii="Segoe UI" w:hAnsi="Segoe UI" w:cs="Segoe UI"/>
          <w:color w:val="000000"/>
          <w:sz w:val="21"/>
          <w:szCs w:val="21"/>
        </w:rPr>
        <w:t> del Estatuto Tributario de elementos diferentes a los que fueron materia de análisis en el año 2002; esto es, el actual carácter de renta exenta de los aportes a las cuentas AFC y su período de permanencia mínima en las referidas cuentas para el efecto, entre otros aspectos.</w:t>
      </w:r>
    </w:p>
    <w:p w14:paraId="21B5FEDA"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DFEB7ED"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Aunado a lo anterior, los Decretos 2250 de 2017, 2264 de 2019 y 1435 de 2020, cuyas disposiciones se encuentran incorporadas en los artículos 1.2.1.22.41. y siguientes del Decreto 1625 de 2016, se han modificado los requisitos para que tenga lugar el beneficio tributario de que trata el mencionado </w:t>
      </w:r>
      <w:hyperlink r:id="rId11" w:tooltip="Estatuto Tributario CETA" w:history="1">
        <w:r>
          <w:rPr>
            <w:rStyle w:val="Hipervnculo"/>
            <w:rFonts w:ascii="Segoe UI" w:hAnsi="Segoe UI" w:cs="Segoe UI"/>
            <w:color w:val="0645AD"/>
            <w:sz w:val="21"/>
            <w:szCs w:val="21"/>
          </w:rPr>
          <w:t>artículo 126-4</w:t>
        </w:r>
      </w:hyperlink>
      <w:r>
        <w:rPr>
          <w:rFonts w:ascii="Segoe UI" w:hAnsi="Segoe UI" w:cs="Segoe UI"/>
          <w:color w:val="000000"/>
          <w:sz w:val="21"/>
          <w:szCs w:val="21"/>
        </w:rPr>
        <w:t>, así como los parámetros de control que deben tener las entidades que administran los recursos que, por disposición expresa del artículo</w:t>
      </w:r>
      <w:hyperlink r:id="rId12" w:tgtFrame="_blank" w:history="1">
        <w:r>
          <w:rPr>
            <w:rStyle w:val="Hipervnculo"/>
            <w:rFonts w:ascii="Segoe UI" w:hAnsi="Segoe UI" w:cs="Segoe UI"/>
            <w:color w:val="0645AD"/>
            <w:sz w:val="21"/>
            <w:szCs w:val="21"/>
          </w:rPr>
          <w:t> 2 </w:t>
        </w:r>
      </w:hyperlink>
      <w:r>
        <w:rPr>
          <w:rFonts w:ascii="Segoe UI" w:hAnsi="Segoe UI" w:cs="Segoe UI"/>
          <w:color w:val="000000"/>
          <w:sz w:val="21"/>
          <w:szCs w:val="21"/>
        </w:rPr>
        <w:t>de la Ley 1114 de 2006, también comprenden las Cuentas de AVC.</w:t>
      </w:r>
    </w:p>
    <w:p w14:paraId="0FE2EAEC"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F5B21D3"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las cosas, ante el estado actual de la normativa aplicable, se sugiere considerar lo dispuesto en la misma, así como lo señalado en el Concepto General Unificado No. 912 del 19 de julio de 2018 - Impuesto sobre la renta de las personas naturales (descriptores 2.9. y 2.10.), así como los Oficios No. 033234 del 16 de noviembre de 2018 y No. 910502 - interno 163 del 24 de septiembre de 2021, de los cuales se acompaña copia.</w:t>
      </w:r>
    </w:p>
    <w:p w14:paraId="1970422D" w14:textId="77777777" w:rsidR="006B79A4" w:rsidRDefault="006B79A4" w:rsidP="006B79A4">
      <w:pPr>
        <w:pStyle w:val="NormalWeb"/>
        <w:spacing w:before="0" w:beforeAutospacing="0" w:after="0" w:afterAutospacing="0"/>
        <w:jc w:val="both"/>
        <w:rPr>
          <w:rFonts w:ascii="Segoe UI" w:hAnsi="Segoe UI" w:cs="Segoe UI"/>
          <w:color w:val="000000"/>
          <w:sz w:val="21"/>
          <w:szCs w:val="21"/>
          <w:shd w:val="clear" w:color="auto" w:fill="FFFFFF"/>
        </w:rPr>
      </w:pPr>
    </w:p>
    <w:p w14:paraId="6EAEEEFD" w14:textId="77777777" w:rsidR="006B79A4" w:rsidRDefault="006B79A4" w:rsidP="006B79A4">
      <w:pPr>
        <w:pStyle w:val="NormalWeb"/>
        <w:spacing w:before="0" w:beforeAutospacing="0" w:after="0" w:afterAutospacing="0"/>
        <w:jc w:val="both"/>
        <w:rPr>
          <w:rFonts w:ascii="Segoe UI" w:hAnsi="Segoe UI" w:cs="Segoe UI"/>
          <w:color w:val="000000"/>
          <w:sz w:val="21"/>
          <w:szCs w:val="21"/>
          <w:shd w:val="clear" w:color="auto" w:fill="FFFFFF"/>
        </w:rPr>
      </w:pPr>
    </w:p>
    <w:p w14:paraId="7A55DB97" w14:textId="02A77E8F" w:rsidR="006B79A4" w:rsidRDefault="006B79A4" w:rsidP="006B79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shd w:val="clear" w:color="auto" w:fill="FFFFFF"/>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13" w:tgtFrame="_blank" w:history="1">
        <w:r>
          <w:rPr>
            <w:rStyle w:val="Hipervnculo"/>
            <w:rFonts w:ascii="Segoe UI" w:hAnsi="Segoe UI" w:cs="Segoe UI"/>
            <w:color w:val="FF0000"/>
            <w:sz w:val="21"/>
            <w:szCs w:val="21"/>
            <w:shd w:val="clear" w:color="auto" w:fill="FFFFFF"/>
          </w:rPr>
          <w:t>www.dian.gov.co</w:t>
        </w:r>
      </w:hyperlink>
      <w:r>
        <w:rPr>
          <w:rFonts w:ascii="Segoe UI" w:hAnsi="Segoe UI" w:cs="Segoe UI"/>
          <w:color w:val="000000"/>
          <w:sz w:val="21"/>
          <w:szCs w:val="21"/>
          <w:shd w:val="clear" w:color="auto" w:fill="FFFFFF"/>
        </w:rPr>
        <w:t xml:space="preserve">, la base de conceptos en materia tributaria, aduanera y cambiaria expedidos desde el año 2001, la cual se puede ingresar por el ícono de “Normatividad”-“Doctrina”, dando </w:t>
      </w:r>
      <w:proofErr w:type="spellStart"/>
      <w:r>
        <w:rPr>
          <w:rFonts w:ascii="Segoe UI" w:hAnsi="Segoe UI" w:cs="Segoe UI"/>
          <w:color w:val="000000"/>
          <w:sz w:val="21"/>
          <w:szCs w:val="21"/>
          <w:shd w:val="clear" w:color="auto" w:fill="FFFFFF"/>
        </w:rPr>
        <w:t>click</w:t>
      </w:r>
      <w:proofErr w:type="spellEnd"/>
      <w:r>
        <w:rPr>
          <w:rFonts w:ascii="Segoe UI" w:hAnsi="Segoe UI" w:cs="Segoe UI"/>
          <w:color w:val="000000"/>
          <w:sz w:val="21"/>
          <w:szCs w:val="21"/>
          <w:shd w:val="clear" w:color="auto" w:fill="FFFFFF"/>
        </w:rPr>
        <w:t xml:space="preserve"> en el link “Doctrina Dirección de Gestión Jurídica”.</w:t>
      </w:r>
    </w:p>
    <w:p w14:paraId="171B1478"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p>
    <w:p w14:paraId="1554BBC0"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p>
    <w:p w14:paraId="686F74AF" w14:textId="04ED0E92" w:rsidR="006B79A4" w:rsidRDefault="006B79A4" w:rsidP="006B79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Atentamente,</w:t>
      </w:r>
    </w:p>
    <w:p w14:paraId="16DC474D"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A813C4"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A0B01EC"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ALFREDO RAMÍREZ CASTAÑEDA</w:t>
      </w:r>
    </w:p>
    <w:p w14:paraId="33558BA8"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Subdirector de Normativa y Doctrina</w:t>
      </w:r>
    </w:p>
    <w:p w14:paraId="73DB8C76"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Dirección de Gestión Jurídica</w:t>
      </w:r>
    </w:p>
    <w:p w14:paraId="48A8824D" w14:textId="77777777" w:rsidR="006B79A4" w:rsidRDefault="006B79A4" w:rsidP="006B79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UAE-Dirección de Impuestos y Aduanas Nacionales</w:t>
      </w:r>
    </w:p>
    <w:p w14:paraId="132DD6A0"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A4"/>
    <w:rsid w:val="000F3837"/>
    <w:rsid w:val="001E311E"/>
    <w:rsid w:val="00434AE6"/>
    <w:rsid w:val="005D25EE"/>
    <w:rsid w:val="006B79A4"/>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2406"/>
  <w15:chartTrackingRefBased/>
  <w15:docId w15:val="{FEB4803D-6648-4855-AB39-58E3890E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B79A4"/>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6B79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7718">
      <w:bodyDiv w:val="1"/>
      <w:marLeft w:val="0"/>
      <w:marRight w:val="0"/>
      <w:marTop w:val="0"/>
      <w:marBottom w:val="0"/>
      <w:divBdr>
        <w:top w:val="none" w:sz="0" w:space="0" w:color="auto"/>
        <w:left w:val="none" w:sz="0" w:space="0" w:color="auto"/>
        <w:bottom w:val="none" w:sz="0" w:space="0" w:color="auto"/>
        <w:right w:val="none" w:sz="0" w:space="0" w:color="auto"/>
      </w:divBdr>
    </w:div>
    <w:div w:id="597056645">
      <w:bodyDiv w:val="1"/>
      <w:marLeft w:val="0"/>
      <w:marRight w:val="0"/>
      <w:marTop w:val="0"/>
      <w:marBottom w:val="0"/>
      <w:divBdr>
        <w:top w:val="none" w:sz="0" w:space="0" w:color="auto"/>
        <w:left w:val="none" w:sz="0" w:space="0" w:color="auto"/>
        <w:bottom w:val="none" w:sz="0" w:space="0" w:color="auto"/>
        <w:right w:val="none" w:sz="0" w:space="0" w:color="auto"/>
      </w:divBdr>
    </w:div>
    <w:div w:id="1130710455">
      <w:bodyDiv w:val="1"/>
      <w:marLeft w:val="0"/>
      <w:marRight w:val="0"/>
      <w:marTop w:val="0"/>
      <w:marBottom w:val="0"/>
      <w:divBdr>
        <w:top w:val="none" w:sz="0" w:space="0" w:color="auto"/>
        <w:left w:val="none" w:sz="0" w:space="0" w:color="auto"/>
        <w:bottom w:val="none" w:sz="0" w:space="0" w:color="auto"/>
        <w:right w:val="none" w:sz="0" w:space="0" w:color="auto"/>
      </w:divBdr>
    </w:div>
    <w:div w:id="186536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83" TargetMode="External"/><Relationship Id="rId13" Type="http://schemas.openxmlformats.org/officeDocument/2006/relationships/hyperlink" Target="http://www.dian.gov.co/"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86" TargetMode="External"/><Relationship Id="rId12" Type="http://schemas.openxmlformats.org/officeDocument/2006/relationships/hyperlink" Target="https://normograma.dian.gov.co/dian/compilacion/docs/ley_1114_2006.htm%2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86" TargetMode="External"/><Relationship Id="rId11" Type="http://schemas.openxmlformats.org/officeDocument/2006/relationships/hyperlink" Target="https://www.ceta.org.co/html/vista_de_un_articulo.asp?Norma=186" TargetMode="External"/><Relationship Id="rId5" Type="http://schemas.openxmlformats.org/officeDocument/2006/relationships/hyperlink" Target="https://www.ceta.org.co/html/vista_de_un_articulo.asp?Norma=186" TargetMode="External"/><Relationship Id="rId15" Type="http://schemas.openxmlformats.org/officeDocument/2006/relationships/theme" Target="theme/theme1.xml"/><Relationship Id="rId10" Type="http://schemas.openxmlformats.org/officeDocument/2006/relationships/hyperlink" Target="https://www.ceta.org.co/html/vista_de_un_articulo.asp?Norma=186" TargetMode="External"/><Relationship Id="rId4" Type="http://schemas.openxmlformats.org/officeDocument/2006/relationships/hyperlink" Target="https://www.ceta.org.co/html/vista_de_un_articulo.asp?Norma=186" TargetMode="External"/><Relationship Id="rId9" Type="http://schemas.openxmlformats.org/officeDocument/2006/relationships/hyperlink" Target="https://www.ceta.org.co/html/vista_de_un_articulo.asp?Norma=186"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1188</Words>
  <Characters>6536</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2023-05-18T13:59:00Z</dcterms:created>
  <dcterms:modified xsi:type="dcterms:W3CDTF">2023-05-18T14:01:00Z</dcterms:modified>
</cp:coreProperties>
</file>