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1308" w14:textId="77777777" w:rsidR="00A11772" w:rsidRPr="00A11772" w:rsidRDefault="00A11772" w:rsidP="00A1177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OFICIO </w:t>
      </w:r>
      <w:proofErr w:type="spellStart"/>
      <w:r w:rsidRPr="00A11772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Nº</w:t>
      </w:r>
      <w:proofErr w:type="spellEnd"/>
      <w:r w:rsidRPr="00A11772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 326 [003159]</w:t>
      </w:r>
    </w:p>
    <w:p w14:paraId="0F1A055C" w14:textId="77777777" w:rsidR="00A11772" w:rsidRPr="00A11772" w:rsidRDefault="00A11772" w:rsidP="00A1177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14-03-2023</w:t>
      </w:r>
    </w:p>
    <w:p w14:paraId="744C50AB" w14:textId="77777777" w:rsidR="00A11772" w:rsidRPr="00A11772" w:rsidRDefault="00A11772" w:rsidP="00A1177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DIAN</w:t>
      </w:r>
    </w:p>
    <w:p w14:paraId="2EBF9D71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807D27E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F22E877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100208192-326</w:t>
      </w:r>
    </w:p>
    <w:p w14:paraId="693CFC03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Bogotá, D.C.</w:t>
      </w:r>
    </w:p>
    <w:p w14:paraId="639CF6AC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4936"/>
      </w:tblGrid>
      <w:tr w:rsidR="00A11772" w:rsidRPr="00A11772" w14:paraId="6339C8BF" w14:textId="77777777" w:rsidTr="00A11772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B020CB" w14:textId="77777777" w:rsidR="00A11772" w:rsidRPr="00A11772" w:rsidRDefault="00A11772" w:rsidP="00A1177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A11772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Tema: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E6CC55" w14:textId="77777777" w:rsidR="00A11772" w:rsidRPr="00A11772" w:rsidRDefault="00A11772" w:rsidP="00A1177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A1177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Procedimiento tributario</w:t>
            </w:r>
          </w:p>
        </w:tc>
      </w:tr>
      <w:tr w:rsidR="00A11772" w:rsidRPr="00A11772" w14:paraId="113994CF" w14:textId="77777777" w:rsidTr="00A11772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D7287F" w14:textId="77777777" w:rsidR="00A11772" w:rsidRPr="00A11772" w:rsidRDefault="00A11772" w:rsidP="00A1177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A11772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Descriptores: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95332" w14:textId="77777777" w:rsidR="00A11772" w:rsidRPr="00A11772" w:rsidRDefault="00A11772" w:rsidP="00A1177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A1177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Deberes formales del contribuyente Actualización del RUT</w:t>
            </w:r>
          </w:p>
        </w:tc>
      </w:tr>
      <w:tr w:rsidR="00A11772" w:rsidRPr="00A11772" w14:paraId="760BE163" w14:textId="77777777" w:rsidTr="00A11772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0E958D" w14:textId="77777777" w:rsidR="00A11772" w:rsidRPr="00A11772" w:rsidRDefault="00A11772" w:rsidP="00A1177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A11772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Fuentes formales: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8C1F95" w14:textId="77777777" w:rsidR="00A11772" w:rsidRPr="00A11772" w:rsidRDefault="00A11772" w:rsidP="00A1177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hyperlink r:id="rId5" w:tooltip="Estatuto Tributario CETA" w:history="1">
              <w:r w:rsidRPr="00A11772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Artículo 572</w:t>
              </w:r>
            </w:hyperlink>
            <w:r w:rsidRPr="00A1177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 del Estatuto Tributario</w:t>
            </w:r>
          </w:p>
          <w:p w14:paraId="6DA47D67" w14:textId="77777777" w:rsidR="00A11772" w:rsidRPr="00A11772" w:rsidRDefault="00A11772" w:rsidP="00A1177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A1177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Artículo 5 del Decreto Ley 19 de 2012</w:t>
            </w:r>
          </w:p>
          <w:p w14:paraId="5A6BD65F" w14:textId="77777777" w:rsidR="00A11772" w:rsidRPr="00A11772" w:rsidRDefault="00A11772" w:rsidP="00A1177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A1177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Artículo 1.6.1.2.11. del Decreto 1625 de 2016</w:t>
            </w:r>
          </w:p>
        </w:tc>
      </w:tr>
    </w:tbl>
    <w:p w14:paraId="40D27BDD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5E6B283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E5B34A3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Cordial saludo</w:t>
      </w:r>
    </w:p>
    <w:p w14:paraId="6BFF4461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AEF1E0C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02607FEA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B17E769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Mediante el radicado de la referencia, la peticionaria solicita precisar la conclusión expuesta en el Oficio 917076 - interno 1380 del 15 de noviembre de 2022, así:</w:t>
      </w:r>
    </w:p>
    <w:p w14:paraId="6F1571D9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4BD8659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 xml:space="preserve">“Frente a la expresión: “Así las cosas, </w:t>
      </w:r>
      <w:proofErr w:type="spellStart"/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aún</w:t>
      </w:r>
      <w:proofErr w:type="spellEnd"/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 xml:space="preserve"> cuando no se haya dado inicio al proceso de sucesión, le corresponde al heredero que pretenda adelantar el trámite de inscripción / actualización del RUT acreditar su condición de tal mediante documento autenticado ante notario o autoridad competente, como lo prevé el parágrafo del </w:t>
      </w:r>
      <w:hyperlink r:id="rId6" w:tooltip="Estatuto Tributario CETA" w:history="1">
        <w:r w:rsidRPr="00A11772">
          <w:rPr>
            <w:rFonts w:ascii="Segoe UI" w:eastAsia="Times New Roman" w:hAnsi="Segoe UI" w:cs="Segoe UI"/>
            <w:i/>
            <w:iCs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572</w:t>
        </w:r>
      </w:hyperlink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del Estatuto Tributario; documento que se entiende presentado bajo la gravedad del juramento”.</w:t>
      </w:r>
    </w:p>
    <w:p w14:paraId="15D7C932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24E33DF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A la luz del parágrafo del </w:t>
      </w:r>
      <w:hyperlink r:id="rId7" w:tooltip="Estatuto Tributario CETA" w:history="1">
        <w:r w:rsidRPr="00A11772">
          <w:rPr>
            <w:rFonts w:ascii="Segoe UI" w:eastAsia="Times New Roman" w:hAnsi="Segoe UI" w:cs="Segoe UI"/>
            <w:i/>
            <w:iCs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572</w:t>
        </w:r>
      </w:hyperlink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del Estatuto Tributario, el cual contempla la representación en caso de no haber iniciado el proceso de sucesión ante notaría o juzgado, tenemos que: “... los herederos, de común acuerdo, podrán nombrar un representante de la sucesión mediante documento autenticado ante notario o autoridad competente, en el cual manifiesten bajo la gravedad de juramento que el nombramiento es autorizado por los herederos conocidos"; se observa que 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la conclusión planteada en la respuesta a nuestra consulta se aparta de la norma en lo siguiente: (i) el nombramiento de un representante que deben hacer de común acuerdo los herederos conocidos, (</w:t>
      </w:r>
      <w:proofErr w:type="spellStart"/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ii</w:t>
      </w:r>
      <w:proofErr w:type="spellEnd"/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) Se da la posibilidad para que cualquier heredero pueda adelantar los trámites del RUT y (</w:t>
      </w:r>
      <w:proofErr w:type="spellStart"/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iii</w:t>
      </w:r>
      <w:proofErr w:type="spellEnd"/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) establece un nuevo requisito, tal como lo es acreditar la condición de heredero mediante documento autenticado ante notaria o autoridad competente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.</w:t>
      </w:r>
    </w:p>
    <w:p w14:paraId="5D28A809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BC339AE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De la norma, se entiende que el requisito de suscribir un documento debidamente autenticado ante notario o autoridad competente a través del cual manifieste que ostenta dicha condición, 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está dado solamente cuando exista un único heredero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.</w:t>
      </w:r>
    </w:p>
    <w:p w14:paraId="0B88D54E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B6BC603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Por lo anterior 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es necesario tener aclaración de su despacho, sobre si la primera conclusión contenida en el oficio se refiere a los casos en que no se ha iniciado proceso de sucesión y existe un único heredero o si opera igualmente cuando existan varios herederos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.” (subrayado fuera de texto)</w:t>
      </w:r>
    </w:p>
    <w:p w14:paraId="10982F2B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9564270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Asimismo, se pregunta:</w:t>
      </w:r>
    </w:p>
    <w:p w14:paraId="3D3F96E8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B8D226A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“Sobre el documento a que hace referencia el inciso 2 del parágrafo del </w:t>
      </w:r>
      <w:hyperlink r:id="rId8" w:tooltip="Estatuto Tributario CETA" w:history="1">
        <w:r w:rsidRPr="00A11772">
          <w:rPr>
            <w:rFonts w:ascii="Segoe UI" w:eastAsia="Times New Roman" w:hAnsi="Segoe UI" w:cs="Segoe UI"/>
            <w:i/>
            <w:iCs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572</w:t>
        </w:r>
      </w:hyperlink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del Estatuto Tributario (...)</w:t>
      </w:r>
    </w:p>
    <w:p w14:paraId="006E1813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A9E4308" w14:textId="77777777" w:rsidR="00A11772" w:rsidRPr="00A11772" w:rsidRDefault="00A11772" w:rsidP="00A11772">
      <w:pPr>
        <w:numPr>
          <w:ilvl w:val="0"/>
          <w:numId w:val="1"/>
        </w:numPr>
        <w:spacing w:before="100" w:beforeAutospacing="1" w:after="100" w:afterAutospacing="1" w:line="240" w:lineRule="auto"/>
        <w:ind w:left="1080" w:firstLine="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proofErr w:type="gramStart"/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lastRenderedPageBreak/>
        <w:t>Debe ser autenticado ante notaria o autoridad competente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o se entiende presentado bajo la gravedad del juramento sin requerir autenticación?</w:t>
      </w:r>
      <w:proofErr w:type="gramEnd"/>
    </w:p>
    <w:p w14:paraId="447E513D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CFF7381" w14:textId="77777777" w:rsidR="00A11772" w:rsidRPr="00A11772" w:rsidRDefault="00A11772" w:rsidP="00A11772">
      <w:pPr>
        <w:numPr>
          <w:ilvl w:val="0"/>
          <w:numId w:val="2"/>
        </w:numPr>
        <w:spacing w:before="100" w:beforeAutospacing="1" w:after="100" w:afterAutospacing="1" w:line="240" w:lineRule="auto"/>
        <w:ind w:left="1080" w:firstLine="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Cuando no se ha iniciado proceso de sucesión, la facultad conferida por el </w:t>
      </w:r>
      <w:hyperlink r:id="rId9" w:tooltip="Estatuto Tributario CETA" w:history="1">
        <w:r w:rsidRPr="00A11772">
          <w:rPr>
            <w:rFonts w:ascii="Segoe UI" w:eastAsia="Times New Roman" w:hAnsi="Segoe UI" w:cs="Segoe UI"/>
            <w:i/>
            <w:iCs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572</w:t>
        </w:r>
      </w:hyperlink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del Estatuto Tributario y el numeral 3.3.2. del artículo 1.6.1.2.11 del Decreto Único Reglamentario, para nombrar un representante, ¿podría estar 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en cabeza de un tercero en cualquier calidad, ostente o no la calidad de heredero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?</w:t>
      </w:r>
    </w:p>
    <w:p w14:paraId="2EFEF208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597F267" w14:textId="77777777" w:rsidR="00A11772" w:rsidRPr="00A11772" w:rsidRDefault="00A11772" w:rsidP="00A11772">
      <w:pPr>
        <w:numPr>
          <w:ilvl w:val="0"/>
          <w:numId w:val="3"/>
        </w:numPr>
        <w:spacing w:before="100" w:beforeAutospacing="1" w:after="100" w:afterAutospacing="1" w:line="240" w:lineRule="auto"/>
        <w:ind w:left="1080" w:firstLine="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 xml:space="preserve">Cuando no se ha iniciado el proceso de sucesión y se presenta un cónyuge argumentando que la persona fallecida no tuvo hijos, por el orden </w:t>
      </w:r>
      <w:proofErr w:type="spellStart"/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sucesoral</w:t>
      </w:r>
      <w:proofErr w:type="spellEnd"/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, el cónyuge podría sucederle como heredero (…) En estos casos, para acreditar la calidad de heredero y no de cónyuge supérstite ¿se requiere que dicha condición de heredero esté 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reconocida por autoridad competente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? (...)” (subrayado fuera de texto)</w:t>
      </w:r>
    </w:p>
    <w:p w14:paraId="313B1690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2DD4E2E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Sobre el particular, son consideraciones de este Despacho:</w:t>
      </w:r>
    </w:p>
    <w:p w14:paraId="3F0D1992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49ACE3A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En el mencionado pronunciamiento, esta Subdirección manifestó:</w:t>
      </w:r>
    </w:p>
    <w:p w14:paraId="71E67F41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2ACC7F1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 xml:space="preserve">“(...) </w:t>
      </w:r>
      <w:proofErr w:type="spellStart"/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aún</w:t>
      </w:r>
      <w:proofErr w:type="spellEnd"/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 xml:space="preserve"> cuando no se haya dado inicio al proceso de sucesión, 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le corresponde al heredero que pretenda adelantar el trámite de inscripción / actualización del RUT acreditar su condición de tal mediante documento autenticado ante notario o autoridad competente, 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como lo prevé el parágrafo del </w:t>
      </w:r>
      <w:hyperlink r:id="rId10" w:tooltip="Estatuto Tributario CETA" w:history="1">
        <w:r w:rsidRPr="00A11772">
          <w:rPr>
            <w:rFonts w:ascii="Segoe UI" w:eastAsia="Times New Roman" w:hAnsi="Segoe UI" w:cs="Segoe UI"/>
            <w:i/>
            <w:iCs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572</w:t>
        </w:r>
      </w:hyperlink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del Estatuto Tributario; documento que se entiende presentado bajo la gravedad del juramento.</w:t>
      </w:r>
    </w:p>
    <w:p w14:paraId="297F2E9C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F2BEA25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(...)” </w:t>
      </w: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(subrayado fuera de texto)</w:t>
      </w:r>
    </w:p>
    <w:p w14:paraId="22C24E42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340F207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Dicha conclusión debe entenderse enmarcada en aquellos casos en los cuales no se ha iniciado el proceso de sucesión ante notaría o juzgado, independientemente que exista o no un único heredero, considerando que se fundamentó en el </w:t>
      </w:r>
      <w:hyperlink r:id="rId11" w:tooltip="Estatuto Tributario CETA" w:history="1">
        <w:r w:rsidRPr="00A11772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572</w:t>
        </w:r>
      </w:hyperlink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 (en particular, su parágrafo).</w:t>
      </w:r>
    </w:p>
    <w:p w14:paraId="3D91A4ED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770DC49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Ahora bien, sin perjuicio de lo antes reseñado y frente al 1° interrogante, resulta oportuno mencionar que, a partir de un análisis sistemático del parágrafo del </w:t>
      </w:r>
      <w:hyperlink r:id="rId12" w:tooltip="Estatuto Tributario CETA" w:history="1">
        <w:r w:rsidRPr="00A11772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572</w:t>
        </w:r>
      </w:hyperlink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 y el artículo 5 del Decreto Ley 19 de 2012, es posible concluir que el documento con el que se nombra al representante de la sucesión debe estar autenticado ante notario o autoridad competente para los casos relacionados con el trámite de inscripción o actualización del RUT de la sucesión ilíquida (cfr. numeral 3.3.2. del artículo 1.6.1.2.11. del Decreto 1625 de 2016).</w:t>
      </w:r>
    </w:p>
    <w:p w14:paraId="5FBF9B3C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4B327E9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En efecto, el parágrafo del citado </w:t>
      </w:r>
      <w:hyperlink r:id="rId13" w:tooltip="Estatuto Tributario CETA" w:history="1">
        <w:r w:rsidRPr="00A11772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572</w:t>
        </w:r>
      </w:hyperlink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señala:</w:t>
      </w:r>
    </w:p>
    <w:p w14:paraId="780EEAAF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F4E41FE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“</w:t>
      </w:r>
      <w:r w:rsidRPr="00A11772">
        <w:rPr>
          <w:rFonts w:ascii="Segoe UI" w:eastAsia="Times New Roman" w:hAnsi="Segoe UI" w:cs="Segoe UI"/>
          <w:b/>
          <w:bCs/>
          <w:i/>
          <w:iCs/>
          <w:color w:val="000000"/>
          <w:kern w:val="0"/>
          <w:sz w:val="21"/>
          <w:szCs w:val="21"/>
          <w:lang w:eastAsia="es-CO"/>
          <w14:ligatures w14:val="none"/>
        </w:rPr>
        <w:t>PARÁGRAFO.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&lt;Parágrafo adicionado por el artículo 268 de la Ley 1819 de 2016. El nuevo texto es el siguiente:&gt; Para efectos del literal d), se presumirá que todo heredero que acepte la herencia tiene la facultad de administración de bienes, sin necesidad de disposición especial que lo autorice.</w:t>
      </w:r>
    </w:p>
    <w:p w14:paraId="2846A862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9B67BDD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Cuando no se haya iniciado el proceso de sucesión ante notaría o juzgado,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los herederos, de común acuerdo, podrán nombrar un representante de la sucesión 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mediante documento autenticado ante notario o autoridad competente,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en el cual manifiesten bajo la gravedad de juramento que el nombramiento es autorizado por los herederos conocidos.</w:t>
      </w:r>
    </w:p>
    <w:p w14:paraId="28BA92F8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8A50B17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De existir un único heredero, este deberá suscribir un documento 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debidamente autenticado ante notario o autoridad competente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a través del cual manifieste que ostenta dicha condición.</w:t>
      </w:r>
    </w:p>
    <w:p w14:paraId="0EA7206A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C9338AE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(...)”</w:t>
      </w: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(subrayado fuera de texto)</w:t>
      </w:r>
    </w:p>
    <w:p w14:paraId="76F2518F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> </w:t>
      </w:r>
    </w:p>
    <w:p w14:paraId="492FDFCC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Por su parte, el artículo 5 del Decreto Ley 19 de 2012 indica:</w:t>
      </w:r>
    </w:p>
    <w:p w14:paraId="4CA970E5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B5CEE97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“</w:t>
      </w:r>
      <w:r w:rsidRPr="00A11772">
        <w:rPr>
          <w:rFonts w:ascii="Segoe UI" w:eastAsia="Times New Roman" w:hAnsi="Segoe UI" w:cs="Segoe UI"/>
          <w:b/>
          <w:bCs/>
          <w:i/>
          <w:iCs/>
          <w:color w:val="000000"/>
          <w:kern w:val="0"/>
          <w:sz w:val="21"/>
          <w:szCs w:val="21"/>
          <w:lang w:eastAsia="es-CO"/>
          <w14:ligatures w14:val="none"/>
        </w:rPr>
        <w:t>ARTÍCULO 5. ECONOMÍA EN LAS ACTUACIONES ADMINISTRATIVAS.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(...) las autoridades administrativas y los particulares que cumplen funciones administrativas no deben exigir más documentos y copias que los estrictamente necesarios, ni 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autenticaciones ni notas de presentación personal sino cuando la ley lo ordene en forma expresa,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o tratándose de poderes especiales (...)” (subrayado fuera de texto)</w:t>
      </w:r>
    </w:p>
    <w:p w14:paraId="5739D1D3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033639E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Así pues, aunque el artículo 5 antes transcrito prevé que las autoridades administrativas y los particulares que cumplen funciones administrativas no deben exigir más documentos y copias que los estrictamente necesarios, ni autenticaciones ni notas de presentación personal, también señala que esta exigencia será posible </w:t>
      </w: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cuando la ley así lo ordene en forma expresa</w:t>
      </w: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tal y como ocurre con lo contemplado en el parágrafo del </w:t>
      </w:r>
      <w:hyperlink r:id="rId14" w:tooltip="Estatuto Tributario CETA" w:history="1">
        <w:r w:rsidRPr="00A11772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572</w:t>
        </w:r>
      </w:hyperlink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en comento.</w:t>
      </w:r>
    </w:p>
    <w:p w14:paraId="2E8187AE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A3EEB8A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En cuanto al 2° interrogante, el artículo 1.6.1.2.11. del Decreto 1625 de 2016 establece:</w:t>
      </w:r>
    </w:p>
    <w:p w14:paraId="1ADED1FF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12AD456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“</w:t>
      </w:r>
      <w:r w:rsidRPr="00A11772">
        <w:rPr>
          <w:rFonts w:ascii="Segoe UI" w:eastAsia="Times New Roman" w:hAnsi="Segoe UI" w:cs="Segoe UI"/>
          <w:b/>
          <w:bCs/>
          <w:i/>
          <w:iCs/>
          <w:color w:val="000000"/>
          <w:kern w:val="0"/>
          <w:sz w:val="21"/>
          <w:szCs w:val="21"/>
          <w:lang w:eastAsia="es-CO"/>
          <w14:ligatures w14:val="none"/>
        </w:rPr>
        <w:t>ARTÍCULO 1.6.1.2.11. DOCUMENTOS PARA LA FORMALIZACIÓN DE LA INSCRIPCIÓN EN EL REGISTRO ÚNICO TRIBUTARIO (RUT).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&lt;Artículo modificado por el artículo 8 del Decreto 678 de 2022. El nuevo texto es el siguiente:&gt; Para efectos de la formalización de la inscripción en el Registro Único Tributario -RUT se deberán adjuntar los siguientes documentos:</w:t>
      </w:r>
    </w:p>
    <w:p w14:paraId="1320E9FF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0BD8DC3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(…)</w:t>
      </w:r>
    </w:p>
    <w:p w14:paraId="32F45F89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401E19C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3. Sucesiones ilíquidas:</w:t>
      </w:r>
    </w:p>
    <w:p w14:paraId="37390B85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27BABBC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(…)</w:t>
      </w:r>
    </w:p>
    <w:p w14:paraId="7D780A88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1390F4D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3.3.2. Cuando no se haya iniciado el proceso de sucesión ante notaría o juzgado, los herederos de común acuerdo 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podrán designar entre ellos mismos a un heredero como representante de la sucesión,</w:t>
      </w: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el cual se entiende presentado bajo la gravedad del juramento. En el mencionado documento se deberá manifestar que el nombramiento es autorizado por los herederos conocidos.</w:t>
      </w:r>
    </w:p>
    <w:p w14:paraId="050CB53F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391F52C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De existir un único heredero, este deberá suscribir un documento a través del cual manifieste que ostenta esta condición, el cual se entiende presentado bajo la gravedad del juramento.</w:t>
      </w:r>
    </w:p>
    <w:p w14:paraId="217782AB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0DCA102" w14:textId="77777777" w:rsidR="00A11772" w:rsidRPr="00A11772" w:rsidRDefault="00A11772" w:rsidP="00A11772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(...)” </w:t>
      </w: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(subrayado fuera de texto)</w:t>
      </w:r>
    </w:p>
    <w:p w14:paraId="2B1976C3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AEDD0B0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Nótese que el numeral 3.3.2 del mencionado artículo 1.6.1.2.11. faculta a los herederos para que, de común acuerdo, designen a uno de ellos como representante de la sucesión, lo cual se pone en evidencia con el empleo del verbo “poder” que implica tener la facultad o potencia de hacer algo (cfr. Diccionario de la lengua española); sin embargo, ello no impide que también puedan nombrar a un tercero en tal calidad tal y como lo permite el parágrafo del </w:t>
      </w:r>
      <w:hyperlink r:id="rId15" w:tooltip="Estatuto Tributario CETA" w:history="1">
        <w:r w:rsidRPr="00A11772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572</w:t>
        </w:r>
      </w:hyperlink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Tributario.</w:t>
      </w:r>
    </w:p>
    <w:p w14:paraId="606BB79B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F6F9854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Para efectos del 3° interrogante, se reitera la conclusión plasmada en el Oficio 917076 - interno 1380 de 2022.</w:t>
      </w:r>
    </w:p>
    <w:p w14:paraId="17339699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F115D53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Atentamente,</w:t>
      </w:r>
    </w:p>
    <w:p w14:paraId="7835FB9C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A02944B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FFFEE91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ALFREDO RAMÍREZ CASTAÑEDA</w:t>
      </w:r>
    </w:p>
    <w:p w14:paraId="78700B09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Subdirector de Normativa y Doctrina</w:t>
      </w:r>
    </w:p>
    <w:p w14:paraId="7D645AB7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Dirección de Gestión Jurídica</w:t>
      </w:r>
    </w:p>
    <w:p w14:paraId="0DF927D4" w14:textId="77777777" w:rsidR="00A11772" w:rsidRPr="00A11772" w:rsidRDefault="00A11772" w:rsidP="00A1177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1177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UAE-Dirección de Impuestos y Aduanas Nacionales</w:t>
      </w:r>
    </w:p>
    <w:p w14:paraId="3343DEEF" w14:textId="77777777"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50B8"/>
    <w:multiLevelType w:val="multilevel"/>
    <w:tmpl w:val="B17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A4616F"/>
    <w:multiLevelType w:val="multilevel"/>
    <w:tmpl w:val="4892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8B1E0F"/>
    <w:multiLevelType w:val="multilevel"/>
    <w:tmpl w:val="BCF8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6178622">
    <w:abstractNumId w:val="2"/>
    <w:lvlOverride w:ilvl="0">
      <w:startOverride w:val="1"/>
    </w:lvlOverride>
  </w:num>
  <w:num w:numId="2" w16cid:durableId="982925665">
    <w:abstractNumId w:val="1"/>
    <w:lvlOverride w:ilvl="0">
      <w:startOverride w:val="2"/>
    </w:lvlOverride>
  </w:num>
  <w:num w:numId="3" w16cid:durableId="33542491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72"/>
    <w:rsid w:val="000F3837"/>
    <w:rsid w:val="001E311E"/>
    <w:rsid w:val="00434AE6"/>
    <w:rsid w:val="005D25EE"/>
    <w:rsid w:val="007F5CC8"/>
    <w:rsid w:val="008779BE"/>
    <w:rsid w:val="00A11772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89FD"/>
  <w15:chartTrackingRefBased/>
  <w15:docId w15:val="{E4CE4B6C-2CB2-4C30-90F6-D6762E69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706" TargetMode="External"/><Relationship Id="rId13" Type="http://schemas.openxmlformats.org/officeDocument/2006/relationships/hyperlink" Target="https://www.ceta.org.co/html/vista_de_un_articulo.asp?Norma=7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ta.org.co/html/vista_de_un_articulo.asp?Norma=706" TargetMode="External"/><Relationship Id="rId12" Type="http://schemas.openxmlformats.org/officeDocument/2006/relationships/hyperlink" Target="https://www.ceta.org.co/html/vista_de_un_articulo.asp?Norma=70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eta.org.co/html/vista_de_un_articulo.asp?Norma=706" TargetMode="External"/><Relationship Id="rId11" Type="http://schemas.openxmlformats.org/officeDocument/2006/relationships/hyperlink" Target="https://www.ceta.org.co/html/vista_de_un_articulo.asp?Norma=706" TargetMode="External"/><Relationship Id="rId5" Type="http://schemas.openxmlformats.org/officeDocument/2006/relationships/hyperlink" Target="https://www.ceta.org.co/html/vista_de_un_articulo.asp?Norma=706" TargetMode="External"/><Relationship Id="rId15" Type="http://schemas.openxmlformats.org/officeDocument/2006/relationships/hyperlink" Target="https://www.ceta.org.co/html/vista_de_un_articulo.asp?Norma=706" TargetMode="External"/><Relationship Id="rId10" Type="http://schemas.openxmlformats.org/officeDocument/2006/relationships/hyperlink" Target="https://www.ceta.org.co/html/vista_de_un_articulo.asp?Norma=7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ta.org.co/html/vista_de_un_articulo.asp?Norma=706" TargetMode="External"/><Relationship Id="rId14" Type="http://schemas.openxmlformats.org/officeDocument/2006/relationships/hyperlink" Target="https://www.ceta.org.co/html/vista_de_un_articulo.asp?Norma=70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1586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2023-04-19T01:49:00Z</dcterms:created>
  <dcterms:modified xsi:type="dcterms:W3CDTF">2023-04-19T01:51:00Z</dcterms:modified>
</cp:coreProperties>
</file>