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2D3A" w14:textId="77777777" w:rsidR="00360675" w:rsidRPr="00360675" w:rsidRDefault="00360675" w:rsidP="00360675">
      <w:pPr>
        <w:spacing w:after="0" w:line="240" w:lineRule="auto"/>
        <w:jc w:val="center"/>
        <w:rPr>
          <w:rFonts w:ascii="Segoe UI" w:eastAsia="Times New Roman" w:hAnsi="Segoe UI" w:cs="Segoe UI"/>
          <w:color w:val="000000"/>
          <w:sz w:val="21"/>
          <w:szCs w:val="21"/>
          <w:highlight w:val="cyan"/>
          <w:lang w:eastAsia="es-CO"/>
        </w:rPr>
      </w:pPr>
      <w:r w:rsidRPr="00360675">
        <w:rPr>
          <w:rFonts w:ascii="Segoe UI" w:eastAsia="Times New Roman" w:hAnsi="Segoe UI" w:cs="Segoe UI"/>
          <w:b/>
          <w:bCs/>
          <w:color w:val="000000"/>
          <w:sz w:val="21"/>
          <w:szCs w:val="21"/>
          <w:highlight w:val="cyan"/>
          <w:lang w:eastAsia="es-CO"/>
        </w:rPr>
        <w:t xml:space="preserve">OFICIO </w:t>
      </w:r>
      <w:proofErr w:type="spellStart"/>
      <w:r w:rsidRPr="00360675">
        <w:rPr>
          <w:rFonts w:ascii="Segoe UI" w:eastAsia="Times New Roman" w:hAnsi="Segoe UI" w:cs="Segoe UI"/>
          <w:b/>
          <w:bCs/>
          <w:color w:val="000000"/>
          <w:sz w:val="21"/>
          <w:szCs w:val="21"/>
          <w:highlight w:val="cyan"/>
          <w:lang w:eastAsia="es-CO"/>
        </w:rPr>
        <w:t>Nº</w:t>
      </w:r>
      <w:proofErr w:type="spellEnd"/>
      <w:r w:rsidRPr="00360675">
        <w:rPr>
          <w:rFonts w:ascii="Segoe UI" w:eastAsia="Times New Roman" w:hAnsi="Segoe UI" w:cs="Segoe UI"/>
          <w:b/>
          <w:bCs/>
          <w:color w:val="000000"/>
          <w:sz w:val="21"/>
          <w:szCs w:val="21"/>
          <w:highlight w:val="cyan"/>
          <w:lang w:eastAsia="es-CO"/>
        </w:rPr>
        <w:t xml:space="preserve"> 293 [001424]</w:t>
      </w:r>
    </w:p>
    <w:p w14:paraId="3600E136" w14:textId="77777777" w:rsidR="00360675" w:rsidRPr="00360675" w:rsidRDefault="00360675" w:rsidP="00360675">
      <w:pPr>
        <w:spacing w:after="0" w:line="240" w:lineRule="auto"/>
        <w:jc w:val="center"/>
        <w:rPr>
          <w:rFonts w:ascii="Segoe UI" w:eastAsia="Times New Roman" w:hAnsi="Segoe UI" w:cs="Segoe UI"/>
          <w:color w:val="000000"/>
          <w:sz w:val="21"/>
          <w:szCs w:val="21"/>
          <w:highlight w:val="cyan"/>
          <w:lang w:eastAsia="es-CO"/>
        </w:rPr>
      </w:pPr>
      <w:r w:rsidRPr="00360675">
        <w:rPr>
          <w:rFonts w:ascii="Segoe UI" w:eastAsia="Times New Roman" w:hAnsi="Segoe UI" w:cs="Segoe UI"/>
          <w:b/>
          <w:bCs/>
          <w:color w:val="000000"/>
          <w:sz w:val="21"/>
          <w:szCs w:val="21"/>
          <w:highlight w:val="cyan"/>
          <w:lang w:eastAsia="es-CO"/>
        </w:rPr>
        <w:t>08-03-2023</w:t>
      </w:r>
    </w:p>
    <w:p w14:paraId="5ACCB7F9" w14:textId="77777777" w:rsidR="00360675" w:rsidRPr="00360675" w:rsidRDefault="00360675" w:rsidP="00360675">
      <w:pPr>
        <w:spacing w:after="0" w:line="240" w:lineRule="auto"/>
        <w:jc w:val="center"/>
        <w:rPr>
          <w:rFonts w:ascii="Segoe UI" w:eastAsia="Times New Roman" w:hAnsi="Segoe UI" w:cs="Segoe UI"/>
          <w:color w:val="000000"/>
          <w:sz w:val="21"/>
          <w:szCs w:val="21"/>
          <w:highlight w:val="cyan"/>
          <w:lang w:eastAsia="es-CO"/>
        </w:rPr>
      </w:pPr>
      <w:r w:rsidRPr="00360675">
        <w:rPr>
          <w:rFonts w:ascii="Segoe UI" w:eastAsia="Times New Roman" w:hAnsi="Segoe UI" w:cs="Segoe UI"/>
          <w:b/>
          <w:bCs/>
          <w:color w:val="000000"/>
          <w:sz w:val="21"/>
          <w:szCs w:val="21"/>
          <w:highlight w:val="cyan"/>
          <w:lang w:eastAsia="es-CO"/>
        </w:rPr>
        <w:t>DIAN</w:t>
      </w:r>
    </w:p>
    <w:p w14:paraId="7ABA9FC0" w14:textId="77777777" w:rsidR="00360675" w:rsidRPr="00360675" w:rsidRDefault="00360675" w:rsidP="00360675">
      <w:pPr>
        <w:spacing w:after="0" w:line="240" w:lineRule="auto"/>
        <w:jc w:val="both"/>
        <w:rPr>
          <w:rFonts w:ascii="Segoe UI" w:eastAsia="Times New Roman" w:hAnsi="Segoe UI" w:cs="Segoe UI"/>
          <w:color w:val="000000"/>
          <w:sz w:val="21"/>
          <w:szCs w:val="21"/>
          <w:highlight w:val="cyan"/>
          <w:lang w:eastAsia="es-CO"/>
        </w:rPr>
      </w:pPr>
      <w:r w:rsidRPr="00360675">
        <w:rPr>
          <w:rFonts w:ascii="Segoe UI" w:eastAsia="Times New Roman" w:hAnsi="Segoe UI" w:cs="Segoe UI"/>
          <w:color w:val="000000"/>
          <w:sz w:val="21"/>
          <w:szCs w:val="21"/>
          <w:highlight w:val="cyan"/>
          <w:lang w:eastAsia="es-CO"/>
        </w:rPr>
        <w:t> </w:t>
      </w:r>
    </w:p>
    <w:p w14:paraId="648F6FD9" w14:textId="77777777" w:rsidR="00360675" w:rsidRPr="00360675" w:rsidRDefault="00360675" w:rsidP="00360675">
      <w:pPr>
        <w:spacing w:after="0" w:line="240" w:lineRule="auto"/>
        <w:jc w:val="both"/>
        <w:rPr>
          <w:rFonts w:ascii="Segoe UI" w:eastAsia="Times New Roman" w:hAnsi="Segoe UI" w:cs="Segoe UI"/>
          <w:color w:val="000000"/>
          <w:sz w:val="21"/>
          <w:szCs w:val="21"/>
          <w:highlight w:val="cyan"/>
          <w:lang w:eastAsia="es-CO"/>
        </w:rPr>
      </w:pPr>
      <w:r w:rsidRPr="00360675">
        <w:rPr>
          <w:rFonts w:ascii="Segoe UI" w:eastAsia="Times New Roman" w:hAnsi="Segoe UI" w:cs="Segoe UI"/>
          <w:color w:val="000000"/>
          <w:sz w:val="21"/>
          <w:szCs w:val="21"/>
          <w:highlight w:val="cyan"/>
          <w:lang w:eastAsia="es-CO"/>
        </w:rPr>
        <w:t> </w:t>
      </w:r>
    </w:p>
    <w:p w14:paraId="6DC2D5A2" w14:textId="77777777" w:rsidR="00360675" w:rsidRPr="00360675" w:rsidRDefault="00360675" w:rsidP="00360675">
      <w:pPr>
        <w:spacing w:after="0" w:line="240" w:lineRule="auto"/>
        <w:jc w:val="both"/>
        <w:rPr>
          <w:rFonts w:ascii="Segoe UI" w:eastAsia="Times New Roman" w:hAnsi="Segoe UI" w:cs="Segoe UI"/>
          <w:color w:val="000000"/>
          <w:sz w:val="21"/>
          <w:szCs w:val="21"/>
          <w:highlight w:val="cyan"/>
          <w:lang w:eastAsia="es-CO"/>
        </w:rPr>
      </w:pPr>
      <w:r w:rsidRPr="00360675">
        <w:rPr>
          <w:rFonts w:ascii="Segoe UI" w:eastAsia="Times New Roman" w:hAnsi="Segoe UI" w:cs="Segoe UI"/>
          <w:color w:val="000000"/>
          <w:sz w:val="21"/>
          <w:szCs w:val="21"/>
          <w:highlight w:val="cyan"/>
          <w:lang w:eastAsia="es-CO"/>
        </w:rPr>
        <w:t>100208192-293</w:t>
      </w:r>
    </w:p>
    <w:p w14:paraId="668AA714" w14:textId="77777777" w:rsidR="00360675" w:rsidRPr="00360675" w:rsidRDefault="00360675" w:rsidP="00360675">
      <w:pPr>
        <w:spacing w:after="0" w:line="240" w:lineRule="auto"/>
        <w:jc w:val="both"/>
        <w:rPr>
          <w:rFonts w:ascii="Segoe UI" w:eastAsia="Times New Roman" w:hAnsi="Segoe UI" w:cs="Segoe UI"/>
          <w:color w:val="000000"/>
          <w:sz w:val="21"/>
          <w:szCs w:val="21"/>
          <w:highlight w:val="cyan"/>
          <w:lang w:eastAsia="es-CO"/>
        </w:rPr>
      </w:pPr>
      <w:r w:rsidRPr="00360675">
        <w:rPr>
          <w:rFonts w:ascii="Segoe UI" w:eastAsia="Times New Roman" w:hAnsi="Segoe UI" w:cs="Segoe UI"/>
          <w:color w:val="000000"/>
          <w:sz w:val="21"/>
          <w:szCs w:val="21"/>
          <w:highlight w:val="cyan"/>
          <w:lang w:eastAsia="es-CO"/>
        </w:rPr>
        <w:t>Bogotá, D.C.</w:t>
      </w:r>
    </w:p>
    <w:p w14:paraId="70389496" w14:textId="77777777" w:rsidR="00360675" w:rsidRPr="00360675" w:rsidRDefault="00360675" w:rsidP="00360675">
      <w:pPr>
        <w:spacing w:after="0" w:line="240" w:lineRule="auto"/>
        <w:jc w:val="both"/>
        <w:rPr>
          <w:rFonts w:ascii="Segoe UI" w:eastAsia="Times New Roman" w:hAnsi="Segoe UI" w:cs="Segoe UI"/>
          <w:color w:val="000000"/>
          <w:sz w:val="21"/>
          <w:szCs w:val="21"/>
          <w:highlight w:val="cyan"/>
          <w:lang w:eastAsia="es-CO"/>
        </w:rPr>
      </w:pPr>
      <w:r w:rsidRPr="00360675">
        <w:rPr>
          <w:rFonts w:ascii="Segoe UI" w:eastAsia="Times New Roman" w:hAnsi="Segoe UI" w:cs="Segoe UI"/>
          <w:color w:val="000000"/>
          <w:sz w:val="21"/>
          <w:szCs w:val="21"/>
          <w:highlight w:val="cyan"/>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279"/>
        <w:gridCol w:w="5786"/>
      </w:tblGrid>
      <w:tr w:rsidR="00360675" w:rsidRPr="00360675" w14:paraId="2344EEB4" w14:textId="77777777" w:rsidTr="00360675">
        <w:tc>
          <w:tcPr>
            <w:tcW w:w="2279" w:type="dxa"/>
            <w:tcBorders>
              <w:top w:val="nil"/>
              <w:left w:val="nil"/>
              <w:bottom w:val="nil"/>
              <w:right w:val="nil"/>
            </w:tcBorders>
            <w:tcMar>
              <w:top w:w="0" w:type="dxa"/>
              <w:left w:w="105" w:type="dxa"/>
              <w:bottom w:w="0" w:type="dxa"/>
              <w:right w:w="105" w:type="dxa"/>
            </w:tcMar>
            <w:hideMark/>
          </w:tcPr>
          <w:p w14:paraId="45A93507"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b/>
                <w:bCs/>
                <w:sz w:val="21"/>
                <w:szCs w:val="21"/>
                <w:highlight w:val="cyan"/>
                <w:lang w:eastAsia="es-CO"/>
              </w:rPr>
              <w:t>Tema:</w:t>
            </w:r>
          </w:p>
        </w:tc>
        <w:tc>
          <w:tcPr>
            <w:tcW w:w="5786" w:type="dxa"/>
            <w:tcBorders>
              <w:top w:val="nil"/>
              <w:left w:val="nil"/>
              <w:bottom w:val="nil"/>
              <w:right w:val="nil"/>
            </w:tcBorders>
            <w:tcMar>
              <w:top w:w="0" w:type="dxa"/>
              <w:left w:w="105" w:type="dxa"/>
              <w:bottom w:w="0" w:type="dxa"/>
              <w:right w:w="105" w:type="dxa"/>
            </w:tcMar>
            <w:hideMark/>
          </w:tcPr>
          <w:p w14:paraId="0764352C"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sz w:val="21"/>
                <w:szCs w:val="21"/>
                <w:highlight w:val="cyan"/>
                <w:lang w:eastAsia="es-CO"/>
              </w:rPr>
              <w:t>Impuesto sobre las ventas</w:t>
            </w:r>
          </w:p>
          <w:p w14:paraId="2A58947B"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sz w:val="21"/>
                <w:szCs w:val="21"/>
                <w:highlight w:val="cyan"/>
                <w:lang w:eastAsia="es-CO"/>
              </w:rPr>
              <w:t>Procedimiento tributario</w:t>
            </w:r>
          </w:p>
        </w:tc>
      </w:tr>
      <w:tr w:rsidR="00360675" w:rsidRPr="00360675" w14:paraId="721C7983" w14:textId="77777777" w:rsidTr="00360675">
        <w:tc>
          <w:tcPr>
            <w:tcW w:w="2279" w:type="dxa"/>
            <w:tcBorders>
              <w:top w:val="nil"/>
              <w:left w:val="nil"/>
              <w:bottom w:val="nil"/>
              <w:right w:val="nil"/>
            </w:tcBorders>
            <w:tcMar>
              <w:top w:w="0" w:type="dxa"/>
              <w:left w:w="105" w:type="dxa"/>
              <w:bottom w:w="0" w:type="dxa"/>
              <w:right w:w="105" w:type="dxa"/>
            </w:tcMar>
            <w:hideMark/>
          </w:tcPr>
          <w:p w14:paraId="268635D3"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b/>
                <w:bCs/>
                <w:sz w:val="21"/>
                <w:szCs w:val="21"/>
                <w:highlight w:val="cyan"/>
                <w:lang w:eastAsia="es-CO"/>
              </w:rPr>
              <w:t>Descriptores:</w:t>
            </w:r>
          </w:p>
        </w:tc>
        <w:tc>
          <w:tcPr>
            <w:tcW w:w="5786" w:type="dxa"/>
            <w:tcBorders>
              <w:top w:val="nil"/>
              <w:left w:val="nil"/>
              <w:bottom w:val="nil"/>
              <w:right w:val="nil"/>
            </w:tcBorders>
            <w:tcMar>
              <w:top w:w="0" w:type="dxa"/>
              <w:left w:w="105" w:type="dxa"/>
              <w:bottom w:w="0" w:type="dxa"/>
              <w:right w:w="105" w:type="dxa"/>
            </w:tcMar>
            <w:hideMark/>
          </w:tcPr>
          <w:p w14:paraId="05CBAF9B"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sz w:val="21"/>
                <w:szCs w:val="21"/>
                <w:highlight w:val="cyan"/>
                <w:lang w:eastAsia="es-CO"/>
              </w:rPr>
              <w:t>Tratamientos exceptivos Facturación electrónica</w:t>
            </w:r>
          </w:p>
        </w:tc>
      </w:tr>
      <w:tr w:rsidR="00360675" w:rsidRPr="00360675" w14:paraId="167DC15E" w14:textId="77777777" w:rsidTr="00360675">
        <w:tc>
          <w:tcPr>
            <w:tcW w:w="2279" w:type="dxa"/>
            <w:tcBorders>
              <w:top w:val="nil"/>
              <w:left w:val="nil"/>
              <w:bottom w:val="nil"/>
              <w:right w:val="nil"/>
            </w:tcBorders>
            <w:tcMar>
              <w:top w:w="0" w:type="dxa"/>
              <w:left w:w="105" w:type="dxa"/>
              <w:bottom w:w="0" w:type="dxa"/>
              <w:right w:w="105" w:type="dxa"/>
            </w:tcMar>
            <w:hideMark/>
          </w:tcPr>
          <w:p w14:paraId="496E9D3C"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b/>
                <w:bCs/>
                <w:sz w:val="21"/>
                <w:szCs w:val="21"/>
                <w:highlight w:val="cyan"/>
                <w:lang w:eastAsia="es-CO"/>
              </w:rPr>
              <w:t>Fuentes Formales:</w:t>
            </w:r>
          </w:p>
        </w:tc>
        <w:tc>
          <w:tcPr>
            <w:tcW w:w="5786" w:type="dxa"/>
            <w:tcBorders>
              <w:top w:val="nil"/>
              <w:left w:val="nil"/>
              <w:bottom w:val="nil"/>
              <w:right w:val="nil"/>
            </w:tcBorders>
            <w:tcMar>
              <w:top w:w="0" w:type="dxa"/>
              <w:left w:w="105" w:type="dxa"/>
              <w:bottom w:w="0" w:type="dxa"/>
              <w:right w:w="105" w:type="dxa"/>
            </w:tcMar>
            <w:hideMark/>
          </w:tcPr>
          <w:p w14:paraId="3392F05F"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r w:rsidRPr="00360675">
              <w:rPr>
                <w:rFonts w:ascii="Segoe UI" w:eastAsia="Times New Roman" w:hAnsi="Segoe UI" w:cs="Segoe UI"/>
                <w:sz w:val="21"/>
                <w:szCs w:val="21"/>
                <w:highlight w:val="cyan"/>
                <w:lang w:eastAsia="es-CO"/>
              </w:rPr>
              <w:t>Artículo 96 de la Ley 788 de 2002</w:t>
            </w:r>
          </w:p>
          <w:p w14:paraId="271C43BB" w14:textId="77777777" w:rsidR="00360675" w:rsidRPr="00360675" w:rsidRDefault="00360675" w:rsidP="00360675">
            <w:pPr>
              <w:spacing w:after="0" w:line="240" w:lineRule="auto"/>
              <w:jc w:val="both"/>
              <w:rPr>
                <w:rFonts w:ascii="Segoe UI" w:eastAsia="Times New Roman" w:hAnsi="Segoe UI" w:cs="Segoe UI"/>
                <w:sz w:val="21"/>
                <w:szCs w:val="21"/>
                <w:highlight w:val="cyan"/>
                <w:lang w:eastAsia="es-CO"/>
              </w:rPr>
            </w:pPr>
            <w:hyperlink r:id="rId4" w:tooltip="Estatuto Tributario CETA" w:history="1">
              <w:r w:rsidRPr="00360675">
                <w:rPr>
                  <w:rFonts w:ascii="Segoe UI" w:eastAsia="Times New Roman" w:hAnsi="Segoe UI" w:cs="Segoe UI"/>
                  <w:color w:val="0645AD"/>
                  <w:sz w:val="21"/>
                  <w:szCs w:val="21"/>
                  <w:highlight w:val="cyan"/>
                  <w:u w:val="single"/>
                  <w:lang w:eastAsia="es-CO"/>
                </w:rPr>
                <w:t>Artículo 615</w:t>
              </w:r>
            </w:hyperlink>
            <w:r w:rsidRPr="00360675">
              <w:rPr>
                <w:rFonts w:ascii="Segoe UI" w:eastAsia="Times New Roman" w:hAnsi="Segoe UI" w:cs="Segoe UI"/>
                <w:sz w:val="21"/>
                <w:szCs w:val="21"/>
                <w:highlight w:val="cyan"/>
                <w:lang w:eastAsia="es-CO"/>
              </w:rPr>
              <w:t> del Estatuto Tributario</w:t>
            </w:r>
          </w:p>
          <w:p w14:paraId="025F20E6"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highlight w:val="cyan"/>
                <w:lang w:eastAsia="es-CO"/>
              </w:rPr>
              <w:t>Artículos 1.3.1.9.2. a 1.3.1.9.16. (sic) y 1.6.1.4.3. del Decreto 1625 de 2016</w:t>
            </w:r>
          </w:p>
        </w:tc>
      </w:tr>
    </w:tbl>
    <w:p w14:paraId="716FF443"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6EFA9943"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1ED680F9"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Cordial saludo,</w:t>
      </w:r>
    </w:p>
    <w:p w14:paraId="261E9E02"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7FA08C7D"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D3A887A"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59928DE8"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Mediante el radicado de la referencia, la peticionaria consulta si un responsable del impuesto sobre las ventas - IVA, obligado a facturar electrónicamente, debe generar factura electrónica por la venta de bienes o prestación de servicios cubiertos por la exención de que trata el artículo 96 de la Ley 788 de 2002.</w:t>
      </w:r>
    </w:p>
    <w:p w14:paraId="665AD219"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453AFA99"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En este sentido, se pueden extraer las siguientes preguntas:</w:t>
      </w:r>
    </w:p>
    <w:p w14:paraId="02ACA08B"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3397A99F"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1. ¿Se debe expedir factura electrónica cuando los bienes o servicios proveídos son exentos en los términos del artículo 96 de la Ley 788 de 2002?</w:t>
      </w:r>
    </w:p>
    <w:p w14:paraId="5C530A49"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78BE74F9"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2. ¿Se requiere expedir factura electrónica para gozar de la exención del artículo 96 </w:t>
      </w:r>
      <w:r w:rsidRPr="00360675">
        <w:rPr>
          <w:rFonts w:ascii="Segoe UI" w:eastAsia="Times New Roman" w:hAnsi="Segoe UI" w:cs="Segoe UI"/>
          <w:i/>
          <w:iCs/>
          <w:color w:val="000000"/>
          <w:sz w:val="21"/>
          <w:szCs w:val="21"/>
          <w:lang w:eastAsia="es-CO"/>
        </w:rPr>
        <w:t>ibidem</w:t>
      </w:r>
      <w:r w:rsidRPr="00360675">
        <w:rPr>
          <w:rFonts w:ascii="Segoe UI" w:eastAsia="Times New Roman" w:hAnsi="Segoe UI" w:cs="Segoe UI"/>
          <w:color w:val="000000"/>
          <w:sz w:val="21"/>
          <w:szCs w:val="21"/>
          <w:lang w:eastAsia="es-CO"/>
        </w:rPr>
        <w:t>?</w:t>
      </w:r>
    </w:p>
    <w:p w14:paraId="3D9A6839"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679D1E9B"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Sobre el particular, las consideraciones de este Despacho son las siguientes:</w:t>
      </w:r>
    </w:p>
    <w:p w14:paraId="11AC2097"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136AF323"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b/>
          <w:bCs/>
          <w:color w:val="000000"/>
          <w:sz w:val="21"/>
          <w:szCs w:val="21"/>
          <w:lang w:eastAsia="es-CO"/>
        </w:rPr>
        <w:t>I. Obligación de expedir factura electrónica al proveer bienes o servicios exentos de acuerdo con el artículo 96 de la Ley 788 de 2002</w:t>
      </w:r>
    </w:p>
    <w:p w14:paraId="08FE34A0"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1B35865D"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En cuanto a la obligación general de expedir factura electrónica en la prestación de servicios o venta de bienes, esta Entidad manifestó lo siguiente en el Concepto Unificado 0106 del 19 de agosto de 2022 - Obligación de Facturar y Sistema de Factura Electrónica:</w:t>
      </w:r>
    </w:p>
    <w:p w14:paraId="6F706603"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46068530"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t>“(...) de acuerdo con los artículos 1.6.1.4.1 del Decreto 1625 de 2016 y 1 de la Resolución DIAN 000042 de 2020, la factura electrónica de venta con validación previa a su expedición, en adelante factura electrónica de venta, “hace parte de los sistemas de facturación que </w:t>
      </w:r>
      <w:r w:rsidRPr="00360675">
        <w:rPr>
          <w:rFonts w:ascii="Segoe UI" w:eastAsia="Times New Roman" w:hAnsi="Segoe UI" w:cs="Segoe UI"/>
          <w:i/>
          <w:iCs/>
          <w:color w:val="000000"/>
          <w:sz w:val="21"/>
          <w:szCs w:val="21"/>
          <w:u w:val="single"/>
          <w:lang w:eastAsia="es-CO"/>
        </w:rPr>
        <w:t>soporta operaciones de venta de bienes y/o prestación de servicios de conformidad con lo previsto en </w:t>
      </w:r>
      <w:hyperlink r:id="rId5" w:tooltip="Estatuto Tributario CETA" w:history="1">
        <w:r w:rsidRPr="00360675">
          <w:rPr>
            <w:rFonts w:ascii="Segoe UI" w:eastAsia="Times New Roman" w:hAnsi="Segoe UI" w:cs="Segoe UI"/>
            <w:i/>
            <w:iCs/>
            <w:color w:val="0645AD"/>
            <w:sz w:val="21"/>
            <w:szCs w:val="21"/>
            <w:u w:val="single"/>
            <w:lang w:eastAsia="es-CO"/>
          </w:rPr>
          <w:t>artículo 616-1</w:t>
        </w:r>
      </w:hyperlink>
      <w:r w:rsidRPr="00360675">
        <w:rPr>
          <w:rFonts w:ascii="Segoe UI" w:eastAsia="Times New Roman" w:hAnsi="Segoe UI" w:cs="Segoe UI"/>
          <w:i/>
          <w:iCs/>
          <w:color w:val="000000"/>
          <w:sz w:val="21"/>
          <w:szCs w:val="21"/>
          <w:u w:val="single"/>
          <w:lang w:eastAsia="es-CO"/>
        </w:rPr>
        <w:t> del Estatuto Tributario</w:t>
      </w:r>
      <w:r w:rsidRPr="00360675">
        <w:rPr>
          <w:rFonts w:ascii="Segoe UI" w:eastAsia="Times New Roman" w:hAnsi="Segoe UI" w:cs="Segoe UI"/>
          <w:i/>
          <w:iCs/>
          <w:color w:val="000000"/>
          <w:sz w:val="21"/>
          <w:szCs w:val="21"/>
          <w:lang w:eastAsia="es-CO"/>
        </w:rPr>
        <w:t>.</w:t>
      </w:r>
    </w:p>
    <w:p w14:paraId="03306546"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72A9D1F1"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t>(…)</w:t>
      </w:r>
    </w:p>
    <w:p w14:paraId="77E80E80"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1C813053"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t>1.2.1.1. ¿Ser sujeto obligado a facturar me convierte en responsable de IVA?</w:t>
      </w:r>
    </w:p>
    <w:p w14:paraId="2327A251"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428ABFD0"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lastRenderedPageBreak/>
        <w:t>La obligación de facturar es independiente de la responsabilidad del impuesto sobre las ventas- IVA. Por lo cual, puede un sujeto no ser responsable de IVA y a su vez, ser obligado a facturar.</w:t>
      </w:r>
    </w:p>
    <w:p w14:paraId="5FED65DA"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31694D7D"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t>Por lo anterior, </w:t>
      </w:r>
      <w:r w:rsidRPr="00360675">
        <w:rPr>
          <w:rFonts w:ascii="Segoe UI" w:eastAsia="Times New Roman" w:hAnsi="Segoe UI" w:cs="Segoe UI"/>
          <w:i/>
          <w:iCs/>
          <w:color w:val="000000"/>
          <w:sz w:val="21"/>
          <w:szCs w:val="21"/>
          <w:u w:val="single"/>
          <w:lang w:eastAsia="es-CO"/>
        </w:rPr>
        <w:t>siempre que el sujeto no se identifique en uno de los supuestos como no obligado a facturar de conformidad con las normas vigentes (artículos </w:t>
      </w:r>
      <w:hyperlink r:id="rId6" w:tooltip="Estatuto Tributario CETA" w:history="1">
        <w:r w:rsidRPr="00360675">
          <w:rPr>
            <w:rFonts w:ascii="Segoe UI" w:eastAsia="Times New Roman" w:hAnsi="Segoe UI" w:cs="Segoe UI"/>
            <w:i/>
            <w:iCs/>
            <w:color w:val="0645AD"/>
            <w:sz w:val="21"/>
            <w:szCs w:val="21"/>
            <w:u w:val="single"/>
            <w:lang w:eastAsia="es-CO"/>
          </w:rPr>
          <w:t>616-2</w:t>
        </w:r>
      </w:hyperlink>
      <w:r w:rsidRPr="00360675">
        <w:rPr>
          <w:rFonts w:ascii="Segoe UI" w:eastAsia="Times New Roman" w:hAnsi="Segoe UI" w:cs="Segoe UI"/>
          <w:i/>
          <w:iCs/>
          <w:color w:val="000000"/>
          <w:sz w:val="21"/>
          <w:szCs w:val="21"/>
          <w:u w:val="single"/>
          <w:lang w:eastAsia="es-CO"/>
        </w:rPr>
        <w:t>, 1.6.1.4.3. del Decreto 1625 de 2016 y artículo 7 de la Resolución DIAN No. 000042 de 2020) deberá cumplir con esta obligación cuando venda bienes o preste servicios, sin que sea relevante para el cumplimiento de este deber formal la calidad de exentos, gravados o excluidos del impuesto sobre las ventas -IVA</w:t>
      </w:r>
      <w:r w:rsidRPr="00360675">
        <w:rPr>
          <w:rFonts w:ascii="Segoe UI" w:eastAsia="Times New Roman" w:hAnsi="Segoe UI" w:cs="Segoe UI"/>
          <w:i/>
          <w:iCs/>
          <w:color w:val="000000"/>
          <w:sz w:val="21"/>
          <w:szCs w:val="21"/>
          <w:lang w:eastAsia="es-CO"/>
        </w:rPr>
        <w:t> de los bienes o servicios prestados.”</w:t>
      </w:r>
      <w:r w:rsidRPr="00360675">
        <w:rPr>
          <w:rFonts w:ascii="Segoe UI" w:eastAsia="Times New Roman" w:hAnsi="Segoe UI" w:cs="Segoe UI"/>
          <w:color w:val="000000"/>
          <w:sz w:val="21"/>
          <w:szCs w:val="21"/>
          <w:lang w:eastAsia="es-CO"/>
        </w:rPr>
        <w:t> (subrayado fuera de texto)</w:t>
      </w:r>
    </w:p>
    <w:p w14:paraId="2FCE8077"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202316B8"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Por lo anterior, es claro que el obligado a facturar electrónicamente deberá cumplir con dicha obligación cuando venda bienes o preste servicios, independientemente de que estos estén gravados con IVA o estén exentos (como sería el caso del artículo 96 de la Ley 788 de 2002) o excluidos de este impuesto.</w:t>
      </w:r>
    </w:p>
    <w:p w14:paraId="7D2B613D"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043E5D8C"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b/>
          <w:bCs/>
          <w:color w:val="000000"/>
          <w:sz w:val="21"/>
          <w:szCs w:val="21"/>
          <w:lang w:eastAsia="es-CO"/>
        </w:rPr>
        <w:t>II. Expedición de factura electrónica para poder gozar de la exención del artículo 96 de la Ley 788 de 2002</w:t>
      </w:r>
    </w:p>
    <w:p w14:paraId="6797650D"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360C8F78"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El artículo 96 de la Ley 788 de 2002 establece la exención de todo impuesto, tasa y contribución sobre los fondos (así como sobre las compras o importaciones de bienes y la adquisición de servicios realizados con cargo a los mismos) provenientes de auxilios o donaciones de entidades o gobiernos extranjeros convenidos con el Gobierno colombiano, destinados a realizar programas de utilidad común y registrados en la Agencia Presidencial de la Cooperación Internacional.</w:t>
      </w:r>
    </w:p>
    <w:p w14:paraId="1AE8D014"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70834ECD"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Con motivo de la modificación efectuada por la Ley 2010 de 2019 a dicha disposición, se expidió el Decreto 1651 de 2021 para efectos de su reglamentación mediante la sustitución de los artículos 1.3.1.9.2. y siguientes del Decreto 1625 de 2016, Único Reglamentario en materia tributaria, de los cuales se destaca en particular el artículo 1.3.1.9.4., que se refiere al certificado de utilidad común, así:</w:t>
      </w:r>
    </w:p>
    <w:p w14:paraId="78730FDF"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7134D286"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t>“</w:t>
      </w:r>
      <w:r w:rsidRPr="00360675">
        <w:rPr>
          <w:rFonts w:ascii="Segoe UI" w:eastAsia="Times New Roman" w:hAnsi="Segoe UI" w:cs="Segoe UI"/>
          <w:b/>
          <w:bCs/>
          <w:i/>
          <w:iCs/>
          <w:color w:val="000000"/>
          <w:sz w:val="21"/>
          <w:szCs w:val="21"/>
          <w:lang w:eastAsia="es-CO"/>
        </w:rPr>
        <w:t>ARTÍCULO 1.3.1.9.4. CERTIFICADO DE UTILIDAD COMÚN.</w:t>
      </w:r>
      <w:r w:rsidRPr="00360675">
        <w:rPr>
          <w:rFonts w:ascii="Segoe UI" w:eastAsia="Times New Roman" w:hAnsi="Segoe UI" w:cs="Segoe UI"/>
          <w:i/>
          <w:iCs/>
          <w:color w:val="000000"/>
          <w:sz w:val="21"/>
          <w:szCs w:val="21"/>
          <w:lang w:eastAsia="es-CO"/>
        </w:rPr>
        <w:t> &lt;Artículo sustituido por el artículo 1 del Decreto 1651 de 2021. El nuevo texto es el siguiente:&gt; </w:t>
      </w:r>
      <w:r w:rsidRPr="00360675">
        <w:rPr>
          <w:rFonts w:ascii="Segoe UI" w:eastAsia="Times New Roman" w:hAnsi="Segoe UI" w:cs="Segoe UI"/>
          <w:i/>
          <w:iCs/>
          <w:color w:val="000000"/>
          <w:sz w:val="21"/>
          <w:szCs w:val="21"/>
          <w:u w:val="single"/>
          <w:lang w:eastAsia="es-CO"/>
        </w:rPr>
        <w:t>Para efectos de la aplicación de la exención de que trata el artículo 96 de la Ley 788 de 2002,</w:t>
      </w:r>
      <w:r w:rsidRPr="00360675">
        <w:rPr>
          <w:rFonts w:ascii="Segoe UI" w:eastAsia="Times New Roman" w:hAnsi="Segoe UI" w:cs="Segoe UI"/>
          <w:i/>
          <w:iCs/>
          <w:color w:val="000000"/>
          <w:sz w:val="21"/>
          <w:szCs w:val="21"/>
          <w:lang w:eastAsia="es-CO"/>
        </w:rPr>
        <w:t> modificado por el artículo 138 de la Ley 2010 de 2019, los donantes ejecutores o las entidades ejecutoras deberán solicitar el certificado de utilidad común a la Agencia Presidencial de Cooperación Internacional de Colombia, APC-Colombia, que será la entidad encargada de certificar que los fondos provenientes de auxilios o donaciones provienen de entidades o gobiernos extranjeros y que serán destinados a programas de utilidad común.</w:t>
      </w:r>
    </w:p>
    <w:p w14:paraId="127D49E8"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6B88FA0F"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i/>
          <w:iCs/>
          <w:color w:val="000000"/>
          <w:sz w:val="21"/>
          <w:szCs w:val="21"/>
          <w:lang w:eastAsia="es-CO"/>
        </w:rPr>
        <w:t>Para la expedición del certificado de utilidad común por la Agencia Presidencial de Cooperación Internacional de Colombia, APC-Colombia se deberá cumplir con el procedimiento previsto en el artículo 1.3.1.9.6. del presente Decreto.</w:t>
      </w:r>
    </w:p>
    <w:p w14:paraId="00EDF4CF"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43D55748" w14:textId="77777777" w:rsidR="00360675" w:rsidRPr="00360675" w:rsidRDefault="00360675" w:rsidP="00360675">
      <w:pPr>
        <w:spacing w:after="0" w:line="240" w:lineRule="auto"/>
        <w:ind w:left="284"/>
        <w:jc w:val="both"/>
        <w:rPr>
          <w:rFonts w:ascii="Segoe UI" w:eastAsia="Times New Roman" w:hAnsi="Segoe UI" w:cs="Segoe UI"/>
          <w:color w:val="000000"/>
          <w:sz w:val="21"/>
          <w:szCs w:val="21"/>
          <w:lang w:eastAsia="es-CO"/>
        </w:rPr>
      </w:pPr>
      <w:r w:rsidRPr="00360675">
        <w:rPr>
          <w:rFonts w:ascii="Segoe UI" w:eastAsia="Times New Roman" w:hAnsi="Segoe UI" w:cs="Segoe UI"/>
          <w:b/>
          <w:bCs/>
          <w:i/>
          <w:iCs/>
          <w:color w:val="000000"/>
          <w:sz w:val="21"/>
          <w:szCs w:val="21"/>
          <w:lang w:eastAsia="es-CO"/>
        </w:rPr>
        <w:t>PARÁGRAFO.</w:t>
      </w:r>
      <w:r w:rsidRPr="00360675">
        <w:rPr>
          <w:rFonts w:ascii="Segoe UI" w:eastAsia="Times New Roman" w:hAnsi="Segoe UI" w:cs="Segoe UI"/>
          <w:i/>
          <w:iCs/>
          <w:color w:val="000000"/>
          <w:sz w:val="21"/>
          <w:szCs w:val="21"/>
          <w:lang w:eastAsia="es-CO"/>
        </w:rPr>
        <w:t> </w:t>
      </w:r>
      <w:r w:rsidRPr="00360675">
        <w:rPr>
          <w:rFonts w:ascii="Segoe UI" w:eastAsia="Times New Roman" w:hAnsi="Segoe UI" w:cs="Segoe UI"/>
          <w:i/>
          <w:iCs/>
          <w:color w:val="000000"/>
          <w:sz w:val="21"/>
          <w:szCs w:val="21"/>
          <w:u w:val="single"/>
          <w:lang w:eastAsia="es-CO"/>
        </w:rPr>
        <w:t>A partir de la expedición del certificado de utilidad común, procederán las exenciones de impuestos, tasas y contribuciones sobre los recursos</w:t>
      </w:r>
      <w:r w:rsidRPr="00360675">
        <w:rPr>
          <w:rFonts w:ascii="Segoe UI" w:eastAsia="Times New Roman" w:hAnsi="Segoe UI" w:cs="Segoe UI"/>
          <w:i/>
          <w:iCs/>
          <w:color w:val="000000"/>
          <w:sz w:val="21"/>
          <w:szCs w:val="21"/>
          <w:lang w:eastAsia="es-CO"/>
        </w:rPr>
        <w:t> utilizados en los programas de utilidad común y </w:t>
      </w:r>
      <w:r w:rsidRPr="00360675">
        <w:rPr>
          <w:rFonts w:ascii="Segoe UI" w:eastAsia="Times New Roman" w:hAnsi="Segoe UI" w:cs="Segoe UI"/>
          <w:i/>
          <w:iCs/>
          <w:color w:val="000000"/>
          <w:sz w:val="21"/>
          <w:szCs w:val="21"/>
          <w:u w:val="single"/>
          <w:lang w:eastAsia="es-CO"/>
        </w:rPr>
        <w:t>en los casos en que este sea negado o no expedido, no procederá la aplicación de las exenciones de que trata el artículo 96 de la Ley 788 de 2002, </w:t>
      </w:r>
      <w:r w:rsidRPr="00360675">
        <w:rPr>
          <w:rFonts w:ascii="Segoe UI" w:eastAsia="Times New Roman" w:hAnsi="Segoe UI" w:cs="Segoe UI"/>
          <w:i/>
          <w:iCs/>
          <w:color w:val="000000"/>
          <w:sz w:val="21"/>
          <w:szCs w:val="21"/>
          <w:lang w:eastAsia="es-CO"/>
        </w:rPr>
        <w:t>modificado por el artículo 138 de la Ley 2010 de 2019.”</w:t>
      </w:r>
      <w:r w:rsidRPr="00360675">
        <w:rPr>
          <w:rFonts w:ascii="Segoe UI" w:eastAsia="Times New Roman" w:hAnsi="Segoe UI" w:cs="Segoe UI"/>
          <w:color w:val="000000"/>
          <w:sz w:val="21"/>
          <w:szCs w:val="21"/>
          <w:lang w:eastAsia="es-CO"/>
        </w:rPr>
        <w:t> (subrayado fuera de texto)</w:t>
      </w:r>
    </w:p>
    <w:p w14:paraId="6A8233D4"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 </w:t>
      </w:r>
    </w:p>
    <w:p w14:paraId="200B4D0B" w14:textId="77777777" w:rsidR="00360675" w:rsidRPr="00360675" w:rsidRDefault="00360675" w:rsidP="00360675">
      <w:pPr>
        <w:spacing w:after="0" w:line="240" w:lineRule="auto"/>
        <w:jc w:val="both"/>
        <w:rPr>
          <w:rFonts w:ascii="Segoe UI" w:eastAsia="Times New Roman" w:hAnsi="Segoe UI" w:cs="Segoe UI"/>
          <w:color w:val="000000"/>
          <w:sz w:val="21"/>
          <w:szCs w:val="21"/>
          <w:lang w:eastAsia="es-CO"/>
        </w:rPr>
      </w:pPr>
      <w:r w:rsidRPr="00360675">
        <w:rPr>
          <w:rFonts w:ascii="Segoe UI" w:eastAsia="Times New Roman" w:hAnsi="Segoe UI" w:cs="Segoe UI"/>
          <w:color w:val="000000"/>
          <w:sz w:val="21"/>
          <w:szCs w:val="21"/>
          <w:lang w:eastAsia="es-CO"/>
        </w:rPr>
        <w:t>Ahora, con respecto a la obligación que tiene el proveedor de bienes o servicios de expedir factura electrónica, en el marco de los programas de utilidad común, se tiene que el artículo 1.3.1.9.12. </w:t>
      </w:r>
      <w:r w:rsidRPr="00360675">
        <w:rPr>
          <w:rFonts w:ascii="Segoe UI" w:eastAsia="Times New Roman" w:hAnsi="Segoe UI" w:cs="Segoe UI"/>
          <w:i/>
          <w:iCs/>
          <w:color w:val="000000"/>
          <w:sz w:val="21"/>
          <w:szCs w:val="21"/>
          <w:lang w:eastAsia="es-CO"/>
        </w:rPr>
        <w:t>ibidem</w:t>
      </w:r>
      <w:r w:rsidRPr="00360675">
        <w:rPr>
          <w:rFonts w:ascii="Segoe UI" w:eastAsia="Times New Roman" w:hAnsi="Segoe UI" w:cs="Segoe UI"/>
          <w:color w:val="000000"/>
          <w:sz w:val="21"/>
          <w:szCs w:val="21"/>
          <w:lang w:eastAsia="es-CO"/>
        </w:rPr>
        <w:t> dispone:</w:t>
      </w:r>
    </w:p>
    <w:p w14:paraId="24C06274" w14:textId="77777777" w:rsidR="00360675" w:rsidRDefault="00360675" w:rsidP="00360675">
      <w:pPr>
        <w:pStyle w:val="NormalWeb"/>
        <w:spacing w:before="0" w:beforeAutospacing="0" w:after="0" w:afterAutospacing="0"/>
        <w:jc w:val="both"/>
        <w:rPr>
          <w:rFonts w:ascii="Segoe UI" w:hAnsi="Segoe UI" w:cs="Segoe UI"/>
          <w:i/>
          <w:iCs/>
          <w:color w:val="000000"/>
          <w:sz w:val="21"/>
          <w:szCs w:val="21"/>
        </w:rPr>
      </w:pPr>
    </w:p>
    <w:p w14:paraId="70FC1AEF" w14:textId="0B0A49DD"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1.3.1.9.12. TRATAMIENTO DE LA EXENCIÓN DE IMPUESTOS, TASAS Y CONTRIBUCIONES DE LOS FONDOS PROVENIENTES DE AUXILIOS O DONACIONES DE ENTIDADES O GOBIERNOS EXTRANJEROS CONVENIDOS CON EL GOBIERNO COLOMBIANO.</w:t>
      </w:r>
      <w:r>
        <w:rPr>
          <w:rFonts w:ascii="Segoe UI" w:hAnsi="Segoe UI" w:cs="Segoe UI"/>
          <w:i/>
          <w:iCs/>
          <w:color w:val="000000"/>
          <w:sz w:val="21"/>
          <w:szCs w:val="21"/>
        </w:rPr>
        <w:t> &lt;Artículo adicionado por el artículo 3 del Decreto 1651 de 2021. El nuevo texto es el siguiente:&gt; </w:t>
      </w:r>
      <w:r>
        <w:rPr>
          <w:rFonts w:ascii="Segoe UI" w:hAnsi="Segoe UI" w:cs="Segoe UI"/>
          <w:i/>
          <w:iCs/>
          <w:color w:val="000000"/>
          <w:sz w:val="21"/>
          <w:szCs w:val="21"/>
          <w:u w:val="single"/>
        </w:rPr>
        <w:t>Para efectos del tratamiento de las exenciones de impuestos, tasas y contribuciones</w:t>
      </w:r>
      <w:r>
        <w:rPr>
          <w:rFonts w:ascii="Segoe UI" w:hAnsi="Segoe UI" w:cs="Segoe UI"/>
          <w:i/>
          <w:iCs/>
          <w:color w:val="000000"/>
          <w:sz w:val="21"/>
          <w:szCs w:val="21"/>
        </w:rPr>
        <w:t xml:space="preserve"> de los fondos provenientes de auxilios o donaciones de entidades o gobiernos extranjeros convenidos con el Gobierno colombiano de que trata el artículo 96 de la Ley 788 de 2002, modificado por el artículo </w:t>
      </w:r>
      <w:r>
        <w:rPr>
          <w:rFonts w:ascii="Segoe UI" w:hAnsi="Segoe UI" w:cs="Segoe UI"/>
          <w:i/>
          <w:iCs/>
          <w:color w:val="000000"/>
          <w:sz w:val="21"/>
          <w:szCs w:val="21"/>
        </w:rPr>
        <w:lastRenderedPageBreak/>
        <w:t>138 de la Ley 2010 de 2019 y los artículos 1.3.1.9.2. al 1.3.1.9.11 del presente Decreto, se deberá tener en cuenta lo siguiente:</w:t>
      </w:r>
    </w:p>
    <w:p w14:paraId="12A22C7A"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290FC4A"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Para efectos de la exención en el impuesto sobre las ventas (IVA), impuesto nacional al consumo u otros impuestos indirectos administrados por la Unidad Administrativa Especial Dirección de Impuestos y Aduanas Nacionales (Dian), </w:t>
      </w:r>
      <w:r>
        <w:rPr>
          <w:rFonts w:ascii="Segoe UI" w:hAnsi="Segoe UI" w:cs="Segoe UI"/>
          <w:i/>
          <w:iCs/>
          <w:color w:val="000000"/>
          <w:sz w:val="21"/>
          <w:szCs w:val="21"/>
          <w:u w:val="single"/>
        </w:rPr>
        <w:t>el proveedor de bienes o prestador de servicios deberá</w:t>
      </w:r>
      <w:r>
        <w:rPr>
          <w:rFonts w:ascii="Segoe UI" w:hAnsi="Segoe UI" w:cs="Segoe UI"/>
          <w:i/>
          <w:iCs/>
          <w:color w:val="000000"/>
          <w:sz w:val="21"/>
          <w:szCs w:val="21"/>
        </w:rPr>
        <w:t>:</w:t>
      </w:r>
    </w:p>
    <w:p w14:paraId="3F2B9706"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64D89A4"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67A5FE7D"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620FE2A"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1.2. Dejar constancia </w:t>
      </w:r>
      <w:r>
        <w:rPr>
          <w:rFonts w:ascii="Segoe UI" w:hAnsi="Segoe UI" w:cs="Segoe UI"/>
          <w:i/>
          <w:iCs/>
          <w:color w:val="000000"/>
          <w:sz w:val="21"/>
          <w:szCs w:val="21"/>
          <w:u w:val="single"/>
        </w:rPr>
        <w:t>en las facturas</w:t>
      </w:r>
      <w:r>
        <w:rPr>
          <w:rFonts w:ascii="Segoe UI" w:hAnsi="Segoe UI" w:cs="Segoe UI"/>
          <w:i/>
          <w:iCs/>
          <w:color w:val="000000"/>
          <w:sz w:val="21"/>
          <w:szCs w:val="21"/>
        </w:rPr>
        <w:t> que se expidan en el marco de la exención la siguiente leyenda “bien o servicio exento (según corresponda) artículo 96 Ley 788 de 2002”.</w:t>
      </w:r>
    </w:p>
    <w:p w14:paraId="1AC37BA9"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86BB32C"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1.3. Conservar los documentos de que trata el numeral 3 del artículo 1.3.1.9.11 del presente Decreto, </w:t>
      </w:r>
      <w:r>
        <w:rPr>
          <w:rFonts w:ascii="Segoe UI" w:hAnsi="Segoe UI" w:cs="Segoe UI"/>
          <w:i/>
          <w:iCs/>
          <w:color w:val="000000"/>
          <w:sz w:val="21"/>
          <w:szCs w:val="21"/>
          <w:u w:val="single"/>
        </w:rPr>
        <w:t>como soporte de la factura</w:t>
      </w:r>
      <w:r>
        <w:rPr>
          <w:rFonts w:ascii="Segoe UI" w:hAnsi="Segoe UI" w:cs="Segoe UI"/>
          <w:i/>
          <w:iCs/>
          <w:color w:val="000000"/>
          <w:sz w:val="21"/>
          <w:szCs w:val="21"/>
        </w:rPr>
        <w:t>.</w:t>
      </w:r>
    </w:p>
    <w:p w14:paraId="36C58257"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22617E6"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1A6FB9A9"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B323979"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PARÁGRAFO 2o.</w:t>
      </w:r>
      <w:r>
        <w:rPr>
          <w:rFonts w:ascii="Segoe UI" w:hAnsi="Segoe UI" w:cs="Segoe UI"/>
          <w:i/>
          <w:iCs/>
          <w:color w:val="000000"/>
          <w:sz w:val="21"/>
          <w:szCs w:val="21"/>
        </w:rPr>
        <w:t> El incumplimiento de lo establecido en el artículo 96 de la Ley 788 de 2002, modificado por el artículo 138 de la Ley 2010 de 2019 y </w:t>
      </w:r>
      <w:r>
        <w:rPr>
          <w:rFonts w:ascii="Segoe UI" w:hAnsi="Segoe UI" w:cs="Segoe UI"/>
          <w:i/>
          <w:iCs/>
          <w:color w:val="000000"/>
          <w:sz w:val="21"/>
          <w:szCs w:val="21"/>
          <w:u w:val="single"/>
        </w:rPr>
        <w:t>el presente artículo dará lugar a la improcedencia del tratamiento tributario de exención de impuestos, tasas y contribuciones</w:t>
      </w:r>
      <w:proofErr w:type="gramStart"/>
      <w:r>
        <w:rPr>
          <w:rFonts w:ascii="Segoe UI" w:hAnsi="Segoe UI" w:cs="Segoe UI"/>
          <w:i/>
          <w:iCs/>
          <w:color w:val="000000"/>
          <w:sz w:val="21"/>
          <w:szCs w:val="21"/>
        </w:rPr>
        <w:t>. ”</w:t>
      </w:r>
      <w:proofErr w:type="gramEnd"/>
      <w:r>
        <w:rPr>
          <w:rFonts w:ascii="Segoe UI" w:hAnsi="Segoe UI" w:cs="Segoe UI"/>
          <w:color w:val="000000"/>
          <w:sz w:val="21"/>
          <w:szCs w:val="21"/>
        </w:rPr>
        <w:t> (subrayado fuera de texto)</w:t>
      </w:r>
    </w:p>
    <w:p w14:paraId="60D3AFD2" w14:textId="77777777" w:rsidR="00360675" w:rsidRDefault="00360675" w:rsidP="0036067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0D0471" w14:textId="439A7249" w:rsidR="00360675" w:rsidRDefault="00360675" w:rsidP="0036067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Del artículo previamente citado es posible concluir que es obligatoria, para efectos de la exención de que trata el mencionado artículo 96, la expedición de la factura electrónica que soporte los bienes y/o servicios adquiridos con cargo a los fondos de que trata esta misma disposición, desde luego si el proveedor de los bienes y/o servicio está obligado a ello teniendo en cuenta los artículos </w:t>
      </w:r>
      <w:hyperlink r:id="rId7" w:tooltip="Estatuto Tributario CETA" w:history="1">
        <w:r>
          <w:rPr>
            <w:rStyle w:val="Hipervnculo"/>
            <w:rFonts w:ascii="Segoe UI" w:hAnsi="Segoe UI" w:cs="Segoe UI"/>
            <w:color w:val="0645AD"/>
            <w:sz w:val="21"/>
            <w:szCs w:val="21"/>
          </w:rPr>
          <w:t>615</w:t>
        </w:r>
      </w:hyperlink>
      <w:r>
        <w:rPr>
          <w:rFonts w:ascii="Segoe UI" w:hAnsi="Segoe UI" w:cs="Segoe UI"/>
          <w:color w:val="000000"/>
          <w:sz w:val="21"/>
          <w:szCs w:val="21"/>
        </w:rPr>
        <w:t> del Estatuto Tributario y 1.6.1.4.3. del Decreto 1625 de 2016, entre otras normas.</w:t>
      </w:r>
    </w:p>
    <w:p w14:paraId="171F3303" w14:textId="77777777" w:rsidR="00360675" w:rsidRPr="00360675" w:rsidRDefault="00360675" w:rsidP="00360675">
      <w:pPr>
        <w:pStyle w:val="NormalWeb"/>
        <w:spacing w:before="0" w:beforeAutospacing="0" w:after="0" w:afterAutospacing="0"/>
        <w:jc w:val="both"/>
        <w:rPr>
          <w:rFonts w:ascii="Segoe UI" w:hAnsi="Segoe UI" w:cs="Segoe UI"/>
          <w:color w:val="000000"/>
          <w:sz w:val="21"/>
          <w:szCs w:val="21"/>
        </w:rPr>
      </w:pPr>
    </w:p>
    <w:p w14:paraId="7D73BA84" w14:textId="77777777" w:rsidR="00360675" w:rsidRDefault="00360675" w:rsidP="0036067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Lo antepuesto, sin perjuicio de lo contemplado en el artículo 1.3.1.9.13. </w:t>
      </w:r>
      <w:r>
        <w:rPr>
          <w:rFonts w:ascii="Segoe UI" w:hAnsi="Segoe UI" w:cs="Segoe UI"/>
          <w:i/>
          <w:iCs/>
          <w:color w:val="000000"/>
          <w:sz w:val="21"/>
          <w:szCs w:val="21"/>
        </w:rPr>
        <w:t>ibidem</w:t>
      </w:r>
      <w:r>
        <w:rPr>
          <w:rFonts w:ascii="Segoe UI" w:hAnsi="Segoe UI" w:cs="Segoe UI"/>
          <w:color w:val="000000"/>
          <w:sz w:val="21"/>
          <w:szCs w:val="21"/>
        </w:rPr>
        <w:t>, el cual reza:</w:t>
      </w:r>
    </w:p>
    <w:p w14:paraId="5BC7683E" w14:textId="77777777" w:rsidR="00360675" w:rsidRDefault="00360675" w:rsidP="0036067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BF6E9F8" w14:textId="77777777" w:rsidR="00360675" w:rsidRDefault="00360675" w:rsidP="0036067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r>
        <w:rPr>
          <w:rFonts w:ascii="Segoe UI" w:hAnsi="Segoe UI" w:cs="Segoe UI"/>
          <w:b/>
          <w:bCs/>
          <w:i/>
          <w:iCs/>
          <w:color w:val="000000"/>
          <w:sz w:val="21"/>
          <w:szCs w:val="21"/>
        </w:rPr>
        <w:t>ARTÍCULO 1.3.1.9.13. APLICACIÓN PREFERENTE. &lt;</w:t>
      </w:r>
      <w:r>
        <w:rPr>
          <w:rFonts w:ascii="Segoe UI" w:hAnsi="Segoe UI" w:cs="Segoe UI"/>
          <w:i/>
          <w:iCs/>
          <w:color w:val="000000"/>
          <w:sz w:val="21"/>
          <w:szCs w:val="21"/>
        </w:rPr>
        <w:t>Artículo adicionado por el artículo 3 del Decreto 1651 de 2021. El nuevo texto es el siguiente:&gt; En caso de existir un convenio o tratado internacional que consagre un tratamiento tributario diferente al establecido en el artículo 96 de la Ley 788 de 2002, modificado por el artículo 138 de la Ley 2010 de 2019, </w:t>
      </w:r>
      <w:r>
        <w:rPr>
          <w:rFonts w:ascii="Segoe UI" w:hAnsi="Segoe UI" w:cs="Segoe UI"/>
          <w:i/>
          <w:iCs/>
          <w:color w:val="000000"/>
          <w:sz w:val="21"/>
          <w:szCs w:val="21"/>
          <w:u w:val="single"/>
        </w:rPr>
        <w:t>no estarán sometidos los fondos provenientes de auxilios o donaciones al procedimiento establecido en los artículos 1.3.1.9.1 al 1.3.1.9.4 y 1.3.1.9.6 al 1.3.1.9.12 del presente Decreto</w:t>
      </w:r>
      <w:r>
        <w:rPr>
          <w:rFonts w:ascii="Segoe UI" w:hAnsi="Segoe UI" w:cs="Segoe UI"/>
          <w:i/>
          <w:iCs/>
          <w:color w:val="000000"/>
          <w:sz w:val="21"/>
          <w:szCs w:val="21"/>
        </w:rPr>
        <w:t xml:space="preserve">. En todo caso, el </w:t>
      </w:r>
      <w:proofErr w:type="gramStart"/>
      <w:r>
        <w:rPr>
          <w:rFonts w:ascii="Segoe UI" w:hAnsi="Segoe UI" w:cs="Segoe UI"/>
          <w:i/>
          <w:iCs/>
          <w:color w:val="000000"/>
          <w:sz w:val="21"/>
          <w:szCs w:val="21"/>
        </w:rPr>
        <w:t>donante ejecutor o la entidad ejecutora</w:t>
      </w:r>
      <w:proofErr w:type="gramEnd"/>
      <w:r>
        <w:rPr>
          <w:rFonts w:ascii="Segoe UI" w:hAnsi="Segoe UI" w:cs="Segoe UI"/>
          <w:i/>
          <w:iCs/>
          <w:color w:val="000000"/>
          <w:sz w:val="21"/>
          <w:szCs w:val="21"/>
        </w:rPr>
        <w:t xml:space="preserve"> deberá registrar el proyecto en el sistema de información de la Agencia Presidencial de Cooperación Internacional de Colombia, (APC) Colombia, de conformidad con el artículo 1.3.1.9.5 del presente Decreto.”</w:t>
      </w:r>
      <w:r>
        <w:rPr>
          <w:rFonts w:ascii="Segoe UI" w:hAnsi="Segoe UI" w:cs="Segoe UI"/>
          <w:color w:val="000000"/>
          <w:sz w:val="21"/>
          <w:szCs w:val="21"/>
        </w:rPr>
        <w:t> (subrayado fuera de texto)</w:t>
      </w:r>
    </w:p>
    <w:p w14:paraId="671FE4EA" w14:textId="77777777" w:rsidR="00360675" w:rsidRDefault="00360675" w:rsidP="00360675">
      <w:pPr>
        <w:jc w:val="both"/>
      </w:pPr>
    </w:p>
    <w:p w14:paraId="398C2BC5" w14:textId="1D3DCE4B" w:rsidR="00360675" w:rsidRDefault="00360675" w:rsidP="00360675">
      <w:pPr>
        <w:jc w:val="both"/>
      </w:pPr>
      <w:r>
        <w:rPr>
          <w:rFonts w:ascii="Segoe UI" w:hAnsi="Segoe UI" w:cs="Segoe UI"/>
          <w:color w:val="000000"/>
          <w:sz w:val="21"/>
          <w:szCs w:val="21"/>
          <w:shd w:val="clear" w:color="auto" w:fill="FFFFFF"/>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8" w:tgtFrame="_blank" w:history="1">
        <w:r>
          <w:rPr>
            <w:rStyle w:val="Hipervnculo"/>
            <w:rFonts w:ascii="Segoe UI" w:hAnsi="Segoe UI" w:cs="Segoe UI"/>
            <w:color w:val="0645AD"/>
            <w:sz w:val="21"/>
            <w:szCs w:val="21"/>
            <w:shd w:val="clear" w:color="auto" w:fill="FFFFFF"/>
          </w:rPr>
          <w:t>www.dian.gov.co</w:t>
        </w:r>
      </w:hyperlink>
      <w:r>
        <w:rPr>
          <w:rFonts w:ascii="Segoe UI" w:hAnsi="Segoe UI" w:cs="Segoe UI"/>
          <w:color w:val="000000"/>
          <w:sz w:val="21"/>
          <w:szCs w:val="21"/>
          <w:shd w:val="clear" w:color="auto" w:fill="FFFFFF"/>
        </w:rPr>
        <w:t xml:space="preserve">, la base de conceptos en materia tributaria, aduanera y cambiaria expedidos desde el año 2001, la cual se puede ingresar por el ícono de “Normatividad”-“Doctrina”, dando </w:t>
      </w:r>
      <w:proofErr w:type="spellStart"/>
      <w:r>
        <w:rPr>
          <w:rFonts w:ascii="Segoe UI" w:hAnsi="Segoe UI" w:cs="Segoe UI"/>
          <w:color w:val="000000"/>
          <w:sz w:val="21"/>
          <w:szCs w:val="21"/>
          <w:shd w:val="clear" w:color="auto" w:fill="FFFFFF"/>
        </w:rPr>
        <w:t>click</w:t>
      </w:r>
      <w:proofErr w:type="spellEnd"/>
      <w:r>
        <w:rPr>
          <w:rFonts w:ascii="Segoe UI" w:hAnsi="Segoe UI" w:cs="Segoe UI"/>
          <w:color w:val="000000"/>
          <w:sz w:val="21"/>
          <w:szCs w:val="21"/>
          <w:shd w:val="clear" w:color="auto" w:fill="FFFFFF"/>
        </w:rPr>
        <w:t xml:space="preserve"> en el link “Doctrina Dirección de Gestión Jurídica”.</w:t>
      </w:r>
    </w:p>
    <w:tbl>
      <w:tblPr>
        <w:tblW w:w="0" w:type="auto"/>
        <w:tblCellSpacing w:w="0" w:type="dxa"/>
        <w:tblCellMar>
          <w:left w:w="0" w:type="dxa"/>
          <w:right w:w="0" w:type="dxa"/>
        </w:tblCellMar>
        <w:tblLook w:val="04A0" w:firstRow="1" w:lastRow="0" w:firstColumn="1" w:lastColumn="0" w:noHBand="0" w:noVBand="1"/>
      </w:tblPr>
      <w:tblGrid>
        <w:gridCol w:w="9356"/>
      </w:tblGrid>
      <w:tr w:rsidR="00360675" w:rsidRPr="00360675" w14:paraId="33A70971" w14:textId="77777777" w:rsidTr="00360675">
        <w:trPr>
          <w:tblCellSpacing w:w="0" w:type="dxa"/>
        </w:trPr>
        <w:tc>
          <w:tcPr>
            <w:tcW w:w="9356" w:type="dxa"/>
            <w:hideMark/>
          </w:tcPr>
          <w:p w14:paraId="4B778BB9" w14:textId="77777777" w:rsidR="00360675" w:rsidRDefault="00360675" w:rsidP="00360675">
            <w:pPr>
              <w:jc w:val="both"/>
            </w:pPr>
          </w:p>
          <w:tbl>
            <w:tblPr>
              <w:tblW w:w="14355" w:type="dxa"/>
              <w:tblCellSpacing w:w="0" w:type="dxa"/>
              <w:tblCellMar>
                <w:left w:w="0" w:type="dxa"/>
                <w:right w:w="0" w:type="dxa"/>
              </w:tblCellMar>
              <w:tblLook w:val="04A0" w:firstRow="1" w:lastRow="0" w:firstColumn="1" w:lastColumn="0" w:noHBand="0" w:noVBand="1"/>
            </w:tblPr>
            <w:tblGrid>
              <w:gridCol w:w="14355"/>
            </w:tblGrid>
            <w:tr w:rsidR="00360675" w:rsidRPr="00360675" w14:paraId="093794BB" w14:textId="77777777">
              <w:trPr>
                <w:tblCellSpacing w:w="0" w:type="dxa"/>
              </w:trPr>
              <w:tc>
                <w:tcPr>
                  <w:tcW w:w="0" w:type="auto"/>
                  <w:shd w:val="clear" w:color="auto" w:fill="FFFFFF"/>
                  <w:tcMar>
                    <w:top w:w="30" w:type="dxa"/>
                    <w:left w:w="30" w:type="dxa"/>
                    <w:bottom w:w="30" w:type="dxa"/>
                    <w:right w:w="30" w:type="dxa"/>
                  </w:tcMar>
                  <w:vAlign w:val="center"/>
                  <w:hideMark/>
                </w:tcPr>
                <w:p w14:paraId="3431949F"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lang w:eastAsia="es-CO"/>
                    </w:rPr>
                    <w:t>Atentamente,</w:t>
                  </w:r>
                </w:p>
                <w:p w14:paraId="6D1F6C0E"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lang w:eastAsia="es-CO"/>
                    </w:rPr>
                    <w:t> </w:t>
                  </w:r>
                </w:p>
                <w:p w14:paraId="69813C2F"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lang w:eastAsia="es-CO"/>
                    </w:rPr>
                    <w:t> </w:t>
                  </w:r>
                </w:p>
                <w:p w14:paraId="1DEED4E2"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b/>
                      <w:bCs/>
                      <w:sz w:val="21"/>
                      <w:szCs w:val="21"/>
                      <w:lang w:eastAsia="es-CO"/>
                    </w:rPr>
                    <w:t>ALFREDO RAMÍREZ CASTAÑEDA</w:t>
                  </w:r>
                </w:p>
                <w:p w14:paraId="6E69949A"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lang w:eastAsia="es-CO"/>
                    </w:rPr>
                    <w:t>Subdirector de Normativa y Doctrina (E)</w:t>
                  </w:r>
                </w:p>
                <w:p w14:paraId="6376C21E"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lang w:eastAsia="es-CO"/>
                    </w:rPr>
                    <w:t>Dirección de Gestión Jurídica</w:t>
                  </w:r>
                </w:p>
                <w:p w14:paraId="5E01E192" w14:textId="77777777" w:rsidR="00360675" w:rsidRPr="00360675" w:rsidRDefault="00360675" w:rsidP="00360675">
                  <w:pPr>
                    <w:spacing w:after="0" w:line="240" w:lineRule="auto"/>
                    <w:jc w:val="both"/>
                    <w:rPr>
                      <w:rFonts w:ascii="Segoe UI" w:eastAsia="Times New Roman" w:hAnsi="Segoe UI" w:cs="Segoe UI"/>
                      <w:sz w:val="21"/>
                      <w:szCs w:val="21"/>
                      <w:lang w:eastAsia="es-CO"/>
                    </w:rPr>
                  </w:pPr>
                  <w:r w:rsidRPr="00360675">
                    <w:rPr>
                      <w:rFonts w:ascii="Segoe UI" w:eastAsia="Times New Roman" w:hAnsi="Segoe UI" w:cs="Segoe UI"/>
                      <w:sz w:val="21"/>
                      <w:szCs w:val="21"/>
                      <w:lang w:eastAsia="es-CO"/>
                    </w:rPr>
                    <w:t>UAE-Dirección de Impuestos y Aduanas Nacionales</w:t>
                  </w:r>
                </w:p>
              </w:tc>
            </w:tr>
          </w:tbl>
          <w:p w14:paraId="3451729F" w14:textId="77777777" w:rsidR="00360675" w:rsidRPr="00360675" w:rsidRDefault="00360675" w:rsidP="00360675">
            <w:pPr>
              <w:spacing w:after="0" w:line="240" w:lineRule="auto"/>
              <w:jc w:val="both"/>
              <w:rPr>
                <w:rFonts w:eastAsia="Times New Roman" w:cs="Times New Roman"/>
                <w:szCs w:val="24"/>
                <w:lang w:eastAsia="es-CO"/>
              </w:rPr>
            </w:pPr>
          </w:p>
        </w:tc>
      </w:tr>
    </w:tbl>
    <w:p w14:paraId="2A21F910" w14:textId="77777777" w:rsidR="00360675" w:rsidRPr="00360675" w:rsidRDefault="00360675" w:rsidP="00360675">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360675" w:rsidRPr="00360675" w14:paraId="51BE88C2" w14:textId="77777777" w:rsidTr="00360675">
        <w:trPr>
          <w:trHeight w:val="444"/>
          <w:tblCellSpacing w:w="0" w:type="dxa"/>
        </w:trPr>
        <w:tc>
          <w:tcPr>
            <w:tcW w:w="120" w:type="dxa"/>
            <w:shd w:val="clear" w:color="auto" w:fill="FFFFFF"/>
            <w:hideMark/>
          </w:tcPr>
          <w:p w14:paraId="745C9973" w14:textId="77777777" w:rsidR="00360675" w:rsidRPr="00360675" w:rsidRDefault="00360675" w:rsidP="00360675">
            <w:pPr>
              <w:spacing w:after="0" w:line="240" w:lineRule="auto"/>
              <w:rPr>
                <w:rFonts w:ascii="Segoe UI" w:eastAsia="Times New Roman" w:hAnsi="Segoe UI" w:cs="Segoe UI"/>
                <w:color w:val="000000"/>
                <w:sz w:val="27"/>
                <w:szCs w:val="27"/>
                <w:lang w:eastAsia="es-CO"/>
              </w:rPr>
            </w:pPr>
            <w:r w:rsidRPr="00360675">
              <w:rPr>
                <w:rFonts w:ascii="Segoe UI" w:eastAsia="Times New Roman" w:hAnsi="Segoe UI" w:cs="Segoe UI"/>
                <w:noProof/>
                <w:color w:val="000000"/>
                <w:sz w:val="27"/>
                <w:szCs w:val="27"/>
                <w:lang w:eastAsia="es-CO"/>
              </w:rPr>
              <w:drawing>
                <wp:inline distT="0" distB="0" distL="0" distR="0" wp14:anchorId="15916122" wp14:editId="054802FD">
                  <wp:extent cx="76200" cy="76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1F77CB4A" w14:textId="77777777" w:rsidR="00360675" w:rsidRPr="00360675" w:rsidRDefault="00360675" w:rsidP="00360675">
            <w:pPr>
              <w:spacing w:after="0" w:line="240" w:lineRule="auto"/>
              <w:rPr>
                <w:rFonts w:eastAsia="Times New Roman" w:cs="Times New Roman"/>
                <w:szCs w:val="24"/>
                <w:lang w:eastAsia="es-CO"/>
              </w:rPr>
            </w:pPr>
            <w:r w:rsidRPr="00360675">
              <w:rPr>
                <w:rFonts w:eastAsia="Times New Roman" w:cs="Times New Roman"/>
                <w:szCs w:val="24"/>
                <w:lang w:eastAsia="es-CO"/>
              </w:rPr>
              <w:br/>
            </w:r>
          </w:p>
        </w:tc>
      </w:tr>
    </w:tbl>
    <w:p w14:paraId="5FD603CF"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75"/>
    <w:rsid w:val="000F3837"/>
    <w:rsid w:val="001E311E"/>
    <w:rsid w:val="00360675"/>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69DF"/>
  <w15:chartTrackingRefBased/>
  <w15:docId w15:val="{B36F0BCB-6936-4EAF-96AE-739B72BC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60675"/>
    <w:rPr>
      <w:color w:val="0000FF"/>
      <w:u w:val="single"/>
    </w:rPr>
  </w:style>
  <w:style w:type="paragraph" w:styleId="NormalWeb">
    <w:name w:val="Normal (Web)"/>
    <w:basedOn w:val="Normal"/>
    <w:uiPriority w:val="99"/>
    <w:unhideWhenUsed/>
    <w:rsid w:val="00360675"/>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002">
      <w:bodyDiv w:val="1"/>
      <w:marLeft w:val="0"/>
      <w:marRight w:val="0"/>
      <w:marTop w:val="0"/>
      <w:marBottom w:val="0"/>
      <w:divBdr>
        <w:top w:val="none" w:sz="0" w:space="0" w:color="auto"/>
        <w:left w:val="none" w:sz="0" w:space="0" w:color="auto"/>
        <w:bottom w:val="none" w:sz="0" w:space="0" w:color="auto"/>
        <w:right w:val="none" w:sz="0" w:space="0" w:color="auto"/>
      </w:divBdr>
    </w:div>
    <w:div w:id="632953234">
      <w:bodyDiv w:val="1"/>
      <w:marLeft w:val="0"/>
      <w:marRight w:val="0"/>
      <w:marTop w:val="0"/>
      <w:marBottom w:val="0"/>
      <w:divBdr>
        <w:top w:val="none" w:sz="0" w:space="0" w:color="auto"/>
        <w:left w:val="none" w:sz="0" w:space="0" w:color="auto"/>
        <w:bottom w:val="none" w:sz="0" w:space="0" w:color="auto"/>
        <w:right w:val="none" w:sz="0" w:space="0" w:color="auto"/>
      </w:divBdr>
    </w:div>
    <w:div w:id="1121535232">
      <w:bodyDiv w:val="1"/>
      <w:marLeft w:val="0"/>
      <w:marRight w:val="0"/>
      <w:marTop w:val="0"/>
      <w:marBottom w:val="0"/>
      <w:divBdr>
        <w:top w:val="none" w:sz="0" w:space="0" w:color="auto"/>
        <w:left w:val="none" w:sz="0" w:space="0" w:color="auto"/>
        <w:bottom w:val="none" w:sz="0" w:space="0" w:color="auto"/>
        <w:right w:val="none" w:sz="0" w:space="0" w:color="auto"/>
      </w:divBdr>
    </w:div>
    <w:div w:id="1158377537">
      <w:bodyDiv w:val="1"/>
      <w:marLeft w:val="0"/>
      <w:marRight w:val="0"/>
      <w:marTop w:val="0"/>
      <w:marBottom w:val="0"/>
      <w:divBdr>
        <w:top w:val="none" w:sz="0" w:space="0" w:color="auto"/>
        <w:left w:val="none" w:sz="0" w:space="0" w:color="auto"/>
        <w:bottom w:val="none" w:sz="0" w:space="0" w:color="auto"/>
        <w:right w:val="none" w:sz="0" w:space="0" w:color="auto"/>
      </w:divBdr>
    </w:div>
    <w:div w:id="14228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9" TargetMode="External"/><Relationship Id="rId11" Type="http://schemas.openxmlformats.org/officeDocument/2006/relationships/theme" Target="theme/theme1.xml"/><Relationship Id="rId5" Type="http://schemas.openxmlformats.org/officeDocument/2006/relationships/hyperlink" Target="https://www.ceta.org.co/html/vista_de_un_articulo.asp?Norma=758" TargetMode="External"/><Relationship Id="rId10" Type="http://schemas.openxmlformats.org/officeDocument/2006/relationships/fontTable" Target="fontTable.xml"/><Relationship Id="rId4" Type="http://schemas.openxmlformats.org/officeDocument/2006/relationships/hyperlink" Target="https://www.ceta.org.co/html/vista_de_un_articulo.asp?Norma=755" TargetMode="Externa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1611</Words>
  <Characters>8862</Characters>
  <Application>Microsoft Office Word</Application>
  <DocSecurity>0</DocSecurity>
  <Lines>73</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2023-03-23T22:30:00Z</dcterms:created>
  <dcterms:modified xsi:type="dcterms:W3CDTF">2023-03-23T22:33:00Z</dcterms:modified>
</cp:coreProperties>
</file>