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B1A7" w14:textId="77777777" w:rsidR="005F2D44" w:rsidRPr="005F2D44" w:rsidRDefault="005F2D44" w:rsidP="005F2D44">
      <w:pPr>
        <w:pStyle w:val="NormalWeb"/>
        <w:shd w:val="clear" w:color="auto" w:fill="FFFFFF"/>
        <w:spacing w:before="0" w:beforeAutospacing="0" w:after="150" w:afterAutospacing="0" w:line="360" w:lineRule="auto"/>
        <w:jc w:val="both"/>
        <w:rPr>
          <w:i/>
          <w:iCs/>
        </w:rPr>
      </w:pPr>
    </w:p>
    <w:p w14:paraId="51A0F2C1" w14:textId="77777777" w:rsidR="005F2D44" w:rsidRPr="005F2D44" w:rsidRDefault="005F2D44" w:rsidP="005F2D44">
      <w:pPr>
        <w:shd w:val="clear" w:color="auto" w:fill="FFFFFF"/>
        <w:spacing w:after="150" w:line="360" w:lineRule="auto"/>
        <w:jc w:val="center"/>
        <w:rPr>
          <w:rFonts w:eastAsia="Times New Roman" w:cs="Times New Roman"/>
          <w:kern w:val="0"/>
          <w:szCs w:val="24"/>
          <w:highlight w:val="yellow"/>
          <w:lang w:eastAsia="es-CO"/>
          <w14:ligatures w14:val="none"/>
        </w:rPr>
      </w:pPr>
      <w:r w:rsidRPr="005F2D44">
        <w:rPr>
          <w:rFonts w:eastAsia="Times New Roman" w:cs="Times New Roman"/>
          <w:b/>
          <w:bCs/>
          <w:kern w:val="0"/>
          <w:szCs w:val="24"/>
          <w:highlight w:val="yellow"/>
          <w:lang w:eastAsia="es-CO"/>
          <w14:ligatures w14:val="none"/>
        </w:rPr>
        <w:t xml:space="preserve">OFICIO </w:t>
      </w:r>
      <w:proofErr w:type="spellStart"/>
      <w:r w:rsidRPr="005F2D44">
        <w:rPr>
          <w:rFonts w:eastAsia="Times New Roman" w:cs="Times New Roman"/>
          <w:b/>
          <w:bCs/>
          <w:kern w:val="0"/>
          <w:szCs w:val="24"/>
          <w:highlight w:val="yellow"/>
          <w:lang w:eastAsia="es-CO"/>
          <w14:ligatures w14:val="none"/>
        </w:rPr>
        <w:t>Nº</w:t>
      </w:r>
      <w:proofErr w:type="spellEnd"/>
      <w:r w:rsidRPr="005F2D44">
        <w:rPr>
          <w:rFonts w:eastAsia="Times New Roman" w:cs="Times New Roman"/>
          <w:b/>
          <w:bCs/>
          <w:kern w:val="0"/>
          <w:szCs w:val="24"/>
          <w:highlight w:val="yellow"/>
          <w:lang w:eastAsia="es-CO"/>
          <w14:ligatures w14:val="none"/>
        </w:rPr>
        <w:t xml:space="preserve"> 1452 [908571]</w:t>
      </w:r>
    </w:p>
    <w:p w14:paraId="268DC95B" w14:textId="77777777" w:rsidR="005F2D44" w:rsidRPr="005F2D44" w:rsidRDefault="005F2D44" w:rsidP="005F2D44">
      <w:pPr>
        <w:shd w:val="clear" w:color="auto" w:fill="FFFFFF"/>
        <w:spacing w:after="150" w:line="360" w:lineRule="auto"/>
        <w:jc w:val="center"/>
        <w:rPr>
          <w:rFonts w:eastAsia="Times New Roman" w:cs="Times New Roman"/>
          <w:kern w:val="0"/>
          <w:szCs w:val="24"/>
          <w:highlight w:val="yellow"/>
          <w:lang w:eastAsia="es-CO"/>
          <w14:ligatures w14:val="none"/>
        </w:rPr>
      </w:pPr>
      <w:r w:rsidRPr="005F2D44">
        <w:rPr>
          <w:rFonts w:eastAsia="Times New Roman" w:cs="Times New Roman"/>
          <w:b/>
          <w:bCs/>
          <w:kern w:val="0"/>
          <w:szCs w:val="24"/>
          <w:highlight w:val="yellow"/>
          <w:lang w:eastAsia="es-CO"/>
          <w14:ligatures w14:val="none"/>
        </w:rPr>
        <w:t>24-11-2022</w:t>
      </w:r>
    </w:p>
    <w:p w14:paraId="28726979" w14:textId="77777777" w:rsidR="005F2D44" w:rsidRPr="005F2D44" w:rsidRDefault="005F2D44" w:rsidP="005F2D44">
      <w:pPr>
        <w:shd w:val="clear" w:color="auto" w:fill="FFFFFF"/>
        <w:spacing w:after="150" w:line="360" w:lineRule="auto"/>
        <w:jc w:val="center"/>
        <w:rPr>
          <w:rFonts w:eastAsia="Times New Roman" w:cs="Times New Roman"/>
          <w:kern w:val="0"/>
          <w:szCs w:val="24"/>
          <w:lang w:eastAsia="es-CO"/>
          <w14:ligatures w14:val="none"/>
        </w:rPr>
      </w:pPr>
      <w:r w:rsidRPr="005F2D44">
        <w:rPr>
          <w:rFonts w:eastAsia="Times New Roman" w:cs="Times New Roman"/>
          <w:b/>
          <w:bCs/>
          <w:kern w:val="0"/>
          <w:szCs w:val="24"/>
          <w:highlight w:val="yellow"/>
          <w:lang w:eastAsia="es-CO"/>
          <w14:ligatures w14:val="none"/>
        </w:rPr>
        <w:t>DIAN</w:t>
      </w:r>
    </w:p>
    <w:p w14:paraId="1C92801B" w14:textId="3528C17C"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 </w:t>
      </w:r>
    </w:p>
    <w:p w14:paraId="3B4952FE" w14:textId="7777777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100208192-1452</w:t>
      </w:r>
    </w:p>
    <w:p w14:paraId="0701A32F" w14:textId="7777777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Bogotá, D.C.,</w:t>
      </w:r>
    </w:p>
    <w:p w14:paraId="64DDEB6F" w14:textId="7777777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9"/>
        <w:gridCol w:w="7667"/>
      </w:tblGrid>
      <w:tr w:rsidR="005F2D44" w:rsidRPr="005F2D44" w14:paraId="7851E3FA" w14:textId="77777777" w:rsidTr="005F2D44">
        <w:tc>
          <w:tcPr>
            <w:tcW w:w="0" w:type="auto"/>
            <w:shd w:val="clear" w:color="auto" w:fill="FFFFFF"/>
            <w:tcMar>
              <w:top w:w="0" w:type="dxa"/>
              <w:left w:w="0" w:type="dxa"/>
              <w:bottom w:w="0" w:type="dxa"/>
              <w:right w:w="0" w:type="dxa"/>
            </w:tcMar>
            <w:hideMark/>
          </w:tcPr>
          <w:p w14:paraId="309DE55B" w14:textId="77777777" w:rsidR="005F2D44" w:rsidRPr="005F2D44" w:rsidRDefault="005F2D44" w:rsidP="005F2D44">
            <w:pPr>
              <w:spacing w:after="0" w:line="360" w:lineRule="auto"/>
              <w:jc w:val="both"/>
              <w:rPr>
                <w:rFonts w:eastAsia="Times New Roman" w:cs="Times New Roman"/>
                <w:kern w:val="0"/>
                <w:szCs w:val="24"/>
                <w:lang w:eastAsia="es-CO"/>
                <w14:ligatures w14:val="none"/>
              </w:rPr>
            </w:pPr>
            <w:r w:rsidRPr="005F2D44">
              <w:rPr>
                <w:rFonts w:eastAsia="Times New Roman" w:cs="Times New Roman"/>
                <w:b/>
                <w:bCs/>
                <w:kern w:val="0"/>
                <w:szCs w:val="24"/>
                <w:lang w:eastAsia="es-CO"/>
                <w14:ligatures w14:val="none"/>
              </w:rPr>
              <w:t>Tema:</w:t>
            </w:r>
          </w:p>
        </w:tc>
        <w:tc>
          <w:tcPr>
            <w:tcW w:w="0" w:type="auto"/>
            <w:shd w:val="clear" w:color="auto" w:fill="FFFFFF"/>
            <w:tcMar>
              <w:top w:w="0" w:type="dxa"/>
              <w:left w:w="0" w:type="dxa"/>
              <w:bottom w:w="0" w:type="dxa"/>
              <w:right w:w="0" w:type="dxa"/>
            </w:tcMar>
            <w:hideMark/>
          </w:tcPr>
          <w:p w14:paraId="34749A58" w14:textId="77777777" w:rsidR="005F2D44" w:rsidRPr="005F2D44" w:rsidRDefault="005F2D44" w:rsidP="005F2D44">
            <w:pPr>
              <w:spacing w:after="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Impuesto sobre la renta y complementarios</w:t>
            </w:r>
          </w:p>
        </w:tc>
      </w:tr>
      <w:tr w:rsidR="005F2D44" w:rsidRPr="005F2D44" w14:paraId="63523E3D" w14:textId="77777777" w:rsidTr="005F2D44">
        <w:tc>
          <w:tcPr>
            <w:tcW w:w="0" w:type="auto"/>
            <w:shd w:val="clear" w:color="auto" w:fill="FFFFFF"/>
            <w:tcMar>
              <w:top w:w="0" w:type="dxa"/>
              <w:left w:w="0" w:type="dxa"/>
              <w:bottom w:w="0" w:type="dxa"/>
              <w:right w:w="0" w:type="dxa"/>
            </w:tcMar>
            <w:hideMark/>
          </w:tcPr>
          <w:p w14:paraId="78A3EEFE" w14:textId="77777777" w:rsidR="005F2D44" w:rsidRPr="005F2D44" w:rsidRDefault="005F2D44" w:rsidP="005F2D44">
            <w:pPr>
              <w:spacing w:after="0" w:line="360" w:lineRule="auto"/>
              <w:jc w:val="both"/>
              <w:rPr>
                <w:rFonts w:eastAsia="Times New Roman" w:cs="Times New Roman"/>
                <w:kern w:val="0"/>
                <w:szCs w:val="24"/>
                <w:lang w:eastAsia="es-CO"/>
                <w14:ligatures w14:val="none"/>
              </w:rPr>
            </w:pPr>
            <w:r w:rsidRPr="005F2D44">
              <w:rPr>
                <w:rFonts w:eastAsia="Times New Roman" w:cs="Times New Roman"/>
                <w:b/>
                <w:bCs/>
                <w:kern w:val="0"/>
                <w:szCs w:val="24"/>
                <w:lang w:eastAsia="es-CO"/>
                <w14:ligatures w14:val="none"/>
              </w:rPr>
              <w:t>Descriptores:</w:t>
            </w:r>
          </w:p>
        </w:tc>
        <w:tc>
          <w:tcPr>
            <w:tcW w:w="0" w:type="auto"/>
            <w:shd w:val="clear" w:color="auto" w:fill="FFFFFF"/>
            <w:tcMar>
              <w:top w:w="0" w:type="dxa"/>
              <w:left w:w="0" w:type="dxa"/>
              <w:bottom w:w="0" w:type="dxa"/>
              <w:right w:w="0" w:type="dxa"/>
            </w:tcMar>
            <w:hideMark/>
          </w:tcPr>
          <w:p w14:paraId="44148C2C" w14:textId="77777777" w:rsidR="005F2D44" w:rsidRPr="005F2D44" w:rsidRDefault="005F2D44" w:rsidP="005F2D44">
            <w:pPr>
              <w:spacing w:after="0" w:line="360" w:lineRule="auto"/>
              <w:jc w:val="both"/>
              <w:rPr>
                <w:rFonts w:eastAsia="Times New Roman" w:cs="Times New Roman"/>
                <w:b/>
                <w:bCs/>
                <w:kern w:val="0"/>
                <w:szCs w:val="24"/>
                <w:lang w:eastAsia="es-CO"/>
                <w14:ligatures w14:val="none"/>
              </w:rPr>
            </w:pPr>
            <w:r w:rsidRPr="005F2D44">
              <w:rPr>
                <w:rFonts w:eastAsia="Times New Roman" w:cs="Times New Roman"/>
                <w:b/>
                <w:bCs/>
                <w:kern w:val="0"/>
                <w:szCs w:val="24"/>
                <w:highlight w:val="yellow"/>
                <w:lang w:eastAsia="es-CO"/>
                <w14:ligatures w14:val="none"/>
              </w:rPr>
              <w:t>Medios de pago para efectos de la aceptación de costos, deducciones, pasivos e impuestos descontables</w:t>
            </w:r>
          </w:p>
        </w:tc>
      </w:tr>
      <w:tr w:rsidR="005F2D44" w:rsidRPr="005F2D44" w14:paraId="6E7D6E8B" w14:textId="77777777" w:rsidTr="005F2D44">
        <w:tc>
          <w:tcPr>
            <w:tcW w:w="0" w:type="auto"/>
            <w:shd w:val="clear" w:color="auto" w:fill="FFFFFF"/>
            <w:tcMar>
              <w:top w:w="0" w:type="dxa"/>
              <w:left w:w="0" w:type="dxa"/>
              <w:bottom w:w="0" w:type="dxa"/>
              <w:right w:w="0" w:type="dxa"/>
            </w:tcMar>
            <w:hideMark/>
          </w:tcPr>
          <w:p w14:paraId="652A8439" w14:textId="77777777" w:rsidR="005F2D44" w:rsidRPr="005F2D44" w:rsidRDefault="005F2D44" w:rsidP="005F2D44">
            <w:pPr>
              <w:spacing w:after="0" w:line="360" w:lineRule="auto"/>
              <w:jc w:val="both"/>
              <w:rPr>
                <w:rFonts w:eastAsia="Times New Roman" w:cs="Times New Roman"/>
                <w:kern w:val="0"/>
                <w:szCs w:val="24"/>
                <w:lang w:eastAsia="es-CO"/>
                <w14:ligatures w14:val="none"/>
              </w:rPr>
            </w:pPr>
            <w:r w:rsidRPr="005F2D44">
              <w:rPr>
                <w:rFonts w:eastAsia="Times New Roman" w:cs="Times New Roman"/>
                <w:b/>
                <w:bCs/>
                <w:kern w:val="0"/>
                <w:szCs w:val="24"/>
                <w:lang w:eastAsia="es-CO"/>
                <w14:ligatures w14:val="none"/>
              </w:rPr>
              <w:t>Fuentes formales:</w:t>
            </w:r>
          </w:p>
        </w:tc>
        <w:tc>
          <w:tcPr>
            <w:tcW w:w="0" w:type="auto"/>
            <w:shd w:val="clear" w:color="auto" w:fill="FFFFFF"/>
            <w:tcMar>
              <w:top w:w="0" w:type="dxa"/>
              <w:left w:w="0" w:type="dxa"/>
              <w:bottom w:w="0" w:type="dxa"/>
              <w:right w:w="0" w:type="dxa"/>
            </w:tcMar>
            <w:hideMark/>
          </w:tcPr>
          <w:p w14:paraId="2B1F6549" w14:textId="77777777" w:rsidR="005F2D44" w:rsidRPr="005F2D44" w:rsidRDefault="005F2D44" w:rsidP="005F2D44">
            <w:pPr>
              <w:spacing w:after="0" w:line="360" w:lineRule="auto"/>
              <w:jc w:val="both"/>
              <w:rPr>
                <w:rFonts w:eastAsia="Times New Roman" w:cs="Times New Roman"/>
                <w:kern w:val="0"/>
                <w:szCs w:val="24"/>
                <w:lang w:eastAsia="es-CO"/>
                <w14:ligatures w14:val="none"/>
              </w:rPr>
            </w:pPr>
            <w:r w:rsidRPr="005F2D44">
              <w:rPr>
                <w:rFonts w:eastAsia="Times New Roman" w:cs="Times New Roman"/>
                <w:kern w:val="0"/>
                <w:szCs w:val="24"/>
                <w:u w:val="single"/>
                <w:lang w:eastAsia="es-CO"/>
                <w14:ligatures w14:val="none"/>
              </w:rPr>
              <w:t>Artículo 771-5</w:t>
            </w:r>
            <w:r w:rsidRPr="005F2D44">
              <w:rPr>
                <w:rFonts w:eastAsia="Times New Roman" w:cs="Times New Roman"/>
                <w:kern w:val="0"/>
                <w:szCs w:val="24"/>
                <w:lang w:eastAsia="es-CO"/>
                <w14:ligatures w14:val="none"/>
              </w:rPr>
              <w:t> del Estatuto Tributario</w:t>
            </w:r>
          </w:p>
        </w:tc>
      </w:tr>
    </w:tbl>
    <w:p w14:paraId="5D06C035" w14:textId="7777777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 </w:t>
      </w:r>
    </w:p>
    <w:p w14:paraId="4FDDD198" w14:textId="51D094A9"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Cordial saludo</w:t>
      </w:r>
    </w:p>
    <w:p w14:paraId="29A45861" w14:textId="4C08B5AC"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23A7102" w14:textId="5DF9CE9A"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Mediante el radicado de la referencia, la peticionaria consulta:</w:t>
      </w:r>
    </w:p>
    <w:p w14:paraId="47D4483A" w14:textId="7C407109"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 </w:t>
      </w:r>
      <w:r w:rsidRPr="005F2D44">
        <w:rPr>
          <w:rFonts w:eastAsia="Times New Roman" w:cs="Times New Roman"/>
          <w:i/>
          <w:iCs/>
          <w:kern w:val="0"/>
          <w:szCs w:val="24"/>
          <w:lang w:eastAsia="es-CO"/>
          <w14:ligatures w14:val="none"/>
        </w:rPr>
        <w:t>“1. ¿</w:t>
      </w:r>
      <w:r w:rsidRPr="005F2D44">
        <w:rPr>
          <w:rFonts w:eastAsia="Times New Roman" w:cs="Times New Roman"/>
          <w:i/>
          <w:iCs/>
          <w:kern w:val="0"/>
          <w:szCs w:val="24"/>
          <w:u w:val="single"/>
          <w:lang w:eastAsia="es-CO"/>
          <w14:ligatures w14:val="none"/>
        </w:rPr>
        <w:t>Quiénes deben aplicar la limitante</w:t>
      </w:r>
      <w:r w:rsidRPr="005F2D44">
        <w:rPr>
          <w:rFonts w:eastAsia="Times New Roman" w:cs="Times New Roman"/>
          <w:i/>
          <w:iCs/>
          <w:kern w:val="0"/>
          <w:szCs w:val="24"/>
          <w:lang w:eastAsia="es-CO"/>
          <w14:ligatures w14:val="none"/>
        </w:rPr>
        <w:t> del parágrafo 5 del </w:t>
      </w:r>
      <w:r w:rsidRPr="005F2D44">
        <w:rPr>
          <w:rFonts w:eastAsia="Times New Roman" w:cs="Times New Roman"/>
          <w:i/>
          <w:iCs/>
          <w:kern w:val="0"/>
          <w:szCs w:val="24"/>
          <w:u w:val="single"/>
          <w:lang w:eastAsia="es-CO"/>
          <w14:ligatures w14:val="none"/>
        </w:rPr>
        <w:t>artículo 771-5</w:t>
      </w:r>
      <w:r w:rsidRPr="005F2D44">
        <w:rPr>
          <w:rFonts w:eastAsia="Times New Roman" w:cs="Times New Roman"/>
          <w:i/>
          <w:iCs/>
          <w:kern w:val="0"/>
          <w:szCs w:val="24"/>
          <w:lang w:eastAsia="es-CO"/>
          <w14:ligatures w14:val="none"/>
        </w:rPr>
        <w:t xml:space="preserve"> del E. </w:t>
      </w:r>
      <w:proofErr w:type="gramStart"/>
      <w:r w:rsidRPr="005F2D44">
        <w:rPr>
          <w:rFonts w:eastAsia="Times New Roman" w:cs="Times New Roman"/>
          <w:i/>
          <w:iCs/>
          <w:kern w:val="0"/>
          <w:szCs w:val="24"/>
          <w:lang w:eastAsia="es-CO"/>
          <w14:ligatures w14:val="none"/>
        </w:rPr>
        <w:t>T. ?</w:t>
      </w:r>
      <w:proofErr w:type="gramEnd"/>
    </w:p>
    <w:p w14:paraId="79E376DE" w14:textId="4F3D6439"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 </w:t>
      </w:r>
      <w:r w:rsidRPr="005F2D44">
        <w:rPr>
          <w:rFonts w:eastAsia="Times New Roman" w:cs="Times New Roman"/>
          <w:i/>
          <w:iCs/>
          <w:kern w:val="0"/>
          <w:szCs w:val="24"/>
          <w:lang w:eastAsia="es-CO"/>
          <w14:ligatures w14:val="none"/>
        </w:rPr>
        <w:t>2. ¿Cuándo (sic) la norma hace referencia a las actividades pesqueras y acuícola, que (sic) entiende la DIAN por </w:t>
      </w:r>
      <w:r w:rsidRPr="005F2D44">
        <w:rPr>
          <w:rFonts w:eastAsia="Times New Roman" w:cs="Times New Roman"/>
          <w:i/>
          <w:iCs/>
          <w:kern w:val="0"/>
          <w:szCs w:val="24"/>
          <w:u w:val="single"/>
          <w:lang w:eastAsia="es-CO"/>
          <w14:ligatures w14:val="none"/>
        </w:rPr>
        <w:t>actividad pesquera y acuícola</w:t>
      </w:r>
      <w:r w:rsidRPr="005F2D44">
        <w:rPr>
          <w:rFonts w:eastAsia="Times New Roman" w:cs="Times New Roman"/>
          <w:i/>
          <w:iCs/>
          <w:kern w:val="0"/>
          <w:szCs w:val="24"/>
          <w:lang w:eastAsia="es-CO"/>
          <w14:ligatures w14:val="none"/>
        </w:rPr>
        <w:t>?</w:t>
      </w:r>
    </w:p>
    <w:p w14:paraId="265418D0" w14:textId="7777777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 </w:t>
      </w:r>
    </w:p>
    <w:p w14:paraId="0348A847" w14:textId="7777777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i/>
          <w:iCs/>
          <w:kern w:val="0"/>
          <w:szCs w:val="24"/>
          <w:lang w:eastAsia="es-CO"/>
          <w14:ligatures w14:val="none"/>
        </w:rPr>
        <w:t>3. Las empresas que se dedican en su desarrollo del objeto social a la actividad mixta de </w:t>
      </w:r>
      <w:r w:rsidRPr="005F2D44">
        <w:rPr>
          <w:rFonts w:eastAsia="Times New Roman" w:cs="Times New Roman"/>
          <w:i/>
          <w:iCs/>
          <w:kern w:val="0"/>
          <w:szCs w:val="24"/>
          <w:u w:val="single"/>
          <w:lang w:eastAsia="es-CO"/>
          <w14:ligatures w14:val="none"/>
        </w:rPr>
        <w:t>producción y comercialización</w:t>
      </w:r>
      <w:r w:rsidRPr="005F2D44">
        <w:rPr>
          <w:rFonts w:eastAsia="Times New Roman" w:cs="Times New Roman"/>
          <w:i/>
          <w:iCs/>
          <w:kern w:val="0"/>
          <w:szCs w:val="24"/>
          <w:lang w:eastAsia="es-CO"/>
          <w14:ligatures w14:val="none"/>
        </w:rPr>
        <w:t> de pescados y mariscos deben limitar sus pagos en efectivo de conformidad con lo establecido en el parágrafo 5 del </w:t>
      </w:r>
      <w:r w:rsidRPr="005F2D44">
        <w:rPr>
          <w:rFonts w:eastAsia="Times New Roman" w:cs="Times New Roman"/>
          <w:i/>
          <w:iCs/>
          <w:kern w:val="0"/>
          <w:szCs w:val="24"/>
          <w:u w:val="single"/>
          <w:lang w:eastAsia="es-CO"/>
          <w14:ligatures w14:val="none"/>
        </w:rPr>
        <w:t>artículo 771-5</w:t>
      </w:r>
      <w:r w:rsidRPr="005F2D44">
        <w:rPr>
          <w:rFonts w:eastAsia="Times New Roman" w:cs="Times New Roman"/>
          <w:i/>
          <w:iCs/>
          <w:kern w:val="0"/>
          <w:szCs w:val="24"/>
          <w:lang w:eastAsia="es-CO"/>
          <w14:ligatures w14:val="none"/>
        </w:rPr>
        <w:t> del E.T.?</w:t>
      </w:r>
    </w:p>
    <w:p w14:paraId="770EA894" w14:textId="013AC596"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 </w:t>
      </w:r>
      <w:r w:rsidRPr="005F2D44">
        <w:rPr>
          <w:rFonts w:eastAsia="Times New Roman" w:cs="Times New Roman"/>
          <w:i/>
          <w:iCs/>
          <w:kern w:val="0"/>
          <w:szCs w:val="24"/>
          <w:lang w:eastAsia="es-CO"/>
          <w14:ligatures w14:val="none"/>
        </w:rPr>
        <w:t>4. Si la actividad a desarrollar según el objeto social de la empresa es </w:t>
      </w:r>
      <w:r w:rsidRPr="005F2D44">
        <w:rPr>
          <w:rFonts w:eastAsia="Times New Roman" w:cs="Times New Roman"/>
          <w:i/>
          <w:iCs/>
          <w:kern w:val="0"/>
          <w:szCs w:val="24"/>
          <w:u w:val="single"/>
          <w:lang w:eastAsia="es-CO"/>
          <w14:ligatures w14:val="none"/>
        </w:rPr>
        <w:t>únicamente la comercialización</w:t>
      </w:r>
      <w:r w:rsidRPr="005F2D44">
        <w:rPr>
          <w:rFonts w:eastAsia="Times New Roman" w:cs="Times New Roman"/>
          <w:i/>
          <w:iCs/>
          <w:kern w:val="0"/>
          <w:szCs w:val="24"/>
          <w:lang w:eastAsia="es-CO"/>
          <w14:ligatures w14:val="none"/>
        </w:rPr>
        <w:t> de pescado y mariscos (...) debe aplicar la limitante del parágrafo 5 del </w:t>
      </w:r>
      <w:r w:rsidRPr="005F2D44">
        <w:rPr>
          <w:rFonts w:eastAsia="Times New Roman" w:cs="Times New Roman"/>
          <w:i/>
          <w:iCs/>
          <w:kern w:val="0"/>
          <w:szCs w:val="24"/>
          <w:u w:val="single"/>
          <w:lang w:eastAsia="es-CO"/>
          <w14:ligatures w14:val="none"/>
        </w:rPr>
        <w:t>artículo 771-5</w:t>
      </w:r>
      <w:r w:rsidRPr="005F2D44">
        <w:rPr>
          <w:rFonts w:eastAsia="Times New Roman" w:cs="Times New Roman"/>
          <w:i/>
          <w:iCs/>
          <w:kern w:val="0"/>
          <w:szCs w:val="24"/>
          <w:lang w:eastAsia="es-CO"/>
          <w14:ligatures w14:val="none"/>
        </w:rPr>
        <w:t> del E.T. o la limitante del parágrafo 1 del </w:t>
      </w:r>
      <w:r w:rsidRPr="005F2D44">
        <w:rPr>
          <w:rFonts w:eastAsia="Times New Roman" w:cs="Times New Roman"/>
          <w:i/>
          <w:iCs/>
          <w:kern w:val="0"/>
          <w:szCs w:val="24"/>
          <w:u w:val="single"/>
          <w:lang w:eastAsia="es-CO"/>
          <w14:ligatures w14:val="none"/>
        </w:rPr>
        <w:t>artículo 771-5</w:t>
      </w:r>
      <w:r w:rsidRPr="005F2D44">
        <w:rPr>
          <w:rFonts w:eastAsia="Times New Roman" w:cs="Times New Roman"/>
          <w:i/>
          <w:iCs/>
          <w:kern w:val="0"/>
          <w:szCs w:val="24"/>
          <w:lang w:eastAsia="es-CO"/>
          <w14:ligatures w14:val="none"/>
        </w:rPr>
        <w:t> del E.T.?</w:t>
      </w:r>
    </w:p>
    <w:p w14:paraId="51909B1A" w14:textId="46BACE07" w:rsidR="005F2D44" w:rsidRPr="005F2D44" w:rsidRDefault="005F2D44" w:rsidP="005F2D44">
      <w:pPr>
        <w:shd w:val="clear" w:color="auto" w:fill="FFFFFF"/>
        <w:spacing w:after="150" w:line="360" w:lineRule="auto"/>
        <w:jc w:val="both"/>
        <w:rPr>
          <w:rFonts w:eastAsia="Times New Roman" w:cs="Times New Roman"/>
          <w:b/>
          <w:bCs/>
          <w:kern w:val="0"/>
          <w:sz w:val="32"/>
          <w:szCs w:val="32"/>
          <w:lang w:eastAsia="es-CO"/>
          <w14:ligatures w14:val="none"/>
        </w:rPr>
      </w:pPr>
      <w:r w:rsidRPr="005F2D44">
        <w:rPr>
          <w:rFonts w:eastAsia="Times New Roman" w:cs="Times New Roman"/>
          <w:b/>
          <w:bCs/>
          <w:kern w:val="0"/>
          <w:sz w:val="32"/>
          <w:szCs w:val="32"/>
          <w:lang w:eastAsia="es-CO"/>
          <w14:ligatures w14:val="none"/>
        </w:rPr>
        <w:lastRenderedPageBreak/>
        <w:t> </w:t>
      </w:r>
      <w:r w:rsidRPr="005F2D44">
        <w:rPr>
          <w:rFonts w:eastAsia="Times New Roman" w:cs="Times New Roman"/>
          <w:b/>
          <w:bCs/>
          <w:i/>
          <w:iCs/>
          <w:kern w:val="0"/>
          <w:sz w:val="32"/>
          <w:szCs w:val="32"/>
          <w:highlight w:val="yellow"/>
          <w:lang w:eastAsia="es-CO"/>
          <w14:ligatures w14:val="none"/>
        </w:rPr>
        <w:t>5. </w:t>
      </w:r>
      <w:r w:rsidRPr="005F2D44">
        <w:rPr>
          <w:rFonts w:eastAsia="Times New Roman" w:cs="Times New Roman"/>
          <w:b/>
          <w:bCs/>
          <w:i/>
          <w:iCs/>
          <w:kern w:val="0"/>
          <w:sz w:val="32"/>
          <w:szCs w:val="32"/>
          <w:highlight w:val="yellow"/>
          <w:u w:val="single"/>
          <w:lang w:eastAsia="es-CO"/>
          <w14:ligatures w14:val="none"/>
        </w:rPr>
        <w:t>Los pagos individuales realizados a personas jurídicas y/o naturales que superen las 100 UVT,</w:t>
      </w:r>
      <w:r w:rsidRPr="005F2D44">
        <w:rPr>
          <w:rFonts w:eastAsia="Times New Roman" w:cs="Times New Roman"/>
          <w:b/>
          <w:bCs/>
          <w:i/>
          <w:iCs/>
          <w:kern w:val="0"/>
          <w:sz w:val="32"/>
          <w:szCs w:val="32"/>
          <w:highlight w:val="yellow"/>
          <w:lang w:eastAsia="es-CO"/>
          <w14:ligatures w14:val="none"/>
        </w:rPr>
        <w:t> de conformidad con lo establecido en el parágrafo 2 del </w:t>
      </w:r>
      <w:r w:rsidRPr="005F2D44">
        <w:rPr>
          <w:rFonts w:eastAsia="Times New Roman" w:cs="Times New Roman"/>
          <w:b/>
          <w:bCs/>
          <w:i/>
          <w:iCs/>
          <w:kern w:val="0"/>
          <w:sz w:val="32"/>
          <w:szCs w:val="32"/>
          <w:highlight w:val="yellow"/>
          <w:u w:val="single"/>
          <w:lang w:eastAsia="es-CO"/>
          <w14:ligatures w14:val="none"/>
        </w:rPr>
        <w:t>artículo 771-5</w:t>
      </w:r>
      <w:r w:rsidRPr="005F2D44">
        <w:rPr>
          <w:rFonts w:eastAsia="Times New Roman" w:cs="Times New Roman"/>
          <w:b/>
          <w:bCs/>
          <w:i/>
          <w:iCs/>
          <w:kern w:val="0"/>
          <w:sz w:val="32"/>
          <w:szCs w:val="32"/>
          <w:highlight w:val="yellow"/>
          <w:lang w:eastAsia="es-CO"/>
          <w14:ligatures w14:val="none"/>
        </w:rPr>
        <w:t xml:space="preserve"> del E.T., </w:t>
      </w:r>
      <w:r w:rsidRPr="005F2D44">
        <w:rPr>
          <w:rFonts w:eastAsia="Times New Roman" w:cs="Times New Roman"/>
          <w:b/>
          <w:bCs/>
          <w:i/>
          <w:iCs/>
          <w:kern w:val="0"/>
          <w:sz w:val="32"/>
          <w:szCs w:val="32"/>
          <w:highlight w:val="cyan"/>
          <w:lang w:eastAsia="es-CO"/>
          <w14:ligatures w14:val="none"/>
        </w:rPr>
        <w:t>deben tenerlo en cuenta también los contribuyentes que aplican limitante de pagos en efectivo de conformidad con lo establecido en el parágrafo 5 del citado artículo?”</w:t>
      </w:r>
      <w:r w:rsidRPr="005F2D44">
        <w:rPr>
          <w:rFonts w:eastAsia="Times New Roman" w:cs="Times New Roman"/>
          <w:b/>
          <w:bCs/>
          <w:kern w:val="0"/>
          <w:sz w:val="32"/>
          <w:szCs w:val="32"/>
          <w:highlight w:val="cyan"/>
          <w:lang w:eastAsia="es-CO"/>
          <w14:ligatures w14:val="none"/>
        </w:rPr>
        <w:t> (subrayado fuera de texto)</w:t>
      </w:r>
    </w:p>
    <w:p w14:paraId="339B1A0D" w14:textId="7777777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 </w:t>
      </w:r>
    </w:p>
    <w:p w14:paraId="604323E3" w14:textId="7777777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Sobre el particular, las consideraciones de este Despacho son las siguientes:</w:t>
      </w:r>
    </w:p>
    <w:p w14:paraId="3355BADD" w14:textId="094EDCB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 El </w:t>
      </w:r>
      <w:r w:rsidRPr="005F2D44">
        <w:rPr>
          <w:rFonts w:eastAsia="Times New Roman" w:cs="Times New Roman"/>
          <w:kern w:val="0"/>
          <w:szCs w:val="24"/>
          <w:u w:val="single"/>
          <w:lang w:eastAsia="es-CO"/>
          <w14:ligatures w14:val="none"/>
        </w:rPr>
        <w:t>artículo 771-5</w:t>
      </w:r>
      <w:r w:rsidRPr="005F2D44">
        <w:rPr>
          <w:rFonts w:eastAsia="Times New Roman" w:cs="Times New Roman"/>
          <w:kern w:val="0"/>
          <w:szCs w:val="24"/>
          <w:lang w:eastAsia="es-CO"/>
          <w14:ligatures w14:val="none"/>
        </w:rPr>
        <w:t> del Estatuto Tributario prevé en su parágrafo 5:</w:t>
      </w:r>
    </w:p>
    <w:p w14:paraId="453995B3" w14:textId="4CA9C3A5" w:rsidR="005F2D44" w:rsidRPr="005F2D44" w:rsidRDefault="005F2D44" w:rsidP="005F2D44">
      <w:pPr>
        <w:shd w:val="clear" w:color="auto" w:fill="FFFFFF"/>
        <w:spacing w:after="150" w:line="360" w:lineRule="auto"/>
        <w:jc w:val="both"/>
        <w:rPr>
          <w:rFonts w:eastAsia="Times New Roman" w:cs="Times New Roman"/>
          <w:kern w:val="0"/>
          <w:sz w:val="28"/>
          <w:szCs w:val="28"/>
          <w:lang w:eastAsia="es-CO"/>
          <w14:ligatures w14:val="none"/>
        </w:rPr>
      </w:pPr>
      <w:r w:rsidRPr="005F2D44">
        <w:rPr>
          <w:rFonts w:eastAsia="Times New Roman" w:cs="Times New Roman"/>
          <w:b/>
          <w:bCs/>
          <w:i/>
          <w:iCs/>
          <w:kern w:val="0"/>
          <w:sz w:val="28"/>
          <w:szCs w:val="28"/>
          <w:highlight w:val="cyan"/>
          <w:lang w:eastAsia="es-CO"/>
          <w14:ligatures w14:val="none"/>
        </w:rPr>
        <w:t>PARÁGRAFO 5o.</w:t>
      </w:r>
      <w:r w:rsidRPr="005F2D44">
        <w:rPr>
          <w:rFonts w:eastAsia="Times New Roman" w:cs="Times New Roman"/>
          <w:i/>
          <w:iCs/>
          <w:kern w:val="0"/>
          <w:sz w:val="28"/>
          <w:szCs w:val="28"/>
          <w:highlight w:val="cyan"/>
          <w:lang w:eastAsia="es-CO"/>
          <w14:ligatures w14:val="none"/>
        </w:rPr>
        <w:t> Tratándose de los </w:t>
      </w:r>
      <w:r w:rsidRPr="005F2D44">
        <w:rPr>
          <w:rFonts w:eastAsia="Times New Roman" w:cs="Times New Roman"/>
          <w:i/>
          <w:iCs/>
          <w:kern w:val="0"/>
          <w:sz w:val="28"/>
          <w:szCs w:val="28"/>
          <w:highlight w:val="cyan"/>
          <w:u w:val="single"/>
          <w:lang w:eastAsia="es-CO"/>
          <w14:ligatures w14:val="none"/>
        </w:rPr>
        <w:t>pagos en efectivo</w:t>
      </w:r>
      <w:r w:rsidRPr="005F2D44">
        <w:rPr>
          <w:rFonts w:eastAsia="Times New Roman" w:cs="Times New Roman"/>
          <w:i/>
          <w:iCs/>
          <w:kern w:val="0"/>
          <w:sz w:val="28"/>
          <w:szCs w:val="28"/>
          <w:highlight w:val="cyan"/>
          <w:lang w:eastAsia="es-CO"/>
          <w14:ligatures w14:val="none"/>
        </w:rPr>
        <w:t> que efectúen los contribuyentes o responsables </w:t>
      </w:r>
      <w:r w:rsidRPr="005F2D44">
        <w:rPr>
          <w:rFonts w:eastAsia="Times New Roman" w:cs="Times New Roman"/>
          <w:i/>
          <w:iCs/>
          <w:kern w:val="0"/>
          <w:sz w:val="28"/>
          <w:szCs w:val="28"/>
          <w:highlight w:val="cyan"/>
          <w:u w:val="single"/>
          <w:lang w:eastAsia="es-CO"/>
          <w14:ligatures w14:val="none"/>
        </w:rPr>
        <w:t>pertenecientes al sector agropecuario, de las actividades agrícola, ganadera, pesquera, acuícola, avícola y forestal,</w:t>
      </w:r>
      <w:r w:rsidRPr="005F2D44">
        <w:rPr>
          <w:rFonts w:eastAsia="Times New Roman" w:cs="Times New Roman"/>
          <w:i/>
          <w:iCs/>
          <w:kern w:val="0"/>
          <w:sz w:val="28"/>
          <w:szCs w:val="28"/>
          <w:highlight w:val="cyan"/>
          <w:lang w:eastAsia="es-CO"/>
          <w14:ligatures w14:val="none"/>
        </w:rPr>
        <w:t> así como los comercializadores del régimen SIMPLE y las cooperativas y asociaciones de productores del sector agrícola que comercialicen productos adquiridos directamente al productor, podrán tener </w:t>
      </w:r>
      <w:r w:rsidRPr="005F2D44">
        <w:rPr>
          <w:rFonts w:eastAsia="Times New Roman" w:cs="Times New Roman"/>
          <w:i/>
          <w:iCs/>
          <w:kern w:val="0"/>
          <w:sz w:val="28"/>
          <w:szCs w:val="28"/>
          <w:highlight w:val="cyan"/>
          <w:u w:val="single"/>
          <w:lang w:eastAsia="es-CO"/>
          <w14:ligatures w14:val="none"/>
        </w:rPr>
        <w:t>reconocimiento fiscal</w:t>
      </w:r>
      <w:r w:rsidRPr="005F2D44">
        <w:rPr>
          <w:rFonts w:eastAsia="Times New Roman" w:cs="Times New Roman"/>
          <w:i/>
          <w:iCs/>
          <w:kern w:val="0"/>
          <w:sz w:val="28"/>
          <w:szCs w:val="28"/>
          <w:highlight w:val="cyan"/>
          <w:lang w:eastAsia="es-CO"/>
          <w14:ligatures w14:val="none"/>
        </w:rPr>
        <w:t> dichos pagos como costos, deducciones, pasivos o impuestos descontables, </w:t>
      </w:r>
      <w:r w:rsidRPr="005F2D44">
        <w:rPr>
          <w:rFonts w:eastAsia="Times New Roman" w:cs="Times New Roman"/>
          <w:i/>
          <w:iCs/>
          <w:kern w:val="0"/>
          <w:sz w:val="28"/>
          <w:szCs w:val="28"/>
          <w:highlight w:val="cyan"/>
          <w:u w:val="single"/>
          <w:lang w:eastAsia="es-CO"/>
          <w14:ligatures w14:val="none"/>
        </w:rPr>
        <w:t>independientemente del número de pagos</w:t>
      </w:r>
      <w:r w:rsidRPr="005F2D44">
        <w:rPr>
          <w:rFonts w:eastAsia="Times New Roman" w:cs="Times New Roman"/>
          <w:i/>
          <w:iCs/>
          <w:kern w:val="0"/>
          <w:sz w:val="28"/>
          <w:szCs w:val="28"/>
          <w:highlight w:val="cyan"/>
          <w:lang w:eastAsia="es-CO"/>
          <w14:ligatures w14:val="none"/>
        </w:rPr>
        <w:t> que se realicen durante el año, así:</w:t>
      </w:r>
    </w:p>
    <w:p w14:paraId="643CB07B" w14:textId="5623FC92" w:rsidR="005F2D44" w:rsidRPr="005F2D44" w:rsidRDefault="005F2D44" w:rsidP="005F2D44">
      <w:pPr>
        <w:numPr>
          <w:ilvl w:val="0"/>
          <w:numId w:val="4"/>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5F2D44">
        <w:rPr>
          <w:rFonts w:eastAsia="Times New Roman" w:cs="Times New Roman"/>
          <w:i/>
          <w:iCs/>
          <w:kern w:val="0"/>
          <w:szCs w:val="24"/>
          <w:lang w:eastAsia="es-CO"/>
          <w14:ligatures w14:val="none"/>
        </w:rPr>
        <w:t>En el año 2020, el ochenta y cinco por ciento (85%) de los costos, deducciones, pasivos o impuestos descontables totales.</w:t>
      </w:r>
    </w:p>
    <w:p w14:paraId="7141DF1C" w14:textId="3E555779" w:rsidR="005F2D44" w:rsidRPr="005F2D44" w:rsidRDefault="005F2D44" w:rsidP="005F2D44">
      <w:pPr>
        <w:numPr>
          <w:ilvl w:val="0"/>
          <w:numId w:val="5"/>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5F2D44">
        <w:rPr>
          <w:rFonts w:eastAsia="Times New Roman" w:cs="Times New Roman"/>
          <w:i/>
          <w:iCs/>
          <w:kern w:val="0"/>
          <w:szCs w:val="24"/>
          <w:lang w:eastAsia="es-CO"/>
          <w14:ligatures w14:val="none"/>
        </w:rPr>
        <w:t>En el año 2021, el setenta y cinco por ciento (75%) de los costos, deducciones, pasivos o impuestos descontables totales.</w:t>
      </w:r>
    </w:p>
    <w:p w14:paraId="0719209F" w14:textId="77777777" w:rsidR="005F2D44" w:rsidRPr="005F2D44" w:rsidRDefault="005F2D44" w:rsidP="005F2D44">
      <w:pPr>
        <w:numPr>
          <w:ilvl w:val="0"/>
          <w:numId w:val="6"/>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5F2D44">
        <w:rPr>
          <w:rFonts w:eastAsia="Times New Roman" w:cs="Times New Roman"/>
          <w:i/>
          <w:iCs/>
          <w:kern w:val="0"/>
          <w:szCs w:val="24"/>
          <w:lang w:eastAsia="es-CO"/>
          <w14:ligatures w14:val="none"/>
        </w:rPr>
        <w:t>A partir del año 2022, el setenta (70%) de los costos, deducciones, pasivos o impuestos descontables totales.”</w:t>
      </w:r>
      <w:r w:rsidRPr="005F2D44">
        <w:rPr>
          <w:rFonts w:eastAsia="Times New Roman" w:cs="Times New Roman"/>
          <w:kern w:val="0"/>
          <w:szCs w:val="24"/>
          <w:lang w:eastAsia="es-CO"/>
          <w14:ligatures w14:val="none"/>
        </w:rPr>
        <w:t> (subrayado fuera de texto)</w:t>
      </w:r>
    </w:p>
    <w:p w14:paraId="6A053985" w14:textId="7777777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 </w:t>
      </w:r>
    </w:p>
    <w:p w14:paraId="657C8146" w14:textId="7777777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Del parágrafo antes reseñado queda claro que la limitación sobre los pagos en efectivo de que trata el mismo es aplicable, entre otros, a los contribuyentes o responsables que pertenezcan al </w:t>
      </w:r>
      <w:r w:rsidRPr="005F2D44">
        <w:rPr>
          <w:rFonts w:eastAsia="Times New Roman" w:cs="Times New Roman"/>
          <w:i/>
          <w:iCs/>
          <w:kern w:val="0"/>
          <w:szCs w:val="24"/>
          <w:lang w:eastAsia="es-CO"/>
          <w14:ligatures w14:val="none"/>
        </w:rPr>
        <w:t>“al sector agropecuario, de las actividades agrícola, ganadera, pesquera, acuícola, avícola y forestal”</w:t>
      </w:r>
      <w:r w:rsidRPr="005F2D44">
        <w:rPr>
          <w:rFonts w:eastAsia="Times New Roman" w:cs="Times New Roman"/>
          <w:kern w:val="0"/>
          <w:szCs w:val="24"/>
          <w:lang w:eastAsia="es-CO"/>
          <w14:ligatures w14:val="none"/>
        </w:rPr>
        <w:t>.</w:t>
      </w:r>
    </w:p>
    <w:p w14:paraId="46F21944" w14:textId="68A8F043"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Ahora bien, en cuanto a la definición de las actividades agrícola, ganadera, pesquera, acuícola, avícola y forestal, y si las mismas comprenden la producción y la comercialización, se sugiere elevar consulta al Ministerio de Agricultura y Desarrollo Rural.</w:t>
      </w:r>
    </w:p>
    <w:p w14:paraId="76DFD9A5" w14:textId="53F3369D" w:rsidR="005F2D44" w:rsidRPr="005F2D44" w:rsidRDefault="005F2D44" w:rsidP="005F2D44">
      <w:pPr>
        <w:shd w:val="clear" w:color="auto" w:fill="FFFFFF"/>
        <w:spacing w:after="150" w:line="360" w:lineRule="auto"/>
        <w:jc w:val="both"/>
        <w:rPr>
          <w:rFonts w:eastAsia="Times New Roman" w:cs="Times New Roman"/>
          <w:kern w:val="0"/>
          <w:sz w:val="32"/>
          <w:szCs w:val="32"/>
          <w:highlight w:val="yellow"/>
          <w:lang w:eastAsia="es-CO"/>
          <w14:ligatures w14:val="none"/>
        </w:rPr>
      </w:pPr>
      <w:r w:rsidRPr="005F2D44">
        <w:rPr>
          <w:rFonts w:eastAsia="Times New Roman" w:cs="Times New Roman"/>
          <w:kern w:val="0"/>
          <w:sz w:val="32"/>
          <w:szCs w:val="32"/>
          <w:highlight w:val="yellow"/>
          <w:lang w:eastAsia="es-CO"/>
          <w14:ligatures w14:val="none"/>
        </w:rPr>
        <w:lastRenderedPageBreak/>
        <w:t>Por último, es preciso considerar el contenido del parágrafo 2° del </w:t>
      </w:r>
      <w:r w:rsidRPr="005F2D44">
        <w:rPr>
          <w:rFonts w:eastAsia="Times New Roman" w:cs="Times New Roman"/>
          <w:kern w:val="0"/>
          <w:sz w:val="32"/>
          <w:szCs w:val="32"/>
          <w:highlight w:val="yellow"/>
          <w:u w:val="single"/>
          <w:lang w:eastAsia="es-CO"/>
          <w14:ligatures w14:val="none"/>
        </w:rPr>
        <w:t>artículo 771-5</w:t>
      </w:r>
      <w:r w:rsidRPr="005F2D44">
        <w:rPr>
          <w:rFonts w:eastAsia="Times New Roman" w:cs="Times New Roman"/>
          <w:kern w:val="0"/>
          <w:sz w:val="32"/>
          <w:szCs w:val="32"/>
          <w:highlight w:val="yellow"/>
          <w:lang w:eastAsia="es-CO"/>
          <w14:ligatures w14:val="none"/>
        </w:rPr>
        <w:t> </w:t>
      </w:r>
      <w:r w:rsidRPr="005F2D44">
        <w:rPr>
          <w:rFonts w:eastAsia="Times New Roman" w:cs="Times New Roman"/>
          <w:i/>
          <w:iCs/>
          <w:kern w:val="0"/>
          <w:sz w:val="32"/>
          <w:szCs w:val="32"/>
          <w:highlight w:val="yellow"/>
          <w:lang w:eastAsia="es-CO"/>
          <w14:ligatures w14:val="none"/>
        </w:rPr>
        <w:t>ibidem</w:t>
      </w:r>
      <w:r w:rsidRPr="005F2D44">
        <w:rPr>
          <w:rFonts w:eastAsia="Times New Roman" w:cs="Times New Roman"/>
          <w:kern w:val="0"/>
          <w:sz w:val="32"/>
          <w:szCs w:val="32"/>
          <w:highlight w:val="yellow"/>
          <w:lang w:eastAsia="es-CO"/>
          <w14:ligatures w14:val="none"/>
        </w:rPr>
        <w:t> el cual reza:</w:t>
      </w:r>
    </w:p>
    <w:p w14:paraId="11E909BA" w14:textId="247DBAC0" w:rsidR="005F2D44" w:rsidRPr="005F2D44" w:rsidRDefault="005F2D44" w:rsidP="005F2D44">
      <w:pPr>
        <w:shd w:val="clear" w:color="auto" w:fill="FFFFFF"/>
        <w:spacing w:after="150" w:line="360" w:lineRule="auto"/>
        <w:jc w:val="both"/>
        <w:rPr>
          <w:rFonts w:eastAsia="Times New Roman" w:cs="Times New Roman"/>
          <w:kern w:val="0"/>
          <w:sz w:val="32"/>
          <w:szCs w:val="32"/>
          <w:lang w:eastAsia="es-CO"/>
          <w14:ligatures w14:val="none"/>
        </w:rPr>
      </w:pPr>
      <w:r w:rsidRPr="005F2D44">
        <w:rPr>
          <w:rFonts w:eastAsia="Times New Roman" w:cs="Times New Roman"/>
          <w:i/>
          <w:iCs/>
          <w:kern w:val="0"/>
          <w:sz w:val="32"/>
          <w:szCs w:val="32"/>
          <w:highlight w:val="yellow"/>
          <w:lang w:eastAsia="es-CO"/>
          <w14:ligatures w14:val="none"/>
        </w:rPr>
        <w:t>“</w:t>
      </w:r>
      <w:r w:rsidRPr="005F2D44">
        <w:rPr>
          <w:rFonts w:eastAsia="Times New Roman" w:cs="Times New Roman"/>
          <w:b/>
          <w:bCs/>
          <w:i/>
          <w:iCs/>
          <w:kern w:val="0"/>
          <w:sz w:val="32"/>
          <w:szCs w:val="32"/>
          <w:highlight w:val="yellow"/>
          <w:lang w:eastAsia="es-CO"/>
          <w14:ligatures w14:val="none"/>
        </w:rPr>
        <w:t>PARÁGRAFO 2o.</w:t>
      </w:r>
      <w:r w:rsidRPr="005F2D44">
        <w:rPr>
          <w:rFonts w:eastAsia="Times New Roman" w:cs="Times New Roman"/>
          <w:i/>
          <w:iCs/>
          <w:kern w:val="0"/>
          <w:sz w:val="32"/>
          <w:szCs w:val="32"/>
          <w:highlight w:val="yellow"/>
          <w:lang w:eastAsia="es-CO"/>
          <w14:ligatures w14:val="none"/>
        </w:rPr>
        <w:t> &lt;Parágrafo modificado por el artículo 307 de la Ley 1819 de 2016. El nuevo texto es el siguiente:&gt; </w:t>
      </w:r>
      <w:r w:rsidRPr="005F2D44">
        <w:rPr>
          <w:rFonts w:eastAsia="Times New Roman" w:cs="Times New Roman"/>
          <w:i/>
          <w:iCs/>
          <w:kern w:val="0"/>
          <w:sz w:val="32"/>
          <w:szCs w:val="32"/>
          <w:highlight w:val="yellow"/>
          <w:u w:val="single"/>
          <w:lang w:eastAsia="es-CO"/>
          <w14:ligatures w14:val="none"/>
        </w:rPr>
        <w:t>En todo caso, los pagos individuales</w:t>
      </w:r>
      <w:r w:rsidRPr="005F2D44">
        <w:rPr>
          <w:rFonts w:eastAsia="Times New Roman" w:cs="Times New Roman"/>
          <w:i/>
          <w:iCs/>
          <w:kern w:val="0"/>
          <w:sz w:val="32"/>
          <w:szCs w:val="32"/>
          <w:highlight w:val="yellow"/>
          <w:lang w:eastAsia="es-CO"/>
          <w14:ligatures w14:val="none"/>
        </w:rPr>
        <w:t xml:space="preserve"> realizados por personas jurídicas y las personas naturales que perciban rentas no laborales </w:t>
      </w:r>
      <w:proofErr w:type="gramStart"/>
      <w:r w:rsidRPr="005F2D44">
        <w:rPr>
          <w:rFonts w:eastAsia="Times New Roman" w:cs="Times New Roman"/>
          <w:i/>
          <w:iCs/>
          <w:kern w:val="0"/>
          <w:sz w:val="32"/>
          <w:szCs w:val="32"/>
          <w:highlight w:val="yellow"/>
          <w:lang w:eastAsia="es-CO"/>
          <w14:ligatures w14:val="none"/>
        </w:rPr>
        <w:t>de acuerdo a</w:t>
      </w:r>
      <w:proofErr w:type="gramEnd"/>
      <w:r w:rsidRPr="005F2D44">
        <w:rPr>
          <w:rFonts w:eastAsia="Times New Roman" w:cs="Times New Roman"/>
          <w:i/>
          <w:iCs/>
          <w:kern w:val="0"/>
          <w:sz w:val="32"/>
          <w:szCs w:val="32"/>
          <w:highlight w:val="yellow"/>
          <w:lang w:eastAsia="es-CO"/>
          <w14:ligatures w14:val="none"/>
        </w:rPr>
        <w:t xml:space="preserve"> lo dispuesto en este Estatuto, </w:t>
      </w:r>
      <w:r w:rsidRPr="005F2D44">
        <w:rPr>
          <w:rFonts w:eastAsia="Times New Roman" w:cs="Times New Roman"/>
          <w:i/>
          <w:iCs/>
          <w:kern w:val="0"/>
          <w:sz w:val="32"/>
          <w:szCs w:val="32"/>
          <w:highlight w:val="yellow"/>
          <w:u w:val="single"/>
          <w:lang w:eastAsia="es-CO"/>
          <w14:ligatures w14:val="none"/>
        </w:rPr>
        <w:t>que superen las cien (100) UVT deberán canalizarse a través de los medios financieros,</w:t>
      </w:r>
      <w:r w:rsidRPr="005F2D44">
        <w:rPr>
          <w:rFonts w:eastAsia="Times New Roman" w:cs="Times New Roman"/>
          <w:i/>
          <w:iCs/>
          <w:kern w:val="0"/>
          <w:sz w:val="32"/>
          <w:szCs w:val="32"/>
          <w:highlight w:val="yellow"/>
          <w:lang w:eastAsia="es-CO"/>
          <w14:ligatures w14:val="none"/>
        </w:rPr>
        <w:t> so pena de su desconocimiento fiscal como costo, deducción, pasivo o impuesto descontable en la cédula correspondiente a las rentas no laborales.” </w:t>
      </w:r>
      <w:r w:rsidRPr="005F2D44">
        <w:rPr>
          <w:rFonts w:eastAsia="Times New Roman" w:cs="Times New Roman"/>
          <w:kern w:val="0"/>
          <w:sz w:val="32"/>
          <w:szCs w:val="32"/>
          <w:highlight w:val="yellow"/>
          <w:lang w:eastAsia="es-CO"/>
          <w14:ligatures w14:val="none"/>
        </w:rPr>
        <w:t>(subrayado fuera de texto)</w:t>
      </w:r>
    </w:p>
    <w:p w14:paraId="3426D054" w14:textId="77777777" w:rsidR="005F2D44" w:rsidRPr="005F2D44" w:rsidRDefault="005F2D44" w:rsidP="005F2D44">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 </w:t>
      </w:r>
    </w:p>
    <w:p w14:paraId="5013035A" w14:textId="77777777" w:rsidR="005F2D44" w:rsidRPr="005F2D44" w:rsidRDefault="005F2D44" w:rsidP="005F2D44">
      <w:pPr>
        <w:shd w:val="clear" w:color="auto" w:fill="FFFFFF"/>
        <w:spacing w:after="150" w:line="360" w:lineRule="auto"/>
        <w:jc w:val="both"/>
        <w:rPr>
          <w:rFonts w:eastAsia="Times New Roman" w:cs="Times New Roman"/>
          <w:b/>
          <w:bCs/>
          <w:kern w:val="0"/>
          <w:sz w:val="32"/>
          <w:szCs w:val="32"/>
          <w:lang w:eastAsia="es-CO"/>
          <w14:ligatures w14:val="none"/>
        </w:rPr>
      </w:pPr>
      <w:r w:rsidRPr="005F2D44">
        <w:rPr>
          <w:rFonts w:eastAsia="Times New Roman" w:cs="Times New Roman"/>
          <w:b/>
          <w:bCs/>
          <w:kern w:val="0"/>
          <w:sz w:val="32"/>
          <w:szCs w:val="32"/>
          <w:highlight w:val="yellow"/>
          <w:lang w:eastAsia="es-CO"/>
          <w14:ligatures w14:val="none"/>
        </w:rPr>
        <w:t xml:space="preserve">Nótese que dicha disposición expresamente contempla que </w:t>
      </w:r>
      <w:r w:rsidRPr="005F2D44">
        <w:rPr>
          <w:rFonts w:eastAsia="Times New Roman" w:cs="Times New Roman"/>
          <w:b/>
          <w:bCs/>
          <w:kern w:val="0"/>
          <w:sz w:val="32"/>
          <w:szCs w:val="32"/>
          <w:highlight w:val="yellow"/>
          <w:u w:val="single"/>
          <w:lang w:eastAsia="es-CO"/>
          <w14:ligatures w14:val="none"/>
        </w:rPr>
        <w:t>aplica “en todo caso”</w:t>
      </w:r>
      <w:r w:rsidRPr="005F2D44">
        <w:rPr>
          <w:rFonts w:eastAsia="Times New Roman" w:cs="Times New Roman"/>
          <w:b/>
          <w:bCs/>
          <w:kern w:val="0"/>
          <w:sz w:val="32"/>
          <w:szCs w:val="32"/>
          <w:highlight w:val="yellow"/>
          <w:lang w:eastAsia="es-CO"/>
          <w14:ligatures w14:val="none"/>
        </w:rPr>
        <w:t>, motivo por el cual los contribuyentes o responsables de que trata el parágrafo 5° del citado </w:t>
      </w:r>
      <w:r w:rsidRPr="005F2D44">
        <w:rPr>
          <w:rFonts w:eastAsia="Times New Roman" w:cs="Times New Roman"/>
          <w:b/>
          <w:bCs/>
          <w:kern w:val="0"/>
          <w:sz w:val="32"/>
          <w:szCs w:val="32"/>
          <w:highlight w:val="yellow"/>
          <w:u w:val="single"/>
          <w:lang w:eastAsia="es-CO"/>
          <w14:ligatures w14:val="none"/>
        </w:rPr>
        <w:t>artículo 771-5</w:t>
      </w:r>
      <w:r w:rsidRPr="005F2D44">
        <w:rPr>
          <w:rFonts w:eastAsia="Times New Roman" w:cs="Times New Roman"/>
          <w:b/>
          <w:bCs/>
          <w:kern w:val="0"/>
          <w:sz w:val="32"/>
          <w:szCs w:val="32"/>
          <w:highlight w:val="yellow"/>
          <w:lang w:eastAsia="es-CO"/>
          <w14:ligatures w14:val="none"/>
        </w:rPr>
        <w:t>, también deben considerar el límite previsto en el reseñado parágrafo 2° en relación con los pagos individuales realizados.</w:t>
      </w:r>
    </w:p>
    <w:p w14:paraId="25D28333" w14:textId="22944AC9" w:rsidR="005F2D44" w:rsidRPr="00B12F6E" w:rsidRDefault="005F2D44" w:rsidP="00B12F6E">
      <w:pPr>
        <w:shd w:val="clear" w:color="auto" w:fill="FFFFFF"/>
        <w:spacing w:after="150" w:line="360" w:lineRule="auto"/>
        <w:jc w:val="both"/>
        <w:rPr>
          <w:rFonts w:eastAsia="Times New Roman" w:cs="Times New Roman"/>
          <w:kern w:val="0"/>
          <w:szCs w:val="24"/>
          <w:lang w:eastAsia="es-CO"/>
          <w14:ligatures w14:val="none"/>
        </w:rPr>
      </w:pPr>
      <w:r w:rsidRPr="005F2D44">
        <w:rPr>
          <w:rFonts w:eastAsia="Times New Roman" w:cs="Times New Roman"/>
          <w:kern w:val="0"/>
          <w:szCs w:val="24"/>
          <w:lang w:eastAsia="es-CO"/>
          <w14:ligatures w14:val="none"/>
        </w:rPr>
        <w:t>Al respecto, conviene anotar que en el Oficio 019439 del 27 de julio de 2018 (confirmado mediante el Oficio 000516 del 28 de agosto de 2020) se había presentado un problema jurídico similar, concluyéndose que los parágrafos 1° y 2° del </w:t>
      </w:r>
      <w:r w:rsidRPr="005F2D44">
        <w:rPr>
          <w:rFonts w:eastAsia="Times New Roman" w:cs="Times New Roman"/>
          <w:kern w:val="0"/>
          <w:szCs w:val="24"/>
          <w:u w:val="single"/>
          <w:lang w:eastAsia="es-CO"/>
          <w14:ligatures w14:val="none"/>
        </w:rPr>
        <w:t>artículo 771-5</w:t>
      </w:r>
      <w:r w:rsidRPr="005F2D44">
        <w:rPr>
          <w:rFonts w:eastAsia="Times New Roman" w:cs="Times New Roman"/>
          <w:kern w:val="0"/>
          <w:szCs w:val="24"/>
          <w:lang w:eastAsia="es-CO"/>
          <w14:ligatures w14:val="none"/>
        </w:rPr>
        <w:t> del Estatuto Tributario aplican de manera concurrente, así:</w:t>
      </w:r>
    </w:p>
    <w:p w14:paraId="66113333" w14:textId="044D556A" w:rsidR="005F2D44" w:rsidRPr="005F2D44" w:rsidRDefault="005F2D44" w:rsidP="005F2D44">
      <w:pPr>
        <w:pStyle w:val="NormalWeb"/>
        <w:shd w:val="clear" w:color="auto" w:fill="FFFFFF"/>
        <w:spacing w:before="0" w:beforeAutospacing="0" w:after="150" w:afterAutospacing="0" w:line="360" w:lineRule="auto"/>
        <w:jc w:val="both"/>
      </w:pPr>
      <w:r w:rsidRPr="005F2D44">
        <w:rPr>
          <w:i/>
          <w:iCs/>
        </w:rPr>
        <w:t>“(...) los contribuyentes </w:t>
      </w:r>
      <w:r w:rsidRPr="005F2D44">
        <w:rPr>
          <w:i/>
          <w:iCs/>
          <w:u w:val="single"/>
        </w:rPr>
        <w:t>primero revisan el cumplimiento del parágrafo 1 del artículo 771-5 del Estatuto Tributario</w:t>
      </w:r>
      <w:r w:rsidRPr="005F2D44">
        <w:rPr>
          <w:i/>
          <w:iCs/>
        </w:rPr>
        <w:t> y una vez han determinado el monto máximo pagado en efectivo (...) </w:t>
      </w:r>
      <w:r w:rsidRPr="005F2D44">
        <w:rPr>
          <w:i/>
          <w:iCs/>
          <w:u w:val="single"/>
        </w:rPr>
        <w:t>procede a revisar que los pagos individuales realizados por personas jurídicas y/o las personas naturales que perciban renta no laborales no supere las 100 UVT,</w:t>
      </w:r>
      <w:r w:rsidRPr="005F2D44">
        <w:rPr>
          <w:i/>
          <w:iCs/>
        </w:rPr>
        <w:t> en caso de superar de forma individual ese monto, procede la persona jurídica o a la persona natural por la cédula de renta no labora, al desconocimiento fiscal como costo, deducción, pasivo o impuesto descontable.”</w:t>
      </w:r>
      <w:r w:rsidRPr="005F2D44">
        <w:t> (subrayado fuera de texto)</w:t>
      </w:r>
    </w:p>
    <w:p w14:paraId="75965291" w14:textId="073B9A18" w:rsidR="005F2D44" w:rsidRPr="005F2D44" w:rsidRDefault="005F2D44" w:rsidP="005F2D44">
      <w:pPr>
        <w:pStyle w:val="NormalWeb"/>
        <w:shd w:val="clear" w:color="auto" w:fill="FFFFFF"/>
        <w:spacing w:before="0" w:beforeAutospacing="0" w:after="150" w:afterAutospacing="0" w:line="360" w:lineRule="auto"/>
        <w:jc w:val="both"/>
      </w:pPr>
      <w:r w:rsidRPr="005F2D44">
        <w:t>Atentamente,</w:t>
      </w:r>
    </w:p>
    <w:p w14:paraId="1DF48149" w14:textId="2F61CFB0" w:rsidR="005F2D44" w:rsidRPr="005F2D44" w:rsidRDefault="005F2D44" w:rsidP="005F2D44">
      <w:pPr>
        <w:pStyle w:val="NormalWeb"/>
        <w:shd w:val="clear" w:color="auto" w:fill="FFFFFF"/>
        <w:spacing w:before="0" w:beforeAutospacing="0" w:after="0" w:afterAutospacing="0"/>
        <w:jc w:val="both"/>
      </w:pPr>
      <w:r w:rsidRPr="005F2D44">
        <w:rPr>
          <w:b/>
          <w:bCs/>
        </w:rPr>
        <w:t>ALFREDO RAMÍREZ CASTAÑEDA</w:t>
      </w:r>
    </w:p>
    <w:p w14:paraId="48109E38" w14:textId="77777777" w:rsidR="005F2D44" w:rsidRPr="005F2D44" w:rsidRDefault="005F2D44" w:rsidP="005F2D44">
      <w:pPr>
        <w:pStyle w:val="NormalWeb"/>
        <w:shd w:val="clear" w:color="auto" w:fill="FFFFFF"/>
        <w:spacing w:before="0" w:beforeAutospacing="0" w:after="0" w:afterAutospacing="0"/>
        <w:jc w:val="both"/>
      </w:pPr>
      <w:r w:rsidRPr="005F2D44">
        <w:t>Subdirector de Normativa y Doctrina (E)</w:t>
      </w:r>
    </w:p>
    <w:p w14:paraId="409295DF" w14:textId="77777777" w:rsidR="005F2D44" w:rsidRPr="005F2D44" w:rsidRDefault="005F2D44" w:rsidP="005F2D44">
      <w:pPr>
        <w:pStyle w:val="NormalWeb"/>
        <w:shd w:val="clear" w:color="auto" w:fill="FFFFFF"/>
        <w:spacing w:before="0" w:beforeAutospacing="0" w:after="0" w:afterAutospacing="0"/>
        <w:jc w:val="both"/>
      </w:pPr>
      <w:r w:rsidRPr="005F2D44">
        <w:t>Dirección de Gestión Jurídica</w:t>
      </w:r>
    </w:p>
    <w:p w14:paraId="528C6972" w14:textId="77777777" w:rsidR="005F2D44" w:rsidRDefault="005F2D44" w:rsidP="005F2D44">
      <w:pPr>
        <w:pStyle w:val="NormalWeb"/>
        <w:shd w:val="clear" w:color="auto" w:fill="FFFFFF"/>
        <w:spacing w:before="0" w:beforeAutospacing="0" w:after="0" w:afterAutospacing="0"/>
        <w:jc w:val="both"/>
      </w:pPr>
      <w:r w:rsidRPr="005F2D44">
        <w:t>UAE-Dirección de Impuestos y Aduanas Nacionales</w:t>
      </w:r>
    </w:p>
    <w:p w14:paraId="21E4297B" w14:textId="68CD53A4" w:rsidR="005F2D44" w:rsidRPr="005F2D44" w:rsidRDefault="005F2D44" w:rsidP="005F2D44">
      <w:pPr>
        <w:pStyle w:val="NormalWeb"/>
        <w:shd w:val="clear" w:color="auto" w:fill="FFFFFF"/>
        <w:spacing w:before="0" w:beforeAutospacing="0" w:after="150" w:afterAutospacing="0" w:line="360" w:lineRule="auto"/>
        <w:jc w:val="both"/>
      </w:pPr>
      <w:r>
        <w:t>____________________________________________________________________________</w:t>
      </w:r>
    </w:p>
    <w:sectPr w:rsidR="005F2D44" w:rsidRPr="005F2D4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87B"/>
    <w:multiLevelType w:val="multilevel"/>
    <w:tmpl w:val="07CE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B7984"/>
    <w:multiLevelType w:val="multilevel"/>
    <w:tmpl w:val="3456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9160C0"/>
    <w:multiLevelType w:val="multilevel"/>
    <w:tmpl w:val="DB44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52288"/>
    <w:multiLevelType w:val="multilevel"/>
    <w:tmpl w:val="02EA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46872"/>
    <w:multiLevelType w:val="multilevel"/>
    <w:tmpl w:val="6E4C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2011B"/>
    <w:multiLevelType w:val="multilevel"/>
    <w:tmpl w:val="3848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39358">
    <w:abstractNumId w:val="2"/>
    <w:lvlOverride w:ilvl="0">
      <w:startOverride w:val="1"/>
    </w:lvlOverride>
  </w:num>
  <w:num w:numId="2" w16cid:durableId="1349523833">
    <w:abstractNumId w:val="5"/>
    <w:lvlOverride w:ilvl="0">
      <w:startOverride w:val="2"/>
    </w:lvlOverride>
  </w:num>
  <w:num w:numId="3" w16cid:durableId="107360225">
    <w:abstractNumId w:val="3"/>
    <w:lvlOverride w:ilvl="0">
      <w:startOverride w:val="3"/>
    </w:lvlOverride>
  </w:num>
  <w:num w:numId="4" w16cid:durableId="1234968067">
    <w:abstractNumId w:val="4"/>
    <w:lvlOverride w:ilvl="0">
      <w:startOverride w:val="1"/>
    </w:lvlOverride>
  </w:num>
  <w:num w:numId="5" w16cid:durableId="710345896">
    <w:abstractNumId w:val="1"/>
    <w:lvlOverride w:ilvl="0">
      <w:startOverride w:val="2"/>
    </w:lvlOverride>
  </w:num>
  <w:num w:numId="6" w16cid:durableId="1151019819">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44"/>
    <w:rsid w:val="000F3837"/>
    <w:rsid w:val="001E311E"/>
    <w:rsid w:val="00434AE6"/>
    <w:rsid w:val="005D25EE"/>
    <w:rsid w:val="005F2D44"/>
    <w:rsid w:val="007F5CC8"/>
    <w:rsid w:val="008779BE"/>
    <w:rsid w:val="00B12F6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B013"/>
  <w15:chartTrackingRefBased/>
  <w15:docId w15:val="{3A30A090-7960-419D-A935-3C8C7602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2D44"/>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5F2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8023">
      <w:bodyDiv w:val="1"/>
      <w:marLeft w:val="0"/>
      <w:marRight w:val="0"/>
      <w:marTop w:val="0"/>
      <w:marBottom w:val="0"/>
      <w:divBdr>
        <w:top w:val="none" w:sz="0" w:space="0" w:color="auto"/>
        <w:left w:val="none" w:sz="0" w:space="0" w:color="auto"/>
        <w:bottom w:val="none" w:sz="0" w:space="0" w:color="auto"/>
        <w:right w:val="none" w:sz="0" w:space="0" w:color="auto"/>
      </w:divBdr>
    </w:div>
    <w:div w:id="746540149">
      <w:bodyDiv w:val="1"/>
      <w:marLeft w:val="0"/>
      <w:marRight w:val="0"/>
      <w:marTop w:val="0"/>
      <w:marBottom w:val="0"/>
      <w:divBdr>
        <w:top w:val="none" w:sz="0" w:space="0" w:color="auto"/>
        <w:left w:val="none" w:sz="0" w:space="0" w:color="auto"/>
        <w:bottom w:val="none" w:sz="0" w:space="0" w:color="auto"/>
        <w:right w:val="none" w:sz="0" w:space="0" w:color="auto"/>
      </w:divBdr>
    </w:div>
    <w:div w:id="1462574883">
      <w:bodyDiv w:val="1"/>
      <w:marLeft w:val="0"/>
      <w:marRight w:val="0"/>
      <w:marTop w:val="0"/>
      <w:marBottom w:val="0"/>
      <w:divBdr>
        <w:top w:val="none" w:sz="0" w:space="0" w:color="auto"/>
        <w:left w:val="none" w:sz="0" w:space="0" w:color="auto"/>
        <w:bottom w:val="none" w:sz="0" w:space="0" w:color="auto"/>
        <w:right w:val="none" w:sz="0" w:space="0" w:color="auto"/>
      </w:divBdr>
    </w:div>
    <w:div w:id="19073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902</Words>
  <Characters>4963</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2023-04-26T19:59:00Z</dcterms:created>
  <dcterms:modified xsi:type="dcterms:W3CDTF">2023-04-28T16:35:00Z</dcterms:modified>
</cp:coreProperties>
</file>