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3F4D" w14:textId="77777777" w:rsidR="00D938FB" w:rsidRPr="00D938FB" w:rsidRDefault="00D938FB" w:rsidP="00D938FB">
      <w:pPr>
        <w:spacing w:after="0" w:line="240" w:lineRule="auto"/>
        <w:jc w:val="center"/>
        <w:rPr>
          <w:rFonts w:eastAsia="Times New Roman" w:cs="Times New Roman"/>
          <w:szCs w:val="24"/>
          <w:lang w:eastAsia="es-CO"/>
        </w:rPr>
      </w:pPr>
      <w:r w:rsidRPr="00D938FB">
        <w:rPr>
          <w:rFonts w:ascii="Segoe UI" w:eastAsia="Times New Roman" w:hAnsi="Segoe UI" w:cs="Segoe UI"/>
          <w:b/>
          <w:color w:val="0000FF"/>
          <w:sz w:val="28"/>
          <w:szCs w:val="28"/>
          <w:lang w:eastAsia="es-CO"/>
        </w:rPr>
        <w:t xml:space="preserve">OFICIO </w:t>
      </w:r>
      <w:proofErr w:type="spellStart"/>
      <w:r w:rsidRPr="00D938FB">
        <w:rPr>
          <w:rFonts w:ascii="Segoe UI" w:eastAsia="Times New Roman" w:hAnsi="Segoe UI" w:cs="Segoe UI"/>
          <w:b/>
          <w:color w:val="0000FF"/>
          <w:sz w:val="28"/>
          <w:szCs w:val="28"/>
          <w:lang w:eastAsia="es-CO"/>
        </w:rPr>
        <w:t>Nº</w:t>
      </w:r>
      <w:proofErr w:type="spellEnd"/>
      <w:r w:rsidRPr="00D938FB">
        <w:rPr>
          <w:rFonts w:ascii="Segoe UI" w:eastAsia="Times New Roman" w:hAnsi="Segoe UI" w:cs="Segoe UI"/>
          <w:b/>
          <w:color w:val="0000FF"/>
          <w:sz w:val="28"/>
          <w:szCs w:val="28"/>
          <w:lang w:eastAsia="es-CO"/>
        </w:rPr>
        <w:t xml:space="preserve"> 127 [002616]</w:t>
      </w:r>
    </w:p>
    <w:p w14:paraId="217B65E9" w14:textId="77777777" w:rsidR="00D938FB" w:rsidRPr="00D938FB" w:rsidRDefault="00D938FB" w:rsidP="00D938FB">
      <w:pPr>
        <w:spacing w:after="0" w:line="240" w:lineRule="auto"/>
        <w:jc w:val="center"/>
        <w:rPr>
          <w:rFonts w:eastAsia="Times New Roman" w:cs="Times New Roman"/>
          <w:szCs w:val="24"/>
          <w:lang w:eastAsia="es-CO"/>
        </w:rPr>
      </w:pPr>
      <w:r w:rsidRPr="00D938FB">
        <w:rPr>
          <w:rFonts w:ascii="Segoe UI" w:eastAsia="Times New Roman" w:hAnsi="Segoe UI" w:cs="Segoe UI"/>
          <w:b/>
          <w:color w:val="0000FF"/>
          <w:sz w:val="28"/>
          <w:szCs w:val="28"/>
          <w:lang w:eastAsia="es-CO"/>
        </w:rPr>
        <w:t>07-02-2020</w:t>
      </w:r>
    </w:p>
    <w:p w14:paraId="160155B8" w14:textId="77777777" w:rsidR="00D938FB" w:rsidRPr="00D938FB" w:rsidRDefault="00D938FB" w:rsidP="00D938FB">
      <w:pPr>
        <w:spacing w:after="0" w:line="240" w:lineRule="auto"/>
        <w:jc w:val="center"/>
        <w:rPr>
          <w:rFonts w:eastAsia="Times New Roman" w:cs="Times New Roman"/>
          <w:szCs w:val="24"/>
          <w:lang w:eastAsia="es-CO"/>
        </w:rPr>
      </w:pPr>
      <w:r w:rsidRPr="00D938FB">
        <w:rPr>
          <w:rFonts w:ascii="Segoe UI" w:eastAsia="Times New Roman" w:hAnsi="Segoe UI" w:cs="Segoe UI"/>
          <w:b/>
          <w:color w:val="0000FF"/>
          <w:sz w:val="28"/>
          <w:szCs w:val="28"/>
          <w:lang w:eastAsia="es-CO"/>
        </w:rPr>
        <w:t>DIAN</w:t>
      </w:r>
    </w:p>
    <w:p w14:paraId="4C421E8D"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1F9AF598"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16CC910D"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Subdirección de Gestión Normativa y Doctrina</w:t>
      </w:r>
    </w:p>
    <w:p w14:paraId="40E5687A"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100208221 000127</w:t>
      </w:r>
    </w:p>
    <w:p w14:paraId="3BE5F879"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Bogotá, D.C.</w:t>
      </w:r>
    </w:p>
    <w:p w14:paraId="0079FFDF"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6359AD2E" w14:textId="77777777" w:rsidR="00D938FB" w:rsidRPr="00D938FB" w:rsidRDefault="00D938FB" w:rsidP="00D938FB">
      <w:pPr>
        <w:spacing w:after="0" w:line="240" w:lineRule="auto"/>
        <w:jc w:val="both"/>
        <w:rPr>
          <w:rFonts w:eastAsia="Times New Roman" w:cs="Times New Roman"/>
          <w:szCs w:val="24"/>
          <w:lang w:eastAsia="es-CO"/>
        </w:rPr>
      </w:pPr>
      <w:proofErr w:type="spellStart"/>
      <w:r w:rsidRPr="00D938FB">
        <w:rPr>
          <w:rFonts w:ascii="Segoe UI" w:eastAsia="Times New Roman" w:hAnsi="Segoe UI" w:cs="Segoe UI"/>
          <w:b/>
          <w:szCs w:val="24"/>
          <w:lang w:eastAsia="es-CO"/>
        </w:rPr>
        <w:t>Ref</w:t>
      </w:r>
      <w:proofErr w:type="spellEnd"/>
      <w:r w:rsidRPr="00D938FB">
        <w:rPr>
          <w:rFonts w:ascii="Segoe UI" w:eastAsia="Times New Roman" w:hAnsi="Segoe UI" w:cs="Segoe UI"/>
          <w:b/>
          <w:szCs w:val="24"/>
          <w:lang w:eastAsia="es-CO"/>
        </w:rPr>
        <w:t>:</w:t>
      </w:r>
      <w:r w:rsidRPr="00D938FB">
        <w:rPr>
          <w:rFonts w:ascii="Segoe UI" w:eastAsia="Times New Roman" w:hAnsi="Segoe UI" w:cs="Segoe UI"/>
          <w:szCs w:val="24"/>
          <w:lang w:eastAsia="es-CO"/>
        </w:rPr>
        <w:t xml:space="preserve"> Radicado 000020 del 09/01/2020</w:t>
      </w:r>
    </w:p>
    <w:tbl>
      <w:tblPr>
        <w:tblW w:w="0" w:type="auto"/>
        <w:tblLook w:val="04A0" w:firstRow="1" w:lastRow="0" w:firstColumn="1" w:lastColumn="0" w:noHBand="0" w:noVBand="1"/>
      </w:tblPr>
      <w:tblGrid>
        <w:gridCol w:w="1822"/>
        <w:gridCol w:w="222"/>
        <w:gridCol w:w="222"/>
        <w:gridCol w:w="222"/>
        <w:gridCol w:w="3988"/>
      </w:tblGrid>
      <w:tr w:rsidR="00D938FB" w:rsidRPr="00D938FB" w14:paraId="5857C77C" w14:textId="77777777">
        <w:tc>
          <w:tcPr>
            <w:tcW w:w="0" w:type="auto"/>
            <w:tcBorders>
              <w:top w:val="nil"/>
              <w:left w:val="nil"/>
              <w:bottom w:val="nil"/>
              <w:right w:val="nil"/>
            </w:tcBorders>
            <w:shd w:val="clear" w:color="auto" w:fill="auto"/>
            <w:hideMark/>
          </w:tcPr>
          <w:p w14:paraId="0255AD22"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b/>
                <w:sz w:val="20"/>
                <w:szCs w:val="20"/>
                <w:lang w:eastAsia="es-CO"/>
              </w:rPr>
              <w:t>Tema</w:t>
            </w:r>
          </w:p>
        </w:tc>
        <w:tc>
          <w:tcPr>
            <w:tcW w:w="0" w:type="auto"/>
            <w:tcBorders>
              <w:top w:val="nil"/>
              <w:left w:val="nil"/>
              <w:bottom w:val="nil"/>
              <w:right w:val="nil"/>
            </w:tcBorders>
            <w:shd w:val="clear" w:color="auto" w:fill="auto"/>
            <w:hideMark/>
          </w:tcPr>
          <w:p w14:paraId="2BDFB41D" w14:textId="77777777" w:rsidR="00D938FB" w:rsidRPr="00D938FB" w:rsidRDefault="00D938FB" w:rsidP="00D938FB">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hideMark/>
          </w:tcPr>
          <w:p w14:paraId="400D904F" w14:textId="77777777" w:rsidR="00D938FB" w:rsidRPr="00D938FB" w:rsidRDefault="00D938FB" w:rsidP="00D938FB">
            <w:pPr>
              <w:spacing w:after="0" w:line="240" w:lineRule="auto"/>
              <w:rPr>
                <w:rFonts w:eastAsia="Times New Roman" w:cs="Times New Roman"/>
                <w:sz w:val="20"/>
                <w:szCs w:val="20"/>
                <w:lang w:eastAsia="es-CO"/>
              </w:rPr>
            </w:pPr>
          </w:p>
        </w:tc>
        <w:tc>
          <w:tcPr>
            <w:tcW w:w="0" w:type="auto"/>
            <w:tcBorders>
              <w:top w:val="nil"/>
              <w:left w:val="nil"/>
              <w:bottom w:val="nil"/>
              <w:right w:val="nil"/>
            </w:tcBorders>
            <w:shd w:val="clear" w:color="auto" w:fill="auto"/>
            <w:hideMark/>
          </w:tcPr>
          <w:p w14:paraId="6365F406" w14:textId="77777777" w:rsidR="00D938FB" w:rsidRPr="00D938FB" w:rsidRDefault="00D938FB" w:rsidP="00D938FB">
            <w:pPr>
              <w:spacing w:after="0" w:line="240" w:lineRule="auto"/>
              <w:rPr>
                <w:rFonts w:eastAsia="Times New Roman" w:cs="Times New Roman"/>
                <w:sz w:val="20"/>
                <w:szCs w:val="20"/>
                <w:lang w:eastAsia="es-CO"/>
              </w:rPr>
            </w:pPr>
          </w:p>
        </w:tc>
        <w:tc>
          <w:tcPr>
            <w:tcW w:w="0" w:type="auto"/>
            <w:tcBorders>
              <w:top w:val="nil"/>
              <w:left w:val="nil"/>
              <w:bottom w:val="nil"/>
              <w:right w:val="nil"/>
            </w:tcBorders>
            <w:shd w:val="clear" w:color="auto" w:fill="auto"/>
            <w:hideMark/>
          </w:tcPr>
          <w:p w14:paraId="594F756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 w:val="20"/>
                <w:szCs w:val="20"/>
                <w:lang w:eastAsia="es-CO"/>
              </w:rPr>
              <w:t>Procedimiento Tributario</w:t>
            </w:r>
          </w:p>
        </w:tc>
      </w:tr>
      <w:tr w:rsidR="00D938FB" w:rsidRPr="00D938FB" w14:paraId="66D6F872" w14:textId="77777777">
        <w:tc>
          <w:tcPr>
            <w:tcW w:w="0" w:type="auto"/>
            <w:tcBorders>
              <w:top w:val="nil"/>
              <w:left w:val="nil"/>
              <w:bottom w:val="nil"/>
              <w:right w:val="nil"/>
            </w:tcBorders>
            <w:shd w:val="clear" w:color="auto" w:fill="auto"/>
            <w:hideMark/>
          </w:tcPr>
          <w:p w14:paraId="3A8CBC6F"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b/>
                <w:sz w:val="20"/>
                <w:szCs w:val="20"/>
                <w:lang w:eastAsia="es-CO"/>
              </w:rPr>
              <w:t>Descriptores</w:t>
            </w:r>
          </w:p>
        </w:tc>
        <w:tc>
          <w:tcPr>
            <w:tcW w:w="0" w:type="auto"/>
            <w:tcBorders>
              <w:top w:val="nil"/>
              <w:left w:val="nil"/>
              <w:bottom w:val="nil"/>
              <w:right w:val="nil"/>
            </w:tcBorders>
            <w:shd w:val="clear" w:color="auto" w:fill="auto"/>
            <w:hideMark/>
          </w:tcPr>
          <w:p w14:paraId="4425C6BD" w14:textId="77777777" w:rsidR="00D938FB" w:rsidRPr="00D938FB" w:rsidRDefault="00D938FB" w:rsidP="00D938FB">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hideMark/>
          </w:tcPr>
          <w:p w14:paraId="78462762" w14:textId="77777777" w:rsidR="00D938FB" w:rsidRPr="00D938FB" w:rsidRDefault="00D938FB" w:rsidP="00D938FB">
            <w:pPr>
              <w:spacing w:after="0" w:line="240" w:lineRule="auto"/>
              <w:rPr>
                <w:rFonts w:eastAsia="Times New Roman" w:cs="Times New Roman"/>
                <w:sz w:val="20"/>
                <w:szCs w:val="20"/>
                <w:lang w:eastAsia="es-CO"/>
              </w:rPr>
            </w:pPr>
          </w:p>
        </w:tc>
        <w:tc>
          <w:tcPr>
            <w:tcW w:w="0" w:type="auto"/>
            <w:tcBorders>
              <w:top w:val="nil"/>
              <w:left w:val="nil"/>
              <w:bottom w:val="nil"/>
              <w:right w:val="nil"/>
            </w:tcBorders>
            <w:shd w:val="clear" w:color="auto" w:fill="auto"/>
            <w:hideMark/>
          </w:tcPr>
          <w:p w14:paraId="3661DBEE" w14:textId="77777777" w:rsidR="00D938FB" w:rsidRPr="00D938FB" w:rsidRDefault="00D938FB" w:rsidP="00D938FB">
            <w:pPr>
              <w:spacing w:after="0" w:line="240" w:lineRule="auto"/>
              <w:rPr>
                <w:rFonts w:eastAsia="Times New Roman" w:cs="Times New Roman"/>
                <w:sz w:val="20"/>
                <w:szCs w:val="20"/>
                <w:lang w:eastAsia="es-CO"/>
              </w:rPr>
            </w:pPr>
          </w:p>
        </w:tc>
        <w:tc>
          <w:tcPr>
            <w:tcW w:w="0" w:type="auto"/>
            <w:tcBorders>
              <w:top w:val="nil"/>
              <w:left w:val="nil"/>
              <w:bottom w:val="nil"/>
              <w:right w:val="nil"/>
            </w:tcBorders>
            <w:shd w:val="clear" w:color="auto" w:fill="auto"/>
            <w:hideMark/>
          </w:tcPr>
          <w:p w14:paraId="633F00B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 w:val="20"/>
                <w:szCs w:val="20"/>
                <w:lang w:eastAsia="es-CO"/>
              </w:rPr>
              <w:t>Corrección de las Declaraciones Tributarias</w:t>
            </w:r>
          </w:p>
          <w:p w14:paraId="030B62B9"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 w:val="20"/>
                <w:szCs w:val="20"/>
                <w:lang w:eastAsia="es-CO"/>
              </w:rPr>
              <w:t>CORRECCIÓN DE LAS DECLARACIONES.</w:t>
            </w:r>
          </w:p>
        </w:tc>
      </w:tr>
      <w:tr w:rsidR="00D938FB" w:rsidRPr="00D938FB" w14:paraId="1522FA9D" w14:textId="77777777">
        <w:tc>
          <w:tcPr>
            <w:tcW w:w="0" w:type="auto"/>
            <w:tcBorders>
              <w:top w:val="nil"/>
              <w:left w:val="nil"/>
              <w:bottom w:val="nil"/>
              <w:right w:val="nil"/>
            </w:tcBorders>
            <w:shd w:val="clear" w:color="auto" w:fill="auto"/>
            <w:hideMark/>
          </w:tcPr>
          <w:p w14:paraId="600611D2"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b/>
                <w:sz w:val="20"/>
                <w:szCs w:val="20"/>
                <w:lang w:eastAsia="es-CO"/>
              </w:rPr>
              <w:t>Fuentes formales</w:t>
            </w:r>
          </w:p>
        </w:tc>
        <w:tc>
          <w:tcPr>
            <w:tcW w:w="0" w:type="auto"/>
            <w:tcBorders>
              <w:top w:val="nil"/>
              <w:left w:val="nil"/>
              <w:bottom w:val="nil"/>
              <w:right w:val="nil"/>
            </w:tcBorders>
            <w:shd w:val="clear" w:color="auto" w:fill="auto"/>
            <w:hideMark/>
          </w:tcPr>
          <w:p w14:paraId="63E67F0D" w14:textId="77777777" w:rsidR="00D938FB" w:rsidRPr="00D938FB" w:rsidRDefault="00D938FB" w:rsidP="00D938FB">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hideMark/>
          </w:tcPr>
          <w:p w14:paraId="1CA506CB" w14:textId="77777777" w:rsidR="00D938FB" w:rsidRPr="00D938FB" w:rsidRDefault="00D938FB" w:rsidP="00D938FB">
            <w:pPr>
              <w:spacing w:after="0" w:line="240" w:lineRule="auto"/>
              <w:rPr>
                <w:rFonts w:eastAsia="Times New Roman" w:cs="Times New Roman"/>
                <w:sz w:val="20"/>
                <w:szCs w:val="20"/>
                <w:lang w:eastAsia="es-CO"/>
              </w:rPr>
            </w:pPr>
          </w:p>
        </w:tc>
        <w:tc>
          <w:tcPr>
            <w:tcW w:w="0" w:type="auto"/>
            <w:tcBorders>
              <w:top w:val="nil"/>
              <w:left w:val="nil"/>
              <w:bottom w:val="nil"/>
              <w:right w:val="nil"/>
            </w:tcBorders>
            <w:shd w:val="clear" w:color="auto" w:fill="auto"/>
            <w:hideMark/>
          </w:tcPr>
          <w:p w14:paraId="020250E6" w14:textId="77777777" w:rsidR="00D938FB" w:rsidRPr="00D938FB" w:rsidRDefault="00D938FB" w:rsidP="00D938FB">
            <w:pPr>
              <w:spacing w:after="0" w:line="240" w:lineRule="auto"/>
              <w:rPr>
                <w:rFonts w:eastAsia="Times New Roman" w:cs="Times New Roman"/>
                <w:sz w:val="20"/>
                <w:szCs w:val="20"/>
                <w:lang w:eastAsia="es-CO"/>
              </w:rPr>
            </w:pPr>
          </w:p>
        </w:tc>
        <w:tc>
          <w:tcPr>
            <w:tcW w:w="0" w:type="auto"/>
            <w:tcBorders>
              <w:top w:val="nil"/>
              <w:left w:val="nil"/>
              <w:bottom w:val="nil"/>
              <w:right w:val="nil"/>
            </w:tcBorders>
            <w:shd w:val="clear" w:color="auto" w:fill="auto"/>
            <w:hideMark/>
          </w:tcPr>
          <w:p w14:paraId="2DE62F0B"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 w:val="20"/>
                <w:szCs w:val="20"/>
                <w:lang w:eastAsia="es-CO"/>
              </w:rPr>
              <w:t>Artículo 588 del Estatuto Tributario</w:t>
            </w:r>
          </w:p>
          <w:p w14:paraId="72A78845"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 w:val="20"/>
                <w:szCs w:val="20"/>
                <w:lang w:eastAsia="es-CO"/>
              </w:rPr>
              <w:t>Artículo 40 de la Ley 153 de 1887</w:t>
            </w:r>
          </w:p>
          <w:p w14:paraId="2023B6A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 w:val="20"/>
                <w:szCs w:val="20"/>
                <w:lang w:eastAsia="es-CO"/>
              </w:rPr>
              <w:t>Ley 2010 de 2019</w:t>
            </w:r>
          </w:p>
        </w:tc>
      </w:tr>
    </w:tbl>
    <w:p w14:paraId="79F5199F"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4AE4D8A1"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Cordial saludo, señora Mabel Elena.</w:t>
      </w:r>
    </w:p>
    <w:p w14:paraId="485779AC"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5EE38583"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985DE1C"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7FA6CB1C"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Mediante el radicado de la referencia, la peticionaria consulta sobre la modificación realizada por el artículo 107 de la Ley 2010 de 2019. En particular, la peticionaria pone en consideración los siguientes dos casos:</w:t>
      </w:r>
    </w:p>
    <w:p w14:paraId="3CCAE370" w14:textId="77777777" w:rsidR="00D938FB" w:rsidRPr="00D938FB" w:rsidRDefault="00D938FB" w:rsidP="00D938FB">
      <w:pPr>
        <w:spacing w:after="0" w:line="240" w:lineRule="auto"/>
        <w:ind w:left="284"/>
        <w:jc w:val="both"/>
        <w:rPr>
          <w:rFonts w:eastAsia="Times New Roman" w:cs="Times New Roman"/>
          <w:szCs w:val="24"/>
          <w:lang w:eastAsia="es-CO"/>
        </w:rPr>
      </w:pPr>
      <w:r w:rsidRPr="00D938FB">
        <w:rPr>
          <w:rFonts w:eastAsia="Times New Roman" w:cs="Times New Roman"/>
          <w:szCs w:val="24"/>
          <w:lang w:eastAsia="es-CO"/>
        </w:rPr>
        <w:t> </w:t>
      </w:r>
    </w:p>
    <w:p w14:paraId="4E8419AD" w14:textId="77777777" w:rsidR="00D938FB" w:rsidRPr="00D938FB" w:rsidRDefault="00D938FB" w:rsidP="00D938FB">
      <w:pPr>
        <w:spacing w:after="0" w:line="240" w:lineRule="auto"/>
        <w:ind w:left="284"/>
        <w:jc w:val="both"/>
        <w:rPr>
          <w:rFonts w:eastAsia="Times New Roman" w:cs="Times New Roman"/>
          <w:szCs w:val="24"/>
          <w:lang w:eastAsia="es-CO"/>
        </w:rPr>
      </w:pPr>
      <w:r w:rsidRPr="00D938FB">
        <w:rPr>
          <w:rFonts w:ascii="Segoe UI" w:eastAsia="Times New Roman" w:hAnsi="Segoe UI" w:cs="Segoe UI"/>
          <w:i/>
          <w:szCs w:val="24"/>
          <w:lang w:eastAsia="es-CO"/>
        </w:rPr>
        <w:t>"</w:t>
      </w:r>
      <w:r w:rsidRPr="00D938FB">
        <w:rPr>
          <w:rFonts w:ascii="Segoe UI" w:eastAsia="Times New Roman" w:hAnsi="Segoe UI" w:cs="Segoe UI"/>
          <w:b/>
          <w:i/>
          <w:szCs w:val="24"/>
          <w:lang w:eastAsia="es-CO"/>
        </w:rPr>
        <w:t>Primer caso:</w:t>
      </w:r>
      <w:r w:rsidRPr="00D938FB">
        <w:rPr>
          <w:rFonts w:ascii="Segoe UI" w:eastAsia="Times New Roman" w:hAnsi="Segoe UI" w:cs="Segoe UI"/>
          <w:i/>
          <w:szCs w:val="24"/>
          <w:lang w:eastAsia="es-CO"/>
        </w:rPr>
        <w:t xml:space="preserve"> Si un contribuyente presenta su declaración de renta año gravable 2016 el 24 de abril de 2017, ¿El plazo que tendría para realizar la corrección voluntaria a la misma en virtud del </w:t>
      </w:r>
      <w:hyperlink r:id="rId4" w:tooltip="NormaSIT:725" w:history="1">
        <w:r w:rsidRPr="00D938FB">
          <w:rPr>
            <w:rFonts w:ascii="Segoe UI" w:eastAsia="Times New Roman" w:hAnsi="Segoe UI" w:cs="Segoe UI"/>
            <w:i/>
            <w:szCs w:val="24"/>
            <w:lang w:eastAsia="es-CO"/>
          </w:rPr>
          <w:t>artículo 588</w:t>
        </w:r>
      </w:hyperlink>
      <w:r w:rsidRPr="00D938FB">
        <w:rPr>
          <w:rFonts w:ascii="Segoe UI" w:eastAsia="Times New Roman" w:hAnsi="Segoe UI" w:cs="Segoe UI"/>
          <w:i/>
          <w:szCs w:val="24"/>
          <w:lang w:eastAsia="es-CO"/>
        </w:rPr>
        <w:t xml:space="preserve"> modificado del E.T. sería hasta el 24 de abril del año 2020?</w:t>
      </w:r>
    </w:p>
    <w:p w14:paraId="3CD9E175" w14:textId="77777777" w:rsidR="00D938FB" w:rsidRPr="00D938FB" w:rsidRDefault="00D938FB" w:rsidP="00D938FB">
      <w:pPr>
        <w:spacing w:after="0" w:line="240" w:lineRule="auto"/>
        <w:ind w:left="284"/>
        <w:jc w:val="both"/>
        <w:rPr>
          <w:rFonts w:eastAsia="Times New Roman" w:cs="Times New Roman"/>
          <w:szCs w:val="24"/>
          <w:lang w:eastAsia="es-CO"/>
        </w:rPr>
      </w:pPr>
      <w:r w:rsidRPr="00D938FB">
        <w:rPr>
          <w:rFonts w:eastAsia="Times New Roman" w:cs="Times New Roman"/>
          <w:szCs w:val="24"/>
          <w:lang w:eastAsia="es-CO"/>
        </w:rPr>
        <w:t> </w:t>
      </w:r>
    </w:p>
    <w:p w14:paraId="0DAB16A8" w14:textId="77777777" w:rsidR="00D938FB" w:rsidRPr="00D938FB" w:rsidRDefault="00D938FB" w:rsidP="00D938FB">
      <w:pPr>
        <w:spacing w:after="0" w:line="240" w:lineRule="auto"/>
        <w:ind w:left="284"/>
        <w:jc w:val="both"/>
        <w:rPr>
          <w:rFonts w:eastAsia="Times New Roman" w:cs="Times New Roman"/>
          <w:szCs w:val="24"/>
          <w:lang w:eastAsia="es-CO"/>
        </w:rPr>
      </w:pPr>
      <w:r w:rsidRPr="00D938FB">
        <w:rPr>
          <w:rFonts w:ascii="Segoe UI" w:eastAsia="Times New Roman" w:hAnsi="Segoe UI" w:cs="Segoe UI"/>
          <w:i/>
          <w:szCs w:val="24"/>
          <w:lang w:eastAsia="es-CO"/>
        </w:rPr>
        <w:t>"</w:t>
      </w:r>
      <w:r w:rsidRPr="00D938FB">
        <w:rPr>
          <w:rFonts w:ascii="Segoe UI" w:eastAsia="Times New Roman" w:hAnsi="Segoe UI" w:cs="Segoe UI"/>
          <w:b/>
          <w:i/>
          <w:szCs w:val="24"/>
          <w:lang w:eastAsia="es-CO"/>
        </w:rPr>
        <w:t>Segundo caso:</w:t>
      </w:r>
      <w:r w:rsidRPr="00D938FB">
        <w:rPr>
          <w:rFonts w:ascii="Segoe UI" w:eastAsia="Times New Roman" w:hAnsi="Segoe UI" w:cs="Segoe UI"/>
          <w:i/>
          <w:szCs w:val="24"/>
          <w:lang w:eastAsia="es-CO"/>
        </w:rPr>
        <w:t xml:space="preserve"> Si un contribuyente presenta su declaración de ventas tercer cuatrimestre del año gravable 2016 el 22 de enero de 2017, ¿El plazo que tendría para realizar la corrección voluntaria a la misma en virtud del artículo 588 modificado del E.T. sería hasta el 22 de enero del año 2020?"</w:t>
      </w:r>
    </w:p>
    <w:p w14:paraId="7790D3A4"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0A1425A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Sobre el particular, las consideraciones tributarias de este Despacho son las siguientes:</w:t>
      </w:r>
    </w:p>
    <w:p w14:paraId="41F540E0"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78C6969B"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 xml:space="preserve">Respecto a la primera pregunta, y atendiendo a los supuestos planteados, los contribuyentes podían corregir su declaración del impuesto sobre la renta y complementarios del año gravable 2016 </w:t>
      </w:r>
      <w:r w:rsidRPr="00D938FB">
        <w:rPr>
          <w:rFonts w:ascii="Segoe UI" w:eastAsia="Times New Roman" w:hAnsi="Segoe UI" w:cs="Segoe UI"/>
          <w:b/>
          <w:szCs w:val="24"/>
          <w:lang w:eastAsia="es-CO"/>
        </w:rPr>
        <w:t>dentro de los dos años siguientes al vencimiento del plazo para declarar, siempre que no se les hubiere notificado requerimiento especial o pliego de cargos.</w:t>
      </w:r>
    </w:p>
    <w:p w14:paraId="758CB23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319DD634"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 xml:space="preserve">La anterior en la medida que la Ley 2010 de 2019 entró a regir en la fecha de su promulgación, esto es, el 27 de diciembre de 2019; fecha en la cual ya habían transcurrido los dos años de que trataba el </w:t>
      </w:r>
      <w:hyperlink r:id="rId5" w:tooltip="NormaSIT:725" w:history="1">
        <w:r w:rsidRPr="00D938FB">
          <w:rPr>
            <w:rFonts w:ascii="Segoe UI" w:eastAsia="Times New Roman" w:hAnsi="Segoe UI" w:cs="Segoe UI"/>
            <w:szCs w:val="24"/>
            <w:lang w:eastAsia="es-CO"/>
          </w:rPr>
          <w:t>artículo 588</w:t>
        </w:r>
      </w:hyperlink>
      <w:r w:rsidRPr="00D938FB">
        <w:rPr>
          <w:rFonts w:ascii="Segoe UI" w:eastAsia="Times New Roman" w:hAnsi="Segoe UI" w:cs="Segoe UI"/>
          <w:szCs w:val="24"/>
          <w:lang w:eastAsia="es-CO"/>
        </w:rPr>
        <w:t xml:space="preserve"> del Estatuto Tributario.</w:t>
      </w:r>
    </w:p>
    <w:p w14:paraId="0F2F43DD"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234B26E4"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lastRenderedPageBreak/>
        <w:t xml:space="preserve">Respecto a la segunda pregunta, y atendiendo los supuestos planteados, los contribuyentes deben atender a las consideraciones planteadas arriba. Esto es, el término de dos años ocurrió antes de la </w:t>
      </w:r>
      <w:proofErr w:type="gramStart"/>
      <w:r w:rsidRPr="00D938FB">
        <w:rPr>
          <w:rFonts w:ascii="Segoe UI" w:eastAsia="Times New Roman" w:hAnsi="Segoe UI" w:cs="Segoe UI"/>
          <w:szCs w:val="24"/>
          <w:lang w:eastAsia="es-CO"/>
        </w:rPr>
        <w:t>entrada en vigencia</w:t>
      </w:r>
      <w:proofErr w:type="gramEnd"/>
      <w:r w:rsidRPr="00D938FB">
        <w:rPr>
          <w:rFonts w:ascii="Segoe UI" w:eastAsia="Times New Roman" w:hAnsi="Segoe UI" w:cs="Segoe UI"/>
          <w:szCs w:val="24"/>
          <w:lang w:eastAsia="es-CO"/>
        </w:rPr>
        <w:t xml:space="preserve"> del artículo 107 de la Ley 2010 de 2019, por lo que dicha declaración del impuesto sobre las ventas podía ser corregida voluntariamente dentro de dicho término.</w:t>
      </w:r>
    </w:p>
    <w:p w14:paraId="151FB5BF"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7C8C2DB6"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Esta interpretación coincide con lo dispuesto en el Concepto Unificado sobre Procedimiento Tributario y Régimen Tributario Sancionatorio 100202208-0662 de radicado 014116 de 25 de julio de 2017, el cual reiteró la interpretación de las normas procesales y su vigencia en el tiempo y, en especial, del artículo 40 de la Ley 153 de 1887.</w:t>
      </w:r>
    </w:p>
    <w:p w14:paraId="28C28A5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4A4202BF"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D938FB">
        <w:rPr>
          <w:rFonts w:ascii="Segoe UI" w:eastAsia="Times New Roman" w:hAnsi="Segoe UI" w:cs="Segoe UI"/>
          <w:color w:val="0563C1"/>
          <w:szCs w:val="24"/>
          <w:lang w:eastAsia="es-CO"/>
        </w:rPr>
        <w:t>www.dian.gov.co</w:t>
      </w:r>
      <w:r w:rsidRPr="00D938FB">
        <w:rPr>
          <w:rFonts w:ascii="Segoe UI" w:eastAsia="Times New Roman" w:hAnsi="Segoe UI" w:cs="Segoe UI"/>
          <w:szCs w:val="24"/>
          <w:lang w:eastAsia="es-CO"/>
        </w:rPr>
        <w:t xml:space="preserve">, la base de conceptos en materia tributaria, aduanera y cambiaria expedidos desde el año 2001, la cual se puede ingresar por el ícono de "Normatividad" -"técnica"-, dando </w:t>
      </w:r>
      <w:proofErr w:type="spellStart"/>
      <w:r w:rsidRPr="00D938FB">
        <w:rPr>
          <w:rFonts w:ascii="Segoe UI" w:eastAsia="Times New Roman" w:hAnsi="Segoe UI" w:cs="Segoe UI"/>
          <w:szCs w:val="24"/>
          <w:lang w:eastAsia="es-CO"/>
        </w:rPr>
        <w:t>click</w:t>
      </w:r>
      <w:proofErr w:type="spellEnd"/>
      <w:r w:rsidRPr="00D938FB">
        <w:rPr>
          <w:rFonts w:ascii="Segoe UI" w:eastAsia="Times New Roman" w:hAnsi="Segoe UI" w:cs="Segoe UI"/>
          <w:szCs w:val="24"/>
          <w:lang w:eastAsia="es-CO"/>
        </w:rPr>
        <w:t xml:space="preserve"> en el link "Doctrina Dirección de Gestión Jurídica".</w:t>
      </w:r>
    </w:p>
    <w:p w14:paraId="61703CBD"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29D71952"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Atentamente,</w:t>
      </w:r>
    </w:p>
    <w:p w14:paraId="3BF31F8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790D557B"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eastAsia="Times New Roman" w:cs="Times New Roman"/>
          <w:szCs w:val="24"/>
          <w:lang w:eastAsia="es-CO"/>
        </w:rPr>
        <w:t> </w:t>
      </w:r>
    </w:p>
    <w:p w14:paraId="0F954EEA"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b/>
          <w:szCs w:val="24"/>
          <w:lang w:eastAsia="es-CO"/>
        </w:rPr>
        <w:t>PABLO EMILIO MENDOZA VELILLA</w:t>
      </w:r>
    </w:p>
    <w:p w14:paraId="6E012AF7"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Subdirector de Gestión Normativa</w:t>
      </w:r>
    </w:p>
    <w:p w14:paraId="3DDA3C44"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Dirección de Gestión Jurídica</w:t>
      </w:r>
    </w:p>
    <w:p w14:paraId="7846E453" w14:textId="77777777" w:rsidR="00D938FB" w:rsidRPr="00D938FB" w:rsidRDefault="00D938FB" w:rsidP="00D938FB">
      <w:pPr>
        <w:spacing w:after="0" w:line="240" w:lineRule="auto"/>
        <w:jc w:val="both"/>
        <w:rPr>
          <w:rFonts w:eastAsia="Times New Roman" w:cs="Times New Roman"/>
          <w:szCs w:val="24"/>
          <w:lang w:eastAsia="es-CO"/>
        </w:rPr>
      </w:pPr>
      <w:r w:rsidRPr="00D938FB">
        <w:rPr>
          <w:rFonts w:ascii="Segoe UI" w:eastAsia="Times New Roman" w:hAnsi="Segoe UI" w:cs="Segoe UI"/>
          <w:szCs w:val="24"/>
          <w:lang w:eastAsia="es-CO"/>
        </w:rPr>
        <w:t>UAE-Dirección de Impuestos y Aduanas Nacionales</w:t>
      </w:r>
    </w:p>
    <w:p w14:paraId="52B24C5F" w14:textId="77777777" w:rsidR="00D938FB" w:rsidRPr="00D938FB" w:rsidRDefault="00D938FB" w:rsidP="00D938FB">
      <w:pPr>
        <w:spacing w:after="285" w:line="240" w:lineRule="auto"/>
        <w:rPr>
          <w:rFonts w:eastAsia="Times New Roman" w:cs="Times New Roman"/>
          <w:szCs w:val="24"/>
          <w:lang w:eastAsia="es-CO"/>
        </w:rPr>
      </w:pPr>
      <w:r w:rsidRPr="00D938FB">
        <w:rPr>
          <w:rFonts w:eastAsia="Times New Roman" w:cs="Times New Roman"/>
          <w:szCs w:val="24"/>
          <w:lang w:eastAsia="es-CO"/>
        </w:rPr>
        <w:t> </w:t>
      </w:r>
    </w:p>
    <w:p w14:paraId="49F317A3" w14:textId="1D28BB0B" w:rsidR="007F5CC8" w:rsidRDefault="00D938FB" w:rsidP="00D938FB">
      <w:r w:rsidRPr="00D938FB">
        <w:rPr>
          <w:rFonts w:eastAsia="Times New Roman" w:cs="Times New Roman"/>
          <w:szCs w:val="24"/>
          <w:lang w:eastAsia="es-CO"/>
        </w:rPr>
        <w:pict w14:anchorId="4A782117"/>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FB"/>
    <w:rsid w:val="000F3837"/>
    <w:rsid w:val="001E311E"/>
    <w:rsid w:val="00434AE6"/>
    <w:rsid w:val="007F5CC8"/>
    <w:rsid w:val="008779BE"/>
    <w:rsid w:val="00D938F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A6C1"/>
  <w15:chartTrackingRefBased/>
  <w15:docId w15:val="{ABD0CB4B-8F31-40D7-A3D1-BA969101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d.asp?d=38222&amp;ETD=1&amp;UID=10215729&amp;Token=3F50F8A7A6B44168" TargetMode="External"/><Relationship Id="rId4" Type="http://schemas.openxmlformats.org/officeDocument/2006/relationships/hyperlink" Target="http://www.ceta.org.co/html/d.asp?d=38222&amp;ETD=1&amp;UID=10215729&amp;Token=3F50F8A7A6B441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3505</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2023-04-02T02:10:00Z</dcterms:created>
  <dcterms:modified xsi:type="dcterms:W3CDTF">2023-04-02T02:14:00Z</dcterms:modified>
</cp:coreProperties>
</file>