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55D3B" w14:textId="48F3F3F7" w:rsidR="007F5CC8" w:rsidRPr="00234784" w:rsidRDefault="007F5CC8" w:rsidP="00234784">
      <w:pPr>
        <w:spacing w:line="360" w:lineRule="auto"/>
        <w:rPr>
          <w:rFonts w:cs="Times New Roman"/>
          <w:szCs w:val="24"/>
        </w:rPr>
      </w:pPr>
    </w:p>
    <w:p w14:paraId="51E32D09" w14:textId="1343981A" w:rsidR="0080599D" w:rsidRPr="00234784" w:rsidRDefault="0080599D" w:rsidP="00234784">
      <w:pPr>
        <w:spacing w:line="360" w:lineRule="auto"/>
        <w:rPr>
          <w:rFonts w:cs="Times New Roman"/>
          <w:szCs w:val="24"/>
        </w:rPr>
      </w:pPr>
    </w:p>
    <w:p w14:paraId="5290491D" w14:textId="77777777" w:rsidR="0080599D" w:rsidRPr="00234784" w:rsidRDefault="0080599D" w:rsidP="00234784">
      <w:pPr>
        <w:spacing w:after="0" w:line="360" w:lineRule="auto"/>
        <w:jc w:val="center"/>
        <w:rPr>
          <w:rFonts w:eastAsia="Times New Roman" w:cs="Times New Roman"/>
          <w:color w:val="000000"/>
          <w:szCs w:val="24"/>
          <w:lang w:eastAsia="es-CO"/>
        </w:rPr>
      </w:pPr>
      <w:r w:rsidRPr="00234784">
        <w:rPr>
          <w:rFonts w:eastAsia="Times New Roman" w:cs="Times New Roman"/>
          <w:b/>
          <w:bCs/>
          <w:color w:val="000000"/>
          <w:szCs w:val="24"/>
          <w:lang w:eastAsia="es-CO"/>
        </w:rPr>
        <w:t xml:space="preserve">OFICIO </w:t>
      </w:r>
      <w:proofErr w:type="spellStart"/>
      <w:r w:rsidRPr="00234784">
        <w:rPr>
          <w:rFonts w:eastAsia="Times New Roman" w:cs="Times New Roman"/>
          <w:b/>
          <w:bCs/>
          <w:color w:val="000000"/>
          <w:szCs w:val="24"/>
          <w:lang w:eastAsia="es-CO"/>
        </w:rPr>
        <w:t>Nº</w:t>
      </w:r>
      <w:proofErr w:type="spellEnd"/>
      <w:r w:rsidRPr="00234784">
        <w:rPr>
          <w:rFonts w:eastAsia="Times New Roman" w:cs="Times New Roman"/>
          <w:b/>
          <w:bCs/>
          <w:color w:val="000000"/>
          <w:szCs w:val="24"/>
          <w:lang w:eastAsia="es-CO"/>
        </w:rPr>
        <w:t xml:space="preserve"> 125 [000433]</w:t>
      </w:r>
    </w:p>
    <w:p w14:paraId="0451CFBB" w14:textId="77777777" w:rsidR="0080599D" w:rsidRPr="00234784" w:rsidRDefault="0080599D" w:rsidP="00234784">
      <w:pPr>
        <w:spacing w:after="0" w:line="360" w:lineRule="auto"/>
        <w:jc w:val="center"/>
        <w:rPr>
          <w:rFonts w:eastAsia="Times New Roman" w:cs="Times New Roman"/>
          <w:color w:val="000000"/>
          <w:szCs w:val="24"/>
          <w:lang w:eastAsia="es-CO"/>
        </w:rPr>
      </w:pPr>
      <w:r w:rsidRPr="00234784">
        <w:rPr>
          <w:rFonts w:eastAsia="Times New Roman" w:cs="Times New Roman"/>
          <w:b/>
          <w:bCs/>
          <w:color w:val="000000"/>
          <w:szCs w:val="24"/>
          <w:lang w:eastAsia="es-CO"/>
        </w:rPr>
        <w:t>30-01-2023</w:t>
      </w:r>
    </w:p>
    <w:p w14:paraId="519AE584" w14:textId="77777777" w:rsidR="0080599D" w:rsidRPr="00234784" w:rsidRDefault="0080599D" w:rsidP="00234784">
      <w:pPr>
        <w:spacing w:after="0" w:line="360" w:lineRule="auto"/>
        <w:jc w:val="center"/>
        <w:rPr>
          <w:rFonts w:eastAsia="Times New Roman" w:cs="Times New Roman"/>
          <w:color w:val="000000"/>
          <w:szCs w:val="24"/>
          <w:lang w:eastAsia="es-CO"/>
        </w:rPr>
      </w:pPr>
      <w:r w:rsidRPr="00234784">
        <w:rPr>
          <w:rFonts w:eastAsia="Times New Roman" w:cs="Times New Roman"/>
          <w:b/>
          <w:bCs/>
          <w:color w:val="000000"/>
          <w:szCs w:val="24"/>
          <w:lang w:eastAsia="es-CO"/>
        </w:rPr>
        <w:t>DIAN</w:t>
      </w:r>
    </w:p>
    <w:p w14:paraId="3E63D5B7" w14:textId="77777777" w:rsidR="0080599D" w:rsidRPr="00234784" w:rsidRDefault="0080599D" w:rsidP="00234784">
      <w:pPr>
        <w:spacing w:after="0" w:line="360" w:lineRule="auto"/>
        <w:jc w:val="both"/>
        <w:rPr>
          <w:rFonts w:eastAsia="Times New Roman" w:cs="Times New Roman"/>
          <w:color w:val="000000"/>
          <w:szCs w:val="24"/>
          <w:lang w:eastAsia="es-CO"/>
        </w:rPr>
      </w:pPr>
      <w:r w:rsidRPr="00234784">
        <w:rPr>
          <w:rFonts w:eastAsia="Times New Roman" w:cs="Times New Roman"/>
          <w:color w:val="000000"/>
          <w:szCs w:val="24"/>
          <w:lang w:eastAsia="es-CO"/>
        </w:rPr>
        <w:t> </w:t>
      </w:r>
    </w:p>
    <w:p w14:paraId="170AA261" w14:textId="77777777" w:rsidR="0080599D" w:rsidRPr="00234784" w:rsidRDefault="0080599D" w:rsidP="00234784">
      <w:pPr>
        <w:spacing w:after="0" w:line="360" w:lineRule="auto"/>
        <w:jc w:val="both"/>
        <w:rPr>
          <w:rFonts w:eastAsia="Times New Roman" w:cs="Times New Roman"/>
          <w:color w:val="000000"/>
          <w:szCs w:val="24"/>
          <w:lang w:eastAsia="es-CO"/>
        </w:rPr>
      </w:pPr>
      <w:r w:rsidRPr="00234784">
        <w:rPr>
          <w:rFonts w:eastAsia="Times New Roman" w:cs="Times New Roman"/>
          <w:color w:val="000000"/>
          <w:szCs w:val="24"/>
          <w:lang w:eastAsia="es-CO"/>
        </w:rPr>
        <w:t> </w:t>
      </w:r>
    </w:p>
    <w:p w14:paraId="0E040F00" w14:textId="77777777" w:rsidR="0080599D" w:rsidRPr="00234784" w:rsidRDefault="0080599D" w:rsidP="00234784">
      <w:pPr>
        <w:spacing w:after="0" w:line="360" w:lineRule="auto"/>
        <w:jc w:val="both"/>
        <w:rPr>
          <w:rFonts w:eastAsia="Times New Roman" w:cs="Times New Roman"/>
          <w:color w:val="000000"/>
          <w:szCs w:val="24"/>
          <w:lang w:eastAsia="es-CO"/>
        </w:rPr>
      </w:pPr>
      <w:r w:rsidRPr="00234784">
        <w:rPr>
          <w:rFonts w:eastAsia="Times New Roman" w:cs="Times New Roman"/>
          <w:color w:val="000000"/>
          <w:szCs w:val="24"/>
          <w:lang w:eastAsia="es-CO"/>
        </w:rPr>
        <w:t>100208192-125</w:t>
      </w:r>
    </w:p>
    <w:p w14:paraId="4CC02979" w14:textId="77777777" w:rsidR="0080599D" w:rsidRPr="00234784" w:rsidRDefault="0080599D" w:rsidP="00234784">
      <w:pPr>
        <w:spacing w:after="0" w:line="360" w:lineRule="auto"/>
        <w:jc w:val="both"/>
        <w:rPr>
          <w:rFonts w:eastAsia="Times New Roman" w:cs="Times New Roman"/>
          <w:color w:val="000000"/>
          <w:szCs w:val="24"/>
          <w:lang w:eastAsia="es-CO"/>
        </w:rPr>
      </w:pPr>
      <w:r w:rsidRPr="00234784">
        <w:rPr>
          <w:rFonts w:eastAsia="Times New Roman" w:cs="Times New Roman"/>
          <w:color w:val="000000"/>
          <w:szCs w:val="24"/>
          <w:lang w:eastAsia="es-CO"/>
        </w:rPr>
        <w:t>Bogotá, D.C.</w:t>
      </w:r>
    </w:p>
    <w:p w14:paraId="0303E2D3" w14:textId="77777777" w:rsidR="0080599D" w:rsidRPr="00234784" w:rsidRDefault="0080599D" w:rsidP="00234784">
      <w:pPr>
        <w:spacing w:after="0" w:line="360" w:lineRule="auto"/>
        <w:jc w:val="both"/>
        <w:rPr>
          <w:rFonts w:eastAsia="Times New Roman" w:cs="Times New Roman"/>
          <w:color w:val="000000"/>
          <w:szCs w:val="24"/>
          <w:lang w:eastAsia="es-CO"/>
        </w:rPr>
      </w:pPr>
      <w:r w:rsidRPr="00234784">
        <w:rPr>
          <w:rFonts w:eastAsia="Times New Roman" w:cs="Times New Roman"/>
          <w:color w:val="000000"/>
          <w:szCs w:val="24"/>
          <w:lang w:eastAsia="es-CO"/>
        </w:rPr>
        <w:t> </w:t>
      </w:r>
    </w:p>
    <w:p w14:paraId="4721604A" w14:textId="77777777" w:rsidR="0080599D" w:rsidRPr="00234784" w:rsidRDefault="0080599D" w:rsidP="00234784">
      <w:pPr>
        <w:spacing w:after="0" w:line="360" w:lineRule="auto"/>
        <w:jc w:val="both"/>
        <w:rPr>
          <w:rFonts w:eastAsia="Times New Roman" w:cs="Times New Roman"/>
          <w:color w:val="000000"/>
          <w:szCs w:val="24"/>
          <w:lang w:eastAsia="es-CO"/>
        </w:rPr>
      </w:pPr>
      <w:r w:rsidRPr="00234784">
        <w:rPr>
          <w:rFonts w:eastAsia="Times New Roman" w:cs="Times New Roman"/>
          <w:b/>
          <w:bCs/>
          <w:color w:val="000000"/>
          <w:szCs w:val="24"/>
          <w:lang w:eastAsia="es-CO"/>
        </w:rPr>
        <w:t>Ref.:</w:t>
      </w:r>
      <w:r w:rsidRPr="00234784">
        <w:rPr>
          <w:rFonts w:eastAsia="Times New Roman" w:cs="Times New Roman"/>
          <w:color w:val="000000"/>
          <w:szCs w:val="24"/>
          <w:lang w:eastAsia="es-CO"/>
        </w:rPr>
        <w:t xml:space="preserve"> Radicados </w:t>
      </w:r>
      <w:proofErr w:type="spellStart"/>
      <w:r w:rsidRPr="00234784">
        <w:rPr>
          <w:rFonts w:eastAsia="Times New Roman" w:cs="Times New Roman"/>
          <w:color w:val="000000"/>
          <w:szCs w:val="24"/>
          <w:lang w:eastAsia="es-CO"/>
        </w:rPr>
        <w:t>N°</w:t>
      </w:r>
      <w:proofErr w:type="spellEnd"/>
      <w:r w:rsidRPr="00234784">
        <w:rPr>
          <w:rFonts w:eastAsia="Times New Roman" w:cs="Times New Roman"/>
          <w:color w:val="000000"/>
          <w:szCs w:val="24"/>
          <w:lang w:eastAsia="es-CO"/>
        </w:rPr>
        <w:t xml:space="preserve"> 001591-100153969-100153942 del 18/11/2022 y </w:t>
      </w:r>
      <w:proofErr w:type="spellStart"/>
      <w:r w:rsidRPr="00234784">
        <w:rPr>
          <w:rFonts w:eastAsia="Times New Roman" w:cs="Times New Roman"/>
          <w:color w:val="000000"/>
          <w:szCs w:val="24"/>
          <w:lang w:eastAsia="es-CO"/>
        </w:rPr>
        <w:t>N°</w:t>
      </w:r>
      <w:proofErr w:type="spellEnd"/>
      <w:r w:rsidRPr="00234784">
        <w:rPr>
          <w:rFonts w:eastAsia="Times New Roman" w:cs="Times New Roman"/>
          <w:color w:val="000000"/>
          <w:szCs w:val="24"/>
          <w:lang w:eastAsia="es-CO"/>
        </w:rPr>
        <w:t xml:space="preserve"> 100005295 del 19/01/2023</w:t>
      </w:r>
    </w:p>
    <w:p w14:paraId="6677D418" w14:textId="77777777" w:rsidR="0080599D" w:rsidRPr="00234784" w:rsidRDefault="0080599D" w:rsidP="00234784">
      <w:pPr>
        <w:spacing w:after="0" w:line="360" w:lineRule="auto"/>
        <w:jc w:val="both"/>
        <w:rPr>
          <w:rFonts w:eastAsia="Times New Roman" w:cs="Times New Roman"/>
          <w:color w:val="000000"/>
          <w:szCs w:val="24"/>
          <w:lang w:eastAsia="es-CO"/>
        </w:rPr>
      </w:pPr>
      <w:r w:rsidRPr="00234784">
        <w:rPr>
          <w:rFonts w:eastAsia="Times New Roman" w:cs="Times New Roman"/>
          <w:color w:val="000000"/>
          <w:szCs w:val="24"/>
          <w:lang w:eastAsia="es-CO"/>
        </w:rPr>
        <w:t> </w:t>
      </w:r>
    </w:p>
    <w:p w14:paraId="1E108C11" w14:textId="77777777" w:rsidR="0080599D" w:rsidRPr="00234784" w:rsidRDefault="0080599D" w:rsidP="00234784">
      <w:pPr>
        <w:spacing w:after="0" w:line="360" w:lineRule="auto"/>
        <w:jc w:val="both"/>
        <w:rPr>
          <w:rFonts w:eastAsia="Times New Roman" w:cs="Times New Roman"/>
          <w:color w:val="000000"/>
          <w:szCs w:val="24"/>
          <w:lang w:eastAsia="es-CO"/>
        </w:rPr>
      </w:pPr>
      <w:r w:rsidRPr="00234784">
        <w:rPr>
          <w:rFonts w:eastAsia="Times New Roman" w:cs="Times New Roman"/>
          <w:color w:val="000000"/>
          <w:szCs w:val="24"/>
          <w:lang w:eastAsia="es-CO"/>
        </w:rPr>
        <w:t>Cordial saludo.</w:t>
      </w:r>
    </w:p>
    <w:p w14:paraId="7BDA1880" w14:textId="77777777" w:rsidR="0080599D" w:rsidRPr="00234784" w:rsidRDefault="0080599D" w:rsidP="00234784">
      <w:pPr>
        <w:spacing w:after="0" w:line="360" w:lineRule="auto"/>
        <w:jc w:val="both"/>
        <w:rPr>
          <w:rFonts w:eastAsia="Times New Roman" w:cs="Times New Roman"/>
          <w:color w:val="000000"/>
          <w:szCs w:val="24"/>
          <w:lang w:eastAsia="es-CO"/>
        </w:rPr>
      </w:pPr>
      <w:r w:rsidRPr="00234784">
        <w:rPr>
          <w:rFonts w:eastAsia="Times New Roman" w:cs="Times New Roman"/>
          <w:color w:val="000000"/>
          <w:szCs w:val="24"/>
          <w:lang w:eastAsia="es-CO"/>
        </w:rPr>
        <w:t> </w:t>
      </w:r>
    </w:p>
    <w:p w14:paraId="78EAECC5" w14:textId="77777777" w:rsidR="0080599D" w:rsidRPr="00234784" w:rsidRDefault="0080599D" w:rsidP="00234784">
      <w:pPr>
        <w:spacing w:after="0" w:line="360" w:lineRule="auto"/>
        <w:jc w:val="both"/>
        <w:rPr>
          <w:rFonts w:eastAsia="Times New Roman" w:cs="Times New Roman"/>
          <w:color w:val="000000"/>
          <w:szCs w:val="24"/>
          <w:lang w:eastAsia="es-CO"/>
        </w:rPr>
      </w:pPr>
      <w:r w:rsidRPr="00234784">
        <w:rPr>
          <w:rFonts w:eastAsia="Times New Roman" w:cs="Times New Roman"/>
          <w:color w:val="000000"/>
          <w:szCs w:val="24"/>
          <w:lang w:eastAsia="es-CO"/>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678A2E96" w14:textId="77777777" w:rsidR="0080599D" w:rsidRPr="00234784" w:rsidRDefault="0080599D" w:rsidP="00234784">
      <w:pPr>
        <w:spacing w:after="0" w:line="360" w:lineRule="auto"/>
        <w:jc w:val="both"/>
        <w:rPr>
          <w:rFonts w:eastAsia="Times New Roman" w:cs="Times New Roman"/>
          <w:color w:val="000000"/>
          <w:szCs w:val="24"/>
          <w:lang w:eastAsia="es-CO"/>
        </w:rPr>
      </w:pPr>
      <w:r w:rsidRPr="00234784">
        <w:rPr>
          <w:rFonts w:eastAsia="Times New Roman" w:cs="Times New Roman"/>
          <w:color w:val="000000"/>
          <w:szCs w:val="24"/>
          <w:lang w:eastAsia="es-CO"/>
        </w:rPr>
        <w:t> </w:t>
      </w:r>
    </w:p>
    <w:p w14:paraId="3B2A156C" w14:textId="77777777" w:rsidR="0080599D" w:rsidRPr="00234784" w:rsidRDefault="0080599D" w:rsidP="00234784">
      <w:pPr>
        <w:spacing w:after="0" w:line="360" w:lineRule="auto"/>
        <w:jc w:val="both"/>
        <w:rPr>
          <w:rFonts w:eastAsia="Times New Roman" w:cs="Times New Roman"/>
          <w:color w:val="000000"/>
          <w:szCs w:val="24"/>
          <w:lang w:eastAsia="es-CO"/>
        </w:rPr>
      </w:pPr>
      <w:r w:rsidRPr="00234784">
        <w:rPr>
          <w:rFonts w:eastAsia="Times New Roman" w:cs="Times New Roman"/>
          <w:color w:val="000000"/>
          <w:szCs w:val="24"/>
          <w:lang w:eastAsia="es-CO"/>
        </w:rPr>
        <w:t>Mediante el radicado de la referencia, el peticionario manifiesta:</w:t>
      </w:r>
    </w:p>
    <w:p w14:paraId="58849D69" w14:textId="77777777" w:rsidR="0080599D" w:rsidRPr="00234784" w:rsidRDefault="0080599D" w:rsidP="00234784">
      <w:pPr>
        <w:spacing w:after="0" w:line="360" w:lineRule="auto"/>
        <w:jc w:val="both"/>
        <w:rPr>
          <w:rFonts w:eastAsia="Times New Roman" w:cs="Times New Roman"/>
          <w:color w:val="000000"/>
          <w:szCs w:val="24"/>
          <w:lang w:eastAsia="es-CO"/>
        </w:rPr>
      </w:pPr>
      <w:r w:rsidRPr="00234784">
        <w:rPr>
          <w:rFonts w:eastAsia="Times New Roman" w:cs="Times New Roman"/>
          <w:color w:val="000000"/>
          <w:szCs w:val="24"/>
          <w:lang w:eastAsia="es-CO"/>
        </w:rPr>
        <w:t> </w:t>
      </w:r>
    </w:p>
    <w:p w14:paraId="7297A26D" w14:textId="77777777" w:rsidR="0080599D" w:rsidRPr="00234784" w:rsidRDefault="0080599D" w:rsidP="00234784">
      <w:pPr>
        <w:spacing w:after="0" w:line="360" w:lineRule="auto"/>
        <w:ind w:left="284"/>
        <w:jc w:val="both"/>
        <w:rPr>
          <w:rFonts w:eastAsia="Times New Roman" w:cs="Times New Roman"/>
          <w:color w:val="000000"/>
          <w:szCs w:val="24"/>
          <w:lang w:eastAsia="es-CO"/>
        </w:rPr>
      </w:pPr>
      <w:r w:rsidRPr="00234784">
        <w:rPr>
          <w:rFonts w:eastAsia="Times New Roman" w:cs="Times New Roman"/>
          <w:i/>
          <w:iCs/>
          <w:color w:val="000000"/>
          <w:szCs w:val="24"/>
          <w:lang w:eastAsia="es-CO"/>
        </w:rPr>
        <w:t>“A. Las Instituciones Prestadoras de Servicios de Salud (IPS) prestan servicios de </w:t>
      </w:r>
      <w:r w:rsidRPr="00234784">
        <w:rPr>
          <w:rFonts w:eastAsia="Times New Roman" w:cs="Times New Roman"/>
          <w:i/>
          <w:iCs/>
          <w:color w:val="000000"/>
          <w:szCs w:val="24"/>
          <w:u w:val="single"/>
          <w:lang w:eastAsia="es-CO"/>
        </w:rPr>
        <w:t>hospitalización</w:t>
      </w:r>
      <w:r w:rsidRPr="00234784">
        <w:rPr>
          <w:rFonts w:eastAsia="Times New Roman" w:cs="Times New Roman"/>
          <w:i/>
          <w:iCs/>
          <w:color w:val="000000"/>
          <w:szCs w:val="24"/>
          <w:lang w:eastAsia="es-CO"/>
        </w:rPr>
        <w:t> (...)</w:t>
      </w:r>
    </w:p>
    <w:p w14:paraId="3E3F3545" w14:textId="77777777" w:rsidR="0080599D" w:rsidRPr="00234784" w:rsidRDefault="0080599D" w:rsidP="00234784">
      <w:pPr>
        <w:spacing w:after="0" w:line="360" w:lineRule="auto"/>
        <w:ind w:left="284"/>
        <w:jc w:val="both"/>
        <w:rPr>
          <w:rFonts w:eastAsia="Times New Roman" w:cs="Times New Roman"/>
          <w:color w:val="000000"/>
          <w:szCs w:val="24"/>
          <w:lang w:eastAsia="es-CO"/>
        </w:rPr>
      </w:pPr>
      <w:r w:rsidRPr="00234784">
        <w:rPr>
          <w:rFonts w:eastAsia="Times New Roman" w:cs="Times New Roman"/>
          <w:color w:val="000000"/>
          <w:szCs w:val="24"/>
          <w:lang w:eastAsia="es-CO"/>
        </w:rPr>
        <w:t> </w:t>
      </w:r>
    </w:p>
    <w:p w14:paraId="19EB73B5" w14:textId="77777777" w:rsidR="0080599D" w:rsidRPr="00234784" w:rsidRDefault="0080599D" w:rsidP="00234784">
      <w:pPr>
        <w:spacing w:after="0" w:line="360" w:lineRule="auto"/>
        <w:ind w:left="284"/>
        <w:jc w:val="both"/>
        <w:rPr>
          <w:rFonts w:eastAsia="Times New Roman" w:cs="Times New Roman"/>
          <w:color w:val="000000"/>
          <w:szCs w:val="24"/>
          <w:lang w:eastAsia="es-CO"/>
        </w:rPr>
      </w:pPr>
      <w:r w:rsidRPr="00234784">
        <w:rPr>
          <w:rFonts w:eastAsia="Times New Roman" w:cs="Times New Roman"/>
          <w:i/>
          <w:iCs/>
          <w:color w:val="000000"/>
          <w:szCs w:val="24"/>
          <w:lang w:eastAsia="es-CO"/>
        </w:rPr>
        <w:t>B. Por temas operativos y legales particulares del sector salud, solo es posible cobrar y facturar los servicios de hospitalización, </w:t>
      </w:r>
      <w:r w:rsidRPr="00234784">
        <w:rPr>
          <w:rFonts w:eastAsia="Times New Roman" w:cs="Times New Roman"/>
          <w:i/>
          <w:iCs/>
          <w:color w:val="000000"/>
          <w:szCs w:val="24"/>
          <w:u w:val="single"/>
          <w:lang w:eastAsia="es-CO"/>
        </w:rPr>
        <w:t>una vez el paciente que ingresó a hospitalización sea dado de alta</w:t>
      </w:r>
      <w:r w:rsidRPr="00234784">
        <w:rPr>
          <w:rFonts w:eastAsia="Times New Roman" w:cs="Times New Roman"/>
          <w:i/>
          <w:iCs/>
          <w:color w:val="000000"/>
          <w:szCs w:val="24"/>
          <w:lang w:eastAsia="es-CO"/>
        </w:rPr>
        <w:t>. Por lo que, en caso de que el paciente ingrese a hospitalización en diciembre de determinado año gravable y sea dado de alta en enero del año gravable siguiente, la totalidad del servicio de hospitalización prestado durante los meses de diciembre y enero será cobrado y facturado en enero.</w:t>
      </w:r>
    </w:p>
    <w:p w14:paraId="78C29FD9" w14:textId="77777777" w:rsidR="0080599D" w:rsidRPr="00234784" w:rsidRDefault="0080599D" w:rsidP="00234784">
      <w:pPr>
        <w:spacing w:after="0" w:line="360" w:lineRule="auto"/>
        <w:ind w:left="284"/>
        <w:jc w:val="both"/>
        <w:rPr>
          <w:rFonts w:eastAsia="Times New Roman" w:cs="Times New Roman"/>
          <w:color w:val="000000"/>
          <w:szCs w:val="24"/>
          <w:lang w:eastAsia="es-CO"/>
        </w:rPr>
      </w:pPr>
      <w:r w:rsidRPr="00234784">
        <w:rPr>
          <w:rFonts w:eastAsia="Times New Roman" w:cs="Times New Roman"/>
          <w:color w:val="000000"/>
          <w:szCs w:val="24"/>
          <w:lang w:eastAsia="es-CO"/>
        </w:rPr>
        <w:t> </w:t>
      </w:r>
    </w:p>
    <w:p w14:paraId="5D7B3168" w14:textId="77777777" w:rsidR="0080599D" w:rsidRPr="00234784" w:rsidRDefault="0080599D" w:rsidP="00234784">
      <w:pPr>
        <w:spacing w:after="0" w:line="360" w:lineRule="auto"/>
        <w:ind w:left="284"/>
        <w:jc w:val="both"/>
        <w:rPr>
          <w:rFonts w:eastAsia="Times New Roman" w:cs="Times New Roman"/>
          <w:color w:val="000000"/>
          <w:szCs w:val="24"/>
          <w:lang w:eastAsia="es-CO"/>
        </w:rPr>
      </w:pPr>
      <w:r w:rsidRPr="00234784">
        <w:rPr>
          <w:rFonts w:eastAsia="Times New Roman" w:cs="Times New Roman"/>
          <w:i/>
          <w:iCs/>
          <w:color w:val="000000"/>
          <w:szCs w:val="24"/>
          <w:lang w:eastAsia="es-CO"/>
        </w:rPr>
        <w:t>C. En ese caso, las IPS registrarían el ingreso devengado en diciembre, por el hecho de haber prestado los servicios de hospitalización como una provisión del ingreso, pendiente de cobro y facturación; contra las cuentas del activo, específicamente, una cuenta por cobrar que aún no tiene la calidad de exigible. </w:t>
      </w:r>
      <w:r w:rsidRPr="00234784">
        <w:rPr>
          <w:rFonts w:eastAsia="Times New Roman" w:cs="Times New Roman"/>
          <w:i/>
          <w:iCs/>
          <w:color w:val="000000"/>
          <w:szCs w:val="24"/>
          <w:u w:val="single"/>
          <w:lang w:eastAsia="es-CO"/>
        </w:rPr>
        <w:t xml:space="preserve">Este monto será cobrado y facturado junto con el ingreso que </w:t>
      </w:r>
      <w:r w:rsidRPr="00234784">
        <w:rPr>
          <w:rFonts w:eastAsia="Times New Roman" w:cs="Times New Roman"/>
          <w:i/>
          <w:iCs/>
          <w:color w:val="000000"/>
          <w:szCs w:val="24"/>
          <w:u w:val="single"/>
          <w:lang w:eastAsia="es-CO"/>
        </w:rPr>
        <w:lastRenderedPageBreak/>
        <w:t>se devengue en enero, por la prestación de servicios de hospitalización, una vez el paciente sea dado de alta</w:t>
      </w:r>
      <w:r w:rsidRPr="00234784">
        <w:rPr>
          <w:rFonts w:eastAsia="Times New Roman" w:cs="Times New Roman"/>
          <w:i/>
          <w:iCs/>
          <w:color w:val="000000"/>
          <w:szCs w:val="24"/>
          <w:lang w:eastAsia="es-CO"/>
        </w:rPr>
        <w:t>.”</w:t>
      </w:r>
      <w:r w:rsidRPr="00234784">
        <w:rPr>
          <w:rFonts w:eastAsia="Times New Roman" w:cs="Times New Roman"/>
          <w:color w:val="000000"/>
          <w:szCs w:val="24"/>
          <w:lang w:eastAsia="es-CO"/>
        </w:rPr>
        <w:t> (subrayado fuera de texto)</w:t>
      </w:r>
    </w:p>
    <w:p w14:paraId="5A233A12" w14:textId="77777777" w:rsidR="0080599D" w:rsidRPr="00234784" w:rsidRDefault="0080599D" w:rsidP="00234784">
      <w:pPr>
        <w:spacing w:after="0" w:line="360" w:lineRule="auto"/>
        <w:jc w:val="both"/>
        <w:rPr>
          <w:rFonts w:eastAsia="Times New Roman" w:cs="Times New Roman"/>
          <w:color w:val="000000"/>
          <w:szCs w:val="24"/>
          <w:lang w:eastAsia="es-CO"/>
        </w:rPr>
      </w:pPr>
      <w:r w:rsidRPr="00234784">
        <w:rPr>
          <w:rFonts w:eastAsia="Times New Roman" w:cs="Times New Roman"/>
          <w:color w:val="000000"/>
          <w:szCs w:val="24"/>
          <w:lang w:eastAsia="es-CO"/>
        </w:rPr>
        <w:t> </w:t>
      </w:r>
    </w:p>
    <w:p w14:paraId="1477B5D5" w14:textId="77777777" w:rsidR="0080599D" w:rsidRPr="00234784" w:rsidRDefault="0080599D" w:rsidP="00234784">
      <w:pPr>
        <w:spacing w:after="0" w:line="360" w:lineRule="auto"/>
        <w:jc w:val="both"/>
        <w:rPr>
          <w:rFonts w:eastAsia="Times New Roman" w:cs="Times New Roman"/>
          <w:color w:val="000000"/>
          <w:szCs w:val="24"/>
          <w:lang w:eastAsia="es-CO"/>
        </w:rPr>
      </w:pPr>
      <w:r w:rsidRPr="00234784">
        <w:rPr>
          <w:rFonts w:eastAsia="Times New Roman" w:cs="Times New Roman"/>
          <w:color w:val="000000"/>
          <w:szCs w:val="24"/>
          <w:lang w:eastAsia="es-CO"/>
        </w:rPr>
        <w:t>Con base en lo anterior, consulta:</w:t>
      </w:r>
    </w:p>
    <w:p w14:paraId="4F87786E" w14:textId="77777777" w:rsidR="0080599D" w:rsidRPr="00234784" w:rsidRDefault="0080599D" w:rsidP="00234784">
      <w:pPr>
        <w:spacing w:after="0" w:line="360" w:lineRule="auto"/>
        <w:jc w:val="both"/>
        <w:rPr>
          <w:rFonts w:eastAsia="Times New Roman" w:cs="Times New Roman"/>
          <w:color w:val="000000"/>
          <w:szCs w:val="24"/>
          <w:lang w:eastAsia="es-CO"/>
        </w:rPr>
      </w:pPr>
      <w:r w:rsidRPr="00234784">
        <w:rPr>
          <w:rFonts w:eastAsia="Times New Roman" w:cs="Times New Roman"/>
          <w:color w:val="000000"/>
          <w:szCs w:val="24"/>
          <w:lang w:eastAsia="es-CO"/>
        </w:rPr>
        <w:t> </w:t>
      </w:r>
    </w:p>
    <w:p w14:paraId="1B23FBD0" w14:textId="77777777" w:rsidR="0080599D" w:rsidRPr="00234784" w:rsidRDefault="0080599D" w:rsidP="00234784">
      <w:pPr>
        <w:spacing w:after="0" w:line="360" w:lineRule="auto"/>
        <w:ind w:left="284"/>
        <w:jc w:val="both"/>
        <w:rPr>
          <w:rFonts w:eastAsia="Times New Roman" w:cs="Times New Roman"/>
          <w:color w:val="000000"/>
          <w:szCs w:val="24"/>
          <w:lang w:eastAsia="es-CO"/>
        </w:rPr>
      </w:pPr>
      <w:r w:rsidRPr="00234784">
        <w:rPr>
          <w:rFonts w:eastAsia="Times New Roman" w:cs="Times New Roman"/>
          <w:i/>
          <w:iCs/>
          <w:color w:val="000000"/>
          <w:szCs w:val="24"/>
          <w:lang w:eastAsia="es-CO"/>
        </w:rPr>
        <w:t>“A. ¿Las provisiones de ingresos por prestación de servicios hospitalarios, que no fueron facturados en el año que se prestaron, serán objeto del impuesto sobre la renta </w:t>
      </w:r>
      <w:r w:rsidRPr="00234784">
        <w:rPr>
          <w:rFonts w:eastAsia="Times New Roman" w:cs="Times New Roman"/>
          <w:i/>
          <w:iCs/>
          <w:color w:val="000000"/>
          <w:szCs w:val="24"/>
          <w:u w:val="single"/>
          <w:lang w:eastAsia="es-CO"/>
        </w:rPr>
        <w:t>en el año en que se registraron como provisión (de ingresos) o en el año en que fueron cobrados y facturados</w:t>
      </w:r>
      <w:r w:rsidRPr="00234784">
        <w:rPr>
          <w:rFonts w:eastAsia="Times New Roman" w:cs="Times New Roman"/>
          <w:i/>
          <w:iCs/>
          <w:color w:val="000000"/>
          <w:szCs w:val="24"/>
          <w:lang w:eastAsia="es-CO"/>
        </w:rPr>
        <w:t>?</w:t>
      </w:r>
    </w:p>
    <w:p w14:paraId="4E802AF6" w14:textId="77777777" w:rsidR="0080599D" w:rsidRPr="00234784" w:rsidRDefault="0080599D" w:rsidP="00234784">
      <w:pPr>
        <w:spacing w:after="0" w:line="360" w:lineRule="auto"/>
        <w:ind w:left="284"/>
        <w:jc w:val="both"/>
        <w:rPr>
          <w:rFonts w:eastAsia="Times New Roman" w:cs="Times New Roman"/>
          <w:color w:val="000000"/>
          <w:szCs w:val="24"/>
          <w:lang w:eastAsia="es-CO"/>
        </w:rPr>
      </w:pPr>
      <w:r w:rsidRPr="00234784">
        <w:rPr>
          <w:rFonts w:eastAsia="Times New Roman" w:cs="Times New Roman"/>
          <w:color w:val="000000"/>
          <w:szCs w:val="24"/>
          <w:lang w:eastAsia="es-CO"/>
        </w:rPr>
        <w:t> </w:t>
      </w:r>
    </w:p>
    <w:p w14:paraId="25FCF563" w14:textId="77777777" w:rsidR="0080599D" w:rsidRPr="00234784" w:rsidRDefault="0080599D" w:rsidP="00234784">
      <w:pPr>
        <w:spacing w:after="0" w:line="360" w:lineRule="auto"/>
        <w:ind w:left="284"/>
        <w:jc w:val="both"/>
        <w:rPr>
          <w:rFonts w:eastAsia="Times New Roman" w:cs="Times New Roman"/>
          <w:color w:val="000000"/>
          <w:szCs w:val="24"/>
          <w:lang w:eastAsia="es-CO"/>
        </w:rPr>
      </w:pPr>
      <w:r w:rsidRPr="00234784">
        <w:rPr>
          <w:rFonts w:eastAsia="Times New Roman" w:cs="Times New Roman"/>
          <w:i/>
          <w:iCs/>
          <w:color w:val="000000"/>
          <w:szCs w:val="24"/>
          <w:lang w:eastAsia="es-CO"/>
        </w:rPr>
        <w:t xml:space="preserve">B. </w:t>
      </w:r>
      <w:proofErr w:type="gramStart"/>
      <w:r w:rsidRPr="00234784">
        <w:rPr>
          <w:rFonts w:eastAsia="Times New Roman" w:cs="Times New Roman"/>
          <w:i/>
          <w:iCs/>
          <w:color w:val="000000"/>
          <w:szCs w:val="24"/>
          <w:lang w:eastAsia="es-CO"/>
        </w:rPr>
        <w:t>¿Para el caso de provisiones de ingresos (que aún no han sido cobrados o facturados), </w:t>
      </w:r>
      <w:r w:rsidRPr="00234784">
        <w:rPr>
          <w:rFonts w:eastAsia="Times New Roman" w:cs="Times New Roman"/>
          <w:i/>
          <w:iCs/>
          <w:color w:val="000000"/>
          <w:szCs w:val="24"/>
          <w:u w:val="single"/>
          <w:lang w:eastAsia="es-CO"/>
        </w:rPr>
        <w:t>la autorretención especial</w:t>
      </w:r>
      <w:r w:rsidRPr="00234784">
        <w:rPr>
          <w:rFonts w:eastAsia="Times New Roman" w:cs="Times New Roman"/>
          <w:i/>
          <w:iCs/>
          <w:color w:val="000000"/>
          <w:szCs w:val="24"/>
          <w:lang w:eastAsia="es-CO"/>
        </w:rPr>
        <w:t> a título de renta de que trata el artículo 1.</w:t>
      </w:r>
      <w:proofErr w:type="gramEnd"/>
      <w:r w:rsidRPr="00234784">
        <w:rPr>
          <w:rFonts w:eastAsia="Times New Roman" w:cs="Times New Roman"/>
          <w:i/>
          <w:iCs/>
          <w:color w:val="000000"/>
          <w:szCs w:val="24"/>
          <w:lang w:eastAsia="es-CO"/>
        </w:rPr>
        <w:t>2.6.6 del Decreto 1625 de 2016 deberá practicarse </w:t>
      </w:r>
      <w:r w:rsidRPr="00234784">
        <w:rPr>
          <w:rFonts w:eastAsia="Times New Roman" w:cs="Times New Roman"/>
          <w:i/>
          <w:iCs/>
          <w:color w:val="000000"/>
          <w:szCs w:val="24"/>
          <w:u w:val="single"/>
          <w:lang w:eastAsia="es-CO"/>
        </w:rPr>
        <w:t>al momento en que el abono en cuenta se registre en calidad de no exigible</w:t>
      </w:r>
      <w:r w:rsidRPr="00234784">
        <w:rPr>
          <w:rFonts w:eastAsia="Times New Roman" w:cs="Times New Roman"/>
          <w:i/>
          <w:iCs/>
          <w:color w:val="000000"/>
          <w:szCs w:val="24"/>
          <w:lang w:eastAsia="es-CO"/>
        </w:rPr>
        <w:t> o solo deberá practicarse </w:t>
      </w:r>
      <w:r w:rsidRPr="00234784">
        <w:rPr>
          <w:rFonts w:eastAsia="Times New Roman" w:cs="Times New Roman"/>
          <w:i/>
          <w:iCs/>
          <w:color w:val="000000"/>
          <w:szCs w:val="24"/>
          <w:u w:val="single"/>
          <w:lang w:eastAsia="es-CO"/>
        </w:rPr>
        <w:t>una vez se registre el abono en cuenta en calidad de exigible</w:t>
      </w:r>
      <w:r w:rsidRPr="00234784">
        <w:rPr>
          <w:rFonts w:eastAsia="Times New Roman" w:cs="Times New Roman"/>
          <w:i/>
          <w:iCs/>
          <w:color w:val="000000"/>
          <w:szCs w:val="24"/>
          <w:lang w:eastAsia="es-CO"/>
        </w:rPr>
        <w:t>?</w:t>
      </w:r>
    </w:p>
    <w:p w14:paraId="745E9E85" w14:textId="77777777" w:rsidR="0080599D" w:rsidRPr="00234784" w:rsidRDefault="0080599D" w:rsidP="00234784">
      <w:pPr>
        <w:spacing w:after="0" w:line="360" w:lineRule="auto"/>
        <w:ind w:left="284"/>
        <w:jc w:val="both"/>
        <w:rPr>
          <w:rFonts w:eastAsia="Times New Roman" w:cs="Times New Roman"/>
          <w:color w:val="000000"/>
          <w:szCs w:val="24"/>
          <w:lang w:eastAsia="es-CO"/>
        </w:rPr>
      </w:pPr>
      <w:r w:rsidRPr="00234784">
        <w:rPr>
          <w:rFonts w:eastAsia="Times New Roman" w:cs="Times New Roman"/>
          <w:color w:val="000000"/>
          <w:szCs w:val="24"/>
          <w:lang w:eastAsia="es-CO"/>
        </w:rPr>
        <w:t> </w:t>
      </w:r>
    </w:p>
    <w:p w14:paraId="6CF44010" w14:textId="77777777" w:rsidR="0080599D" w:rsidRPr="00234784" w:rsidRDefault="0080599D" w:rsidP="00234784">
      <w:pPr>
        <w:spacing w:after="0" w:line="360" w:lineRule="auto"/>
        <w:ind w:left="284"/>
        <w:jc w:val="both"/>
        <w:rPr>
          <w:rFonts w:eastAsia="Times New Roman" w:cs="Times New Roman"/>
          <w:color w:val="000000"/>
          <w:szCs w:val="24"/>
          <w:lang w:eastAsia="es-CO"/>
        </w:rPr>
      </w:pPr>
      <w:r w:rsidRPr="00234784">
        <w:rPr>
          <w:rFonts w:eastAsia="Times New Roman" w:cs="Times New Roman"/>
          <w:i/>
          <w:iCs/>
          <w:color w:val="000000"/>
          <w:szCs w:val="24"/>
          <w:lang w:eastAsia="es-CO"/>
        </w:rPr>
        <w:t xml:space="preserve">C. </w:t>
      </w:r>
      <w:proofErr w:type="gramStart"/>
      <w:r w:rsidRPr="00234784">
        <w:rPr>
          <w:rFonts w:eastAsia="Times New Roman" w:cs="Times New Roman"/>
          <w:i/>
          <w:iCs/>
          <w:color w:val="000000"/>
          <w:szCs w:val="24"/>
          <w:lang w:eastAsia="es-CO"/>
        </w:rPr>
        <w:t>¿Para el caso de provisiones de ingresos (que aún no han sido cobrados o facturados), </w:t>
      </w:r>
      <w:r w:rsidRPr="00234784">
        <w:rPr>
          <w:rFonts w:eastAsia="Times New Roman" w:cs="Times New Roman"/>
          <w:i/>
          <w:iCs/>
          <w:color w:val="000000"/>
          <w:szCs w:val="24"/>
          <w:u w:val="single"/>
          <w:lang w:eastAsia="es-CO"/>
        </w:rPr>
        <w:t>la autorretención general</w:t>
      </w:r>
      <w:r w:rsidRPr="00234784">
        <w:rPr>
          <w:rFonts w:eastAsia="Times New Roman" w:cs="Times New Roman"/>
          <w:i/>
          <w:iCs/>
          <w:color w:val="000000"/>
          <w:szCs w:val="24"/>
          <w:lang w:eastAsia="es-CO"/>
        </w:rPr>
        <w:t> a título de renta de que trata el artículo 1.</w:t>
      </w:r>
      <w:proofErr w:type="gramEnd"/>
      <w:r w:rsidRPr="00234784">
        <w:rPr>
          <w:rFonts w:eastAsia="Times New Roman" w:cs="Times New Roman"/>
          <w:i/>
          <w:iCs/>
          <w:color w:val="000000"/>
          <w:szCs w:val="24"/>
          <w:lang w:eastAsia="es-CO"/>
        </w:rPr>
        <w:t>2.6.1 del Decreto 1625 de 2016 deberá practicarse </w:t>
      </w:r>
      <w:r w:rsidRPr="00234784">
        <w:rPr>
          <w:rFonts w:eastAsia="Times New Roman" w:cs="Times New Roman"/>
          <w:i/>
          <w:iCs/>
          <w:color w:val="000000"/>
          <w:szCs w:val="24"/>
          <w:u w:val="single"/>
          <w:lang w:eastAsia="es-CO"/>
        </w:rPr>
        <w:t>al momento en que el abono en cuenta se registre en calidad de no exigible</w:t>
      </w:r>
      <w:r w:rsidRPr="00234784">
        <w:rPr>
          <w:rFonts w:eastAsia="Times New Roman" w:cs="Times New Roman"/>
          <w:i/>
          <w:iCs/>
          <w:color w:val="000000"/>
          <w:szCs w:val="24"/>
          <w:lang w:eastAsia="es-CO"/>
        </w:rPr>
        <w:t> o solo deberá practicarse </w:t>
      </w:r>
      <w:r w:rsidRPr="00234784">
        <w:rPr>
          <w:rFonts w:eastAsia="Times New Roman" w:cs="Times New Roman"/>
          <w:i/>
          <w:iCs/>
          <w:color w:val="000000"/>
          <w:szCs w:val="24"/>
          <w:u w:val="single"/>
          <w:lang w:eastAsia="es-CO"/>
        </w:rPr>
        <w:t>una vez se registre el abono en cuenta en calidad de exigible</w:t>
      </w:r>
      <w:r w:rsidRPr="00234784">
        <w:rPr>
          <w:rFonts w:eastAsia="Times New Roman" w:cs="Times New Roman"/>
          <w:i/>
          <w:iCs/>
          <w:color w:val="000000"/>
          <w:szCs w:val="24"/>
          <w:lang w:eastAsia="es-CO"/>
        </w:rPr>
        <w:t>?” (subrayado fuera de texto)</w:t>
      </w:r>
    </w:p>
    <w:p w14:paraId="714A8771" w14:textId="77777777" w:rsidR="0080599D" w:rsidRPr="00234784" w:rsidRDefault="0080599D" w:rsidP="00234784">
      <w:pPr>
        <w:spacing w:after="0" w:line="360" w:lineRule="auto"/>
        <w:jc w:val="both"/>
        <w:rPr>
          <w:rFonts w:eastAsia="Times New Roman" w:cs="Times New Roman"/>
          <w:color w:val="000000"/>
          <w:szCs w:val="24"/>
          <w:lang w:eastAsia="es-CO"/>
        </w:rPr>
      </w:pPr>
      <w:r w:rsidRPr="00234784">
        <w:rPr>
          <w:rFonts w:eastAsia="Times New Roman" w:cs="Times New Roman"/>
          <w:color w:val="000000"/>
          <w:szCs w:val="24"/>
          <w:lang w:eastAsia="es-CO"/>
        </w:rPr>
        <w:t> </w:t>
      </w:r>
    </w:p>
    <w:p w14:paraId="533AEDF7" w14:textId="77777777" w:rsidR="0080599D" w:rsidRPr="00234784" w:rsidRDefault="0080599D" w:rsidP="00234784">
      <w:pPr>
        <w:spacing w:after="0" w:line="360" w:lineRule="auto"/>
        <w:jc w:val="both"/>
        <w:rPr>
          <w:rFonts w:eastAsia="Times New Roman" w:cs="Times New Roman"/>
          <w:color w:val="000000"/>
          <w:szCs w:val="24"/>
          <w:lang w:eastAsia="es-CO"/>
        </w:rPr>
      </w:pPr>
      <w:r w:rsidRPr="00234784">
        <w:rPr>
          <w:rFonts w:eastAsia="Times New Roman" w:cs="Times New Roman"/>
          <w:color w:val="000000"/>
          <w:szCs w:val="24"/>
          <w:lang w:eastAsia="es-CO"/>
        </w:rPr>
        <w:t>Sobre el particular, las consideraciones de este Despacho son las siguientes:</w:t>
      </w:r>
    </w:p>
    <w:p w14:paraId="16C7F693" w14:textId="77777777" w:rsidR="0080599D" w:rsidRPr="00234784" w:rsidRDefault="0080599D" w:rsidP="00234784">
      <w:pPr>
        <w:spacing w:after="0" w:line="360" w:lineRule="auto"/>
        <w:jc w:val="both"/>
        <w:rPr>
          <w:rFonts w:eastAsia="Times New Roman" w:cs="Times New Roman"/>
          <w:color w:val="000000"/>
          <w:szCs w:val="24"/>
          <w:lang w:eastAsia="es-CO"/>
        </w:rPr>
      </w:pPr>
      <w:r w:rsidRPr="00234784">
        <w:rPr>
          <w:rFonts w:eastAsia="Times New Roman" w:cs="Times New Roman"/>
          <w:color w:val="000000"/>
          <w:szCs w:val="24"/>
          <w:lang w:eastAsia="es-CO"/>
        </w:rPr>
        <w:t> </w:t>
      </w:r>
    </w:p>
    <w:p w14:paraId="104B10B7" w14:textId="77777777" w:rsidR="0080599D" w:rsidRPr="00234784" w:rsidRDefault="0080599D" w:rsidP="00234784">
      <w:pPr>
        <w:spacing w:after="0" w:line="360" w:lineRule="auto"/>
        <w:jc w:val="both"/>
        <w:rPr>
          <w:rFonts w:eastAsia="Times New Roman" w:cs="Times New Roman"/>
          <w:color w:val="000000"/>
          <w:szCs w:val="24"/>
          <w:lang w:eastAsia="es-CO"/>
        </w:rPr>
      </w:pPr>
      <w:r w:rsidRPr="00234784">
        <w:rPr>
          <w:rFonts w:eastAsia="Times New Roman" w:cs="Times New Roman"/>
          <w:color w:val="000000"/>
          <w:szCs w:val="24"/>
          <w:lang w:eastAsia="es-CO"/>
        </w:rPr>
        <w:t>En relación con la realización del ingreso para efectos del impuesto sobre la renta y complementarios, habrá de atenderse lo dispuesto en los artículos </w:t>
      </w:r>
      <w:hyperlink r:id="rId5" w:tooltip="Estatuto Tributario CETA" w:history="1">
        <w:r w:rsidRPr="00234784">
          <w:rPr>
            <w:rFonts w:eastAsia="Times New Roman" w:cs="Times New Roman"/>
            <w:color w:val="0645AD"/>
            <w:szCs w:val="24"/>
            <w:u w:val="single"/>
            <w:lang w:eastAsia="es-CO"/>
          </w:rPr>
          <w:t>21-1</w:t>
        </w:r>
      </w:hyperlink>
      <w:r w:rsidRPr="00234784">
        <w:rPr>
          <w:rFonts w:eastAsia="Times New Roman" w:cs="Times New Roman"/>
          <w:color w:val="000000"/>
          <w:szCs w:val="24"/>
          <w:lang w:eastAsia="es-CO"/>
        </w:rPr>
        <w:t> y </w:t>
      </w:r>
      <w:hyperlink r:id="rId6" w:tooltip="Estatuto Tributario CETA" w:history="1">
        <w:r w:rsidRPr="00234784">
          <w:rPr>
            <w:rFonts w:eastAsia="Times New Roman" w:cs="Times New Roman"/>
            <w:color w:val="0645AD"/>
            <w:szCs w:val="24"/>
            <w:u w:val="single"/>
            <w:lang w:eastAsia="es-CO"/>
          </w:rPr>
          <w:t>28</w:t>
        </w:r>
      </w:hyperlink>
      <w:r w:rsidRPr="00234784">
        <w:rPr>
          <w:rFonts w:eastAsia="Times New Roman" w:cs="Times New Roman"/>
          <w:color w:val="000000"/>
          <w:szCs w:val="24"/>
          <w:lang w:eastAsia="es-CO"/>
        </w:rPr>
        <w:t> del Estatuto Tributario, los cuales prevén una serie de reglas, como las siguientes:</w:t>
      </w:r>
    </w:p>
    <w:p w14:paraId="2ACCEF82" w14:textId="77777777" w:rsidR="0080599D" w:rsidRPr="00234784" w:rsidRDefault="0080599D" w:rsidP="00234784">
      <w:pPr>
        <w:spacing w:after="0" w:line="360" w:lineRule="auto"/>
        <w:jc w:val="both"/>
        <w:rPr>
          <w:rFonts w:eastAsia="Times New Roman" w:cs="Times New Roman"/>
          <w:color w:val="000000"/>
          <w:szCs w:val="24"/>
          <w:lang w:eastAsia="es-CO"/>
        </w:rPr>
      </w:pPr>
      <w:r w:rsidRPr="00234784">
        <w:rPr>
          <w:rFonts w:eastAsia="Times New Roman" w:cs="Times New Roman"/>
          <w:color w:val="000000"/>
          <w:szCs w:val="24"/>
          <w:lang w:eastAsia="es-CO"/>
        </w:rPr>
        <w:t> </w:t>
      </w:r>
    </w:p>
    <w:p w14:paraId="130D1C74" w14:textId="77777777" w:rsidR="0080599D" w:rsidRPr="00234784" w:rsidRDefault="0080599D" w:rsidP="00234784">
      <w:pPr>
        <w:numPr>
          <w:ilvl w:val="0"/>
          <w:numId w:val="7"/>
        </w:numPr>
        <w:spacing w:before="100" w:beforeAutospacing="1" w:after="100" w:afterAutospacing="1" w:line="360" w:lineRule="auto"/>
        <w:ind w:left="1080" w:firstLine="0"/>
        <w:jc w:val="both"/>
        <w:rPr>
          <w:rFonts w:eastAsia="Times New Roman" w:cs="Times New Roman"/>
          <w:color w:val="000000"/>
          <w:szCs w:val="24"/>
          <w:lang w:eastAsia="es-CO"/>
        </w:rPr>
      </w:pPr>
      <w:r w:rsidRPr="00234784">
        <w:rPr>
          <w:rFonts w:eastAsia="Times New Roman" w:cs="Times New Roman"/>
          <w:i/>
          <w:iCs/>
          <w:color w:val="000000"/>
          <w:szCs w:val="24"/>
          <w:lang w:eastAsia="es-CO"/>
        </w:rPr>
        <w:t>“Para la determinación del impuesto sobre la renta y complementarios, en el valor de los (...) ingresos (...) los sujetos pasivos (...) obligados a llevar contabilidad </w:t>
      </w:r>
      <w:r w:rsidRPr="00234784">
        <w:rPr>
          <w:rFonts w:eastAsia="Times New Roman" w:cs="Times New Roman"/>
          <w:i/>
          <w:iCs/>
          <w:color w:val="000000"/>
          <w:szCs w:val="24"/>
          <w:u w:val="single"/>
          <w:lang w:eastAsia="es-CO"/>
        </w:rPr>
        <w:t>aplicarán los sistemas de reconocimientos y medición, de conformidad con los marcos técnicos normativos contables vigentes en Colombia,</w:t>
      </w:r>
      <w:r w:rsidRPr="00234784">
        <w:rPr>
          <w:rFonts w:eastAsia="Times New Roman" w:cs="Times New Roman"/>
          <w:i/>
          <w:iCs/>
          <w:color w:val="000000"/>
          <w:szCs w:val="24"/>
          <w:lang w:eastAsia="es-CO"/>
        </w:rPr>
        <w:t> cuando la ley tributaria remita expresamente a ellas y en los casos en que esta no regule la materia” (subrayado fuera de texto).</w:t>
      </w:r>
    </w:p>
    <w:p w14:paraId="790959E4" w14:textId="77777777" w:rsidR="0080599D" w:rsidRPr="00234784" w:rsidRDefault="0080599D" w:rsidP="00234784">
      <w:pPr>
        <w:spacing w:after="0" w:line="360" w:lineRule="auto"/>
        <w:jc w:val="both"/>
        <w:rPr>
          <w:rFonts w:eastAsia="Times New Roman" w:cs="Times New Roman"/>
          <w:color w:val="000000"/>
          <w:szCs w:val="24"/>
          <w:lang w:eastAsia="es-CO"/>
        </w:rPr>
      </w:pPr>
      <w:r w:rsidRPr="00234784">
        <w:rPr>
          <w:rFonts w:eastAsia="Times New Roman" w:cs="Times New Roman"/>
          <w:color w:val="000000"/>
          <w:szCs w:val="24"/>
          <w:lang w:eastAsia="es-CO"/>
        </w:rPr>
        <w:t> </w:t>
      </w:r>
    </w:p>
    <w:p w14:paraId="76CA722A" w14:textId="77777777" w:rsidR="0080599D" w:rsidRPr="00234784" w:rsidRDefault="0080599D" w:rsidP="00234784">
      <w:pPr>
        <w:numPr>
          <w:ilvl w:val="0"/>
          <w:numId w:val="8"/>
        </w:numPr>
        <w:spacing w:before="100" w:beforeAutospacing="1" w:after="100" w:afterAutospacing="1" w:line="360" w:lineRule="auto"/>
        <w:ind w:left="1080" w:firstLine="0"/>
        <w:jc w:val="both"/>
        <w:rPr>
          <w:rFonts w:eastAsia="Times New Roman" w:cs="Times New Roman"/>
          <w:color w:val="000000"/>
          <w:szCs w:val="24"/>
          <w:lang w:eastAsia="es-CO"/>
        </w:rPr>
      </w:pPr>
      <w:r w:rsidRPr="00234784">
        <w:rPr>
          <w:rFonts w:eastAsia="Times New Roman" w:cs="Times New Roman"/>
          <w:i/>
          <w:iCs/>
          <w:color w:val="000000"/>
          <w:szCs w:val="24"/>
          <w:lang w:eastAsia="es-CO"/>
        </w:rPr>
        <w:t>“Los (...) ingresos (...) deberán tener en cuenta </w:t>
      </w:r>
      <w:r w:rsidRPr="00234784">
        <w:rPr>
          <w:rFonts w:eastAsia="Times New Roman" w:cs="Times New Roman"/>
          <w:i/>
          <w:iCs/>
          <w:color w:val="000000"/>
          <w:szCs w:val="24"/>
          <w:u w:val="single"/>
          <w:lang w:eastAsia="es-CO"/>
        </w:rPr>
        <w:t>la base contable de acumulación o devengo, </w:t>
      </w:r>
      <w:r w:rsidRPr="00234784">
        <w:rPr>
          <w:rFonts w:eastAsia="Times New Roman" w:cs="Times New Roman"/>
          <w:i/>
          <w:iCs/>
          <w:color w:val="000000"/>
          <w:szCs w:val="24"/>
          <w:lang w:eastAsia="es-CO"/>
        </w:rPr>
        <w:t>la cual describe los efectos de las transacciones y otros sucesos y circunstancias sobre los recursos económicos (...) </w:t>
      </w:r>
      <w:r w:rsidRPr="00234784">
        <w:rPr>
          <w:rFonts w:eastAsia="Times New Roman" w:cs="Times New Roman"/>
          <w:i/>
          <w:iCs/>
          <w:color w:val="000000"/>
          <w:szCs w:val="24"/>
          <w:u w:val="single"/>
          <w:lang w:eastAsia="es-CO"/>
        </w:rPr>
        <w:t xml:space="preserve">en los períodos en que esos efectos </w:t>
      </w:r>
      <w:r w:rsidRPr="00234784">
        <w:rPr>
          <w:rFonts w:eastAsia="Times New Roman" w:cs="Times New Roman"/>
          <w:i/>
          <w:iCs/>
          <w:color w:val="000000"/>
          <w:szCs w:val="24"/>
          <w:u w:val="single"/>
          <w:lang w:eastAsia="es-CO"/>
        </w:rPr>
        <w:lastRenderedPageBreak/>
        <w:t>tienen lugar, incluso si los cobros y pagos resultantes se producen en un período diferente</w:t>
      </w:r>
      <w:r w:rsidRPr="00234784">
        <w:rPr>
          <w:rFonts w:eastAsia="Times New Roman" w:cs="Times New Roman"/>
          <w:i/>
          <w:iCs/>
          <w:color w:val="000000"/>
          <w:szCs w:val="24"/>
          <w:lang w:eastAsia="es-CO"/>
        </w:rPr>
        <w:t>” (subrayado fuera de texto).</w:t>
      </w:r>
    </w:p>
    <w:p w14:paraId="4F8ABCA7" w14:textId="77777777" w:rsidR="0080599D" w:rsidRPr="00234784" w:rsidRDefault="0080599D" w:rsidP="00234784">
      <w:pPr>
        <w:spacing w:after="0" w:line="360" w:lineRule="auto"/>
        <w:jc w:val="both"/>
        <w:rPr>
          <w:rFonts w:eastAsia="Times New Roman" w:cs="Times New Roman"/>
          <w:color w:val="000000"/>
          <w:szCs w:val="24"/>
          <w:lang w:eastAsia="es-CO"/>
        </w:rPr>
      </w:pPr>
      <w:r w:rsidRPr="00234784">
        <w:rPr>
          <w:rFonts w:eastAsia="Times New Roman" w:cs="Times New Roman"/>
          <w:color w:val="000000"/>
          <w:szCs w:val="24"/>
          <w:lang w:eastAsia="es-CO"/>
        </w:rPr>
        <w:t> </w:t>
      </w:r>
    </w:p>
    <w:p w14:paraId="18743534" w14:textId="77777777" w:rsidR="0080599D" w:rsidRPr="00234784" w:rsidRDefault="0080599D" w:rsidP="00234784">
      <w:pPr>
        <w:numPr>
          <w:ilvl w:val="0"/>
          <w:numId w:val="9"/>
        </w:numPr>
        <w:spacing w:before="100" w:beforeAutospacing="1" w:after="100" w:afterAutospacing="1" w:line="360" w:lineRule="auto"/>
        <w:ind w:left="1080" w:firstLine="0"/>
        <w:jc w:val="both"/>
        <w:rPr>
          <w:rFonts w:eastAsia="Times New Roman" w:cs="Times New Roman"/>
          <w:color w:val="000000"/>
          <w:szCs w:val="24"/>
          <w:lang w:eastAsia="es-CO"/>
        </w:rPr>
      </w:pPr>
      <w:r w:rsidRPr="00234784">
        <w:rPr>
          <w:rFonts w:eastAsia="Times New Roman" w:cs="Times New Roman"/>
          <w:i/>
          <w:iCs/>
          <w:color w:val="000000"/>
          <w:szCs w:val="24"/>
          <w:lang w:eastAsia="es-CO"/>
        </w:rPr>
        <w:t>“Cuando se utiliza la base contable de acumulación o devengo, una entidad reconocerá partidas como (...) ingresos (...) </w:t>
      </w:r>
      <w:r w:rsidRPr="00234784">
        <w:rPr>
          <w:rFonts w:eastAsia="Times New Roman" w:cs="Times New Roman"/>
          <w:i/>
          <w:iCs/>
          <w:color w:val="000000"/>
          <w:szCs w:val="24"/>
          <w:u w:val="single"/>
          <w:lang w:eastAsia="es-CO"/>
        </w:rPr>
        <w:t>cuando satisfagan las definiciones y los criterios de reconocimiento previstos para tales elementos, de acuerdo con los marcos técnicos normativos contables</w:t>
      </w:r>
      <w:r w:rsidRPr="00234784">
        <w:rPr>
          <w:rFonts w:eastAsia="Times New Roman" w:cs="Times New Roman"/>
          <w:i/>
          <w:iCs/>
          <w:color w:val="000000"/>
          <w:szCs w:val="24"/>
          <w:lang w:eastAsia="es-CO"/>
        </w:rPr>
        <w:t> que le sean aplicables al obligado a llevar contabilidad” (subrayado fuera de texto).</w:t>
      </w:r>
    </w:p>
    <w:p w14:paraId="3D29B9E6" w14:textId="77777777" w:rsidR="0080599D" w:rsidRPr="00234784" w:rsidRDefault="0080599D" w:rsidP="00234784">
      <w:pPr>
        <w:spacing w:after="0" w:line="360" w:lineRule="auto"/>
        <w:jc w:val="both"/>
        <w:rPr>
          <w:rFonts w:eastAsia="Times New Roman" w:cs="Times New Roman"/>
          <w:color w:val="000000"/>
          <w:szCs w:val="24"/>
          <w:lang w:eastAsia="es-CO"/>
        </w:rPr>
      </w:pPr>
      <w:r w:rsidRPr="00234784">
        <w:rPr>
          <w:rFonts w:eastAsia="Times New Roman" w:cs="Times New Roman"/>
          <w:color w:val="000000"/>
          <w:szCs w:val="24"/>
          <w:lang w:eastAsia="es-CO"/>
        </w:rPr>
        <w:t> </w:t>
      </w:r>
    </w:p>
    <w:p w14:paraId="04CD7444" w14:textId="77777777" w:rsidR="0080599D" w:rsidRPr="00234784" w:rsidRDefault="0080599D" w:rsidP="00234784">
      <w:pPr>
        <w:numPr>
          <w:ilvl w:val="0"/>
          <w:numId w:val="10"/>
        </w:numPr>
        <w:spacing w:before="100" w:beforeAutospacing="1" w:after="100" w:afterAutospacing="1" w:line="360" w:lineRule="auto"/>
        <w:ind w:left="1080" w:firstLine="0"/>
        <w:jc w:val="both"/>
        <w:rPr>
          <w:rFonts w:eastAsia="Times New Roman" w:cs="Times New Roman"/>
          <w:color w:val="000000"/>
          <w:szCs w:val="24"/>
          <w:lang w:eastAsia="es-CO"/>
        </w:rPr>
      </w:pPr>
      <w:r w:rsidRPr="00234784">
        <w:rPr>
          <w:rFonts w:eastAsia="Times New Roman" w:cs="Times New Roman"/>
          <w:i/>
          <w:iCs/>
          <w:color w:val="000000"/>
          <w:szCs w:val="24"/>
          <w:lang w:eastAsia="es-CO"/>
        </w:rPr>
        <w:t>“Para los contribuyentes que estén obligados a llevar contabilidad, los ingresos realizados fiscalmente son </w:t>
      </w:r>
      <w:r w:rsidRPr="00234784">
        <w:rPr>
          <w:rFonts w:eastAsia="Times New Roman" w:cs="Times New Roman"/>
          <w:i/>
          <w:iCs/>
          <w:color w:val="000000"/>
          <w:szCs w:val="24"/>
          <w:u w:val="single"/>
          <w:lang w:eastAsia="es-CO"/>
        </w:rPr>
        <w:t>los ingresos devengados contablemente en el año o período gravable</w:t>
      </w:r>
      <w:r w:rsidRPr="00234784">
        <w:rPr>
          <w:rFonts w:eastAsia="Times New Roman" w:cs="Times New Roman"/>
          <w:i/>
          <w:iCs/>
          <w:color w:val="000000"/>
          <w:szCs w:val="24"/>
          <w:lang w:eastAsia="es-CO"/>
        </w:rPr>
        <w:t>” (subrayado fuera de texto), salvo ciertas diferencias.</w:t>
      </w:r>
    </w:p>
    <w:p w14:paraId="58F201A9" w14:textId="77777777" w:rsidR="0080599D" w:rsidRPr="00234784" w:rsidRDefault="0080599D" w:rsidP="00234784">
      <w:pPr>
        <w:spacing w:after="0" w:line="360" w:lineRule="auto"/>
        <w:jc w:val="both"/>
        <w:rPr>
          <w:rFonts w:eastAsia="Times New Roman" w:cs="Times New Roman"/>
          <w:color w:val="000000"/>
          <w:szCs w:val="24"/>
          <w:lang w:eastAsia="es-CO"/>
        </w:rPr>
      </w:pPr>
      <w:r w:rsidRPr="00234784">
        <w:rPr>
          <w:rFonts w:eastAsia="Times New Roman" w:cs="Times New Roman"/>
          <w:color w:val="000000"/>
          <w:szCs w:val="24"/>
          <w:lang w:eastAsia="es-CO"/>
        </w:rPr>
        <w:t> </w:t>
      </w:r>
    </w:p>
    <w:p w14:paraId="573689A2" w14:textId="77777777" w:rsidR="0080599D" w:rsidRPr="00234784" w:rsidRDefault="0080599D" w:rsidP="00234784">
      <w:pPr>
        <w:spacing w:after="0" w:line="360" w:lineRule="auto"/>
        <w:jc w:val="both"/>
        <w:rPr>
          <w:rFonts w:eastAsia="Times New Roman" w:cs="Times New Roman"/>
          <w:color w:val="000000"/>
          <w:szCs w:val="24"/>
          <w:lang w:eastAsia="es-CO"/>
        </w:rPr>
      </w:pPr>
      <w:r w:rsidRPr="00234784">
        <w:rPr>
          <w:rFonts w:eastAsia="Times New Roman" w:cs="Times New Roman"/>
          <w:color w:val="000000"/>
          <w:szCs w:val="24"/>
          <w:lang w:eastAsia="es-CO"/>
        </w:rPr>
        <w:t>Habiéndose reconocido la realización fiscal del ingreso y para efectos de las autorretenciones de que tratan los artículos 1.2.6.1. y 1.2.6.6. del Decreto 1625 de 2016, habrá de considerarse lo expresado en el Oficio 023230 del 19 de agosto de 2015:</w:t>
      </w:r>
    </w:p>
    <w:p w14:paraId="624AF280" w14:textId="77777777" w:rsidR="0080599D" w:rsidRPr="00234784" w:rsidRDefault="0080599D" w:rsidP="00234784">
      <w:pPr>
        <w:spacing w:after="0" w:line="360" w:lineRule="auto"/>
        <w:jc w:val="both"/>
        <w:rPr>
          <w:rFonts w:eastAsia="Times New Roman" w:cs="Times New Roman"/>
          <w:color w:val="000000"/>
          <w:szCs w:val="24"/>
          <w:lang w:eastAsia="es-CO"/>
        </w:rPr>
      </w:pPr>
      <w:r w:rsidRPr="00234784">
        <w:rPr>
          <w:rFonts w:eastAsia="Times New Roman" w:cs="Times New Roman"/>
          <w:color w:val="000000"/>
          <w:szCs w:val="24"/>
          <w:lang w:eastAsia="es-CO"/>
        </w:rPr>
        <w:t> </w:t>
      </w:r>
    </w:p>
    <w:p w14:paraId="704612DB" w14:textId="77777777" w:rsidR="0080599D" w:rsidRPr="00234784" w:rsidRDefault="0080599D" w:rsidP="00234784">
      <w:pPr>
        <w:spacing w:after="0" w:line="360" w:lineRule="auto"/>
        <w:ind w:left="284"/>
        <w:jc w:val="both"/>
        <w:rPr>
          <w:rFonts w:eastAsia="Times New Roman" w:cs="Times New Roman"/>
          <w:color w:val="000000"/>
          <w:szCs w:val="24"/>
          <w:lang w:eastAsia="es-CO"/>
        </w:rPr>
      </w:pPr>
      <w:r w:rsidRPr="00234784">
        <w:rPr>
          <w:rFonts w:eastAsia="Times New Roman" w:cs="Times New Roman"/>
          <w:i/>
          <w:iCs/>
          <w:color w:val="000000"/>
          <w:szCs w:val="24"/>
          <w:lang w:eastAsia="es-CO"/>
        </w:rPr>
        <w:t>“(...) de conformidad con lo establecido por la Doctrina de esta Dirección para efectos de que determinado Ingreso sea objeto de retención en la fuente, el mismo como regla general debe cumplir con una serie de características descritas en el concepto 030534 del 12 de abril de 1996 establece:</w:t>
      </w:r>
    </w:p>
    <w:p w14:paraId="4B4E4D26" w14:textId="77777777" w:rsidR="0080599D" w:rsidRPr="00234784" w:rsidRDefault="0080599D" w:rsidP="00234784">
      <w:pPr>
        <w:spacing w:after="0" w:line="360" w:lineRule="auto"/>
        <w:ind w:left="284"/>
        <w:jc w:val="both"/>
        <w:rPr>
          <w:rFonts w:eastAsia="Times New Roman" w:cs="Times New Roman"/>
          <w:color w:val="000000"/>
          <w:szCs w:val="24"/>
          <w:lang w:eastAsia="es-CO"/>
        </w:rPr>
      </w:pPr>
      <w:r w:rsidRPr="00234784">
        <w:rPr>
          <w:rFonts w:eastAsia="Times New Roman" w:cs="Times New Roman"/>
          <w:color w:val="000000"/>
          <w:szCs w:val="24"/>
          <w:lang w:eastAsia="es-CO"/>
        </w:rPr>
        <w:t> </w:t>
      </w:r>
    </w:p>
    <w:p w14:paraId="15F292BC" w14:textId="77777777" w:rsidR="0080599D" w:rsidRPr="00234784" w:rsidRDefault="0080599D" w:rsidP="00234784">
      <w:pPr>
        <w:spacing w:after="0" w:line="360" w:lineRule="auto"/>
        <w:ind w:left="284"/>
        <w:jc w:val="both"/>
        <w:rPr>
          <w:rFonts w:eastAsia="Times New Roman" w:cs="Times New Roman"/>
          <w:color w:val="000000"/>
          <w:szCs w:val="24"/>
          <w:lang w:eastAsia="es-CO"/>
        </w:rPr>
      </w:pPr>
      <w:r w:rsidRPr="00234784">
        <w:rPr>
          <w:rFonts w:eastAsia="Times New Roman" w:cs="Times New Roman"/>
          <w:i/>
          <w:iCs/>
          <w:color w:val="000000"/>
          <w:szCs w:val="24"/>
          <w:lang w:eastAsia="es-CO"/>
        </w:rPr>
        <w:t>“En materia de retención en la fuente, es importante tener en cuenta que la misma, como mecanismo de recaudo anticipado del impuesto, es efectuada por la persona o entidad que realiza un pago o abono en cuenta, siempre que estos se encuentren sometidos a retención. Así, en términos generales, </w:t>
      </w:r>
      <w:r w:rsidRPr="00234784">
        <w:rPr>
          <w:rFonts w:eastAsia="Times New Roman" w:cs="Times New Roman"/>
          <w:i/>
          <w:iCs/>
          <w:color w:val="000000"/>
          <w:szCs w:val="24"/>
          <w:u w:val="single"/>
          <w:lang w:eastAsia="es-CO"/>
        </w:rPr>
        <w:t>un pago o abono en cuenta estará sometido a retención en la fuente, siempre que constituya ingreso tributario, que sea gravado con renta o ganancia ocasional, o que no se halle expresamente exento de retención</w:t>
      </w:r>
      <w:r w:rsidRPr="00234784">
        <w:rPr>
          <w:rFonts w:eastAsia="Times New Roman" w:cs="Times New Roman"/>
          <w:i/>
          <w:iCs/>
          <w:color w:val="000000"/>
          <w:szCs w:val="24"/>
          <w:lang w:eastAsia="es-CO"/>
        </w:rPr>
        <w:t>"</w:t>
      </w:r>
    </w:p>
    <w:p w14:paraId="15F3E74E" w14:textId="77777777" w:rsidR="0080599D" w:rsidRPr="00234784" w:rsidRDefault="0080599D" w:rsidP="00234784">
      <w:pPr>
        <w:spacing w:after="0" w:line="360" w:lineRule="auto"/>
        <w:ind w:left="284"/>
        <w:jc w:val="both"/>
        <w:rPr>
          <w:rFonts w:eastAsia="Times New Roman" w:cs="Times New Roman"/>
          <w:color w:val="000000"/>
          <w:szCs w:val="24"/>
          <w:lang w:eastAsia="es-CO"/>
        </w:rPr>
      </w:pPr>
      <w:r w:rsidRPr="00234784">
        <w:rPr>
          <w:rFonts w:eastAsia="Times New Roman" w:cs="Times New Roman"/>
          <w:color w:val="000000"/>
          <w:szCs w:val="24"/>
          <w:lang w:eastAsia="es-CO"/>
        </w:rPr>
        <w:t> </w:t>
      </w:r>
    </w:p>
    <w:p w14:paraId="48FD46DE" w14:textId="77777777" w:rsidR="0080599D" w:rsidRPr="00234784" w:rsidRDefault="0080599D" w:rsidP="00234784">
      <w:pPr>
        <w:spacing w:after="0" w:line="360" w:lineRule="auto"/>
        <w:ind w:left="284"/>
        <w:jc w:val="both"/>
        <w:rPr>
          <w:rFonts w:eastAsia="Times New Roman" w:cs="Times New Roman"/>
          <w:color w:val="000000"/>
          <w:szCs w:val="24"/>
          <w:lang w:eastAsia="es-CO"/>
        </w:rPr>
      </w:pPr>
      <w:r w:rsidRPr="00234784">
        <w:rPr>
          <w:rFonts w:eastAsia="Times New Roman" w:cs="Times New Roman"/>
          <w:i/>
          <w:iCs/>
          <w:color w:val="000000"/>
          <w:szCs w:val="24"/>
          <w:lang w:eastAsia="es-CO"/>
        </w:rPr>
        <w:t>(...)” </w:t>
      </w:r>
      <w:r w:rsidRPr="00234784">
        <w:rPr>
          <w:rFonts w:eastAsia="Times New Roman" w:cs="Times New Roman"/>
          <w:color w:val="000000"/>
          <w:szCs w:val="24"/>
          <w:lang w:eastAsia="es-CO"/>
        </w:rPr>
        <w:t>(subrayado fuera de texto)</w:t>
      </w:r>
    </w:p>
    <w:p w14:paraId="3794A0F2" w14:textId="77777777" w:rsidR="0080599D" w:rsidRPr="00234784" w:rsidRDefault="0080599D" w:rsidP="00234784">
      <w:pPr>
        <w:spacing w:after="0" w:line="360" w:lineRule="auto"/>
        <w:jc w:val="both"/>
        <w:rPr>
          <w:rFonts w:eastAsia="Times New Roman" w:cs="Times New Roman"/>
          <w:color w:val="000000"/>
          <w:szCs w:val="24"/>
          <w:lang w:eastAsia="es-CO"/>
        </w:rPr>
      </w:pPr>
      <w:r w:rsidRPr="00234784">
        <w:rPr>
          <w:rFonts w:eastAsia="Times New Roman" w:cs="Times New Roman"/>
          <w:color w:val="000000"/>
          <w:szCs w:val="24"/>
          <w:lang w:eastAsia="es-CO"/>
        </w:rPr>
        <w:t> </w:t>
      </w:r>
    </w:p>
    <w:p w14:paraId="5BEF25C6" w14:textId="77777777" w:rsidR="0080599D" w:rsidRPr="00234784" w:rsidRDefault="0080599D" w:rsidP="00234784">
      <w:pPr>
        <w:spacing w:after="0" w:line="360" w:lineRule="auto"/>
        <w:jc w:val="both"/>
        <w:rPr>
          <w:rFonts w:eastAsia="Times New Roman" w:cs="Times New Roman"/>
          <w:color w:val="000000"/>
          <w:szCs w:val="24"/>
          <w:lang w:eastAsia="es-CO"/>
        </w:rPr>
      </w:pPr>
      <w:r w:rsidRPr="00234784">
        <w:rPr>
          <w:rFonts w:eastAsia="Times New Roman" w:cs="Times New Roman"/>
          <w:color w:val="000000"/>
          <w:szCs w:val="24"/>
          <w:lang w:eastAsia="es-CO"/>
        </w:rPr>
        <w:t>Por último, frente a la “provisión de ingresos”, se traen con fines meramente ilustrativos los siguientes pronunciamientos del CTCP:</w:t>
      </w:r>
    </w:p>
    <w:p w14:paraId="0089102C" w14:textId="77777777" w:rsidR="0080599D" w:rsidRPr="00234784" w:rsidRDefault="0080599D" w:rsidP="00234784">
      <w:pPr>
        <w:spacing w:after="0" w:line="360" w:lineRule="auto"/>
        <w:jc w:val="both"/>
        <w:rPr>
          <w:rFonts w:eastAsia="Times New Roman" w:cs="Times New Roman"/>
          <w:color w:val="000000"/>
          <w:szCs w:val="24"/>
          <w:lang w:eastAsia="es-CO"/>
        </w:rPr>
      </w:pPr>
      <w:r w:rsidRPr="00234784">
        <w:rPr>
          <w:rFonts w:eastAsia="Times New Roman" w:cs="Times New Roman"/>
          <w:color w:val="000000"/>
          <w:szCs w:val="24"/>
          <w:lang w:eastAsia="es-CO"/>
        </w:rPr>
        <w:t> </w:t>
      </w:r>
    </w:p>
    <w:p w14:paraId="253E2966" w14:textId="77777777" w:rsidR="0080599D" w:rsidRPr="00234784" w:rsidRDefault="0080599D" w:rsidP="00234784">
      <w:pPr>
        <w:numPr>
          <w:ilvl w:val="0"/>
          <w:numId w:val="11"/>
        </w:numPr>
        <w:spacing w:before="100" w:beforeAutospacing="1" w:after="100" w:afterAutospacing="1" w:line="360" w:lineRule="auto"/>
        <w:ind w:left="1080" w:firstLine="0"/>
        <w:jc w:val="both"/>
        <w:rPr>
          <w:rFonts w:eastAsia="Times New Roman" w:cs="Times New Roman"/>
          <w:color w:val="000000"/>
          <w:szCs w:val="24"/>
          <w:lang w:eastAsia="es-CO"/>
        </w:rPr>
      </w:pPr>
      <w:r w:rsidRPr="00234784">
        <w:rPr>
          <w:rFonts w:eastAsia="Times New Roman" w:cs="Times New Roman"/>
          <w:color w:val="000000"/>
          <w:szCs w:val="24"/>
          <w:lang w:eastAsia="es-CO"/>
        </w:rPr>
        <w:t xml:space="preserve">Concepto </w:t>
      </w:r>
      <w:proofErr w:type="spellStart"/>
      <w:r w:rsidRPr="00234784">
        <w:rPr>
          <w:rFonts w:eastAsia="Times New Roman" w:cs="Times New Roman"/>
          <w:color w:val="000000"/>
          <w:szCs w:val="24"/>
          <w:lang w:eastAsia="es-CO"/>
        </w:rPr>
        <w:t>N°</w:t>
      </w:r>
      <w:proofErr w:type="spellEnd"/>
      <w:r w:rsidRPr="00234784">
        <w:rPr>
          <w:rFonts w:eastAsia="Times New Roman" w:cs="Times New Roman"/>
          <w:color w:val="000000"/>
          <w:szCs w:val="24"/>
          <w:lang w:eastAsia="es-CO"/>
        </w:rPr>
        <w:t xml:space="preserve"> 016 del 21 de agosto de 2013:</w:t>
      </w:r>
    </w:p>
    <w:p w14:paraId="5CC6F77C" w14:textId="77777777" w:rsidR="0080599D" w:rsidRPr="00234784" w:rsidRDefault="0080599D" w:rsidP="00234784">
      <w:pPr>
        <w:spacing w:after="0" w:line="360" w:lineRule="auto"/>
        <w:jc w:val="both"/>
        <w:rPr>
          <w:rFonts w:eastAsia="Times New Roman" w:cs="Times New Roman"/>
          <w:color w:val="000000"/>
          <w:szCs w:val="24"/>
          <w:lang w:eastAsia="es-CO"/>
        </w:rPr>
      </w:pPr>
      <w:r w:rsidRPr="00234784">
        <w:rPr>
          <w:rFonts w:eastAsia="Times New Roman" w:cs="Times New Roman"/>
          <w:color w:val="000000"/>
          <w:szCs w:val="24"/>
          <w:lang w:eastAsia="es-CO"/>
        </w:rPr>
        <w:lastRenderedPageBreak/>
        <w:t> </w:t>
      </w:r>
    </w:p>
    <w:p w14:paraId="581135B0" w14:textId="77777777" w:rsidR="0080599D" w:rsidRPr="00234784" w:rsidRDefault="0080599D" w:rsidP="00234784">
      <w:pPr>
        <w:spacing w:after="0" w:line="360" w:lineRule="auto"/>
        <w:ind w:left="284"/>
        <w:jc w:val="both"/>
        <w:rPr>
          <w:rFonts w:eastAsia="Times New Roman" w:cs="Times New Roman"/>
          <w:color w:val="000000"/>
          <w:szCs w:val="24"/>
          <w:lang w:eastAsia="es-CO"/>
        </w:rPr>
      </w:pPr>
      <w:r w:rsidRPr="00234784">
        <w:rPr>
          <w:rFonts w:eastAsia="Times New Roman" w:cs="Times New Roman"/>
          <w:i/>
          <w:iCs/>
          <w:color w:val="000000"/>
          <w:szCs w:val="24"/>
          <w:lang w:eastAsia="es-CO"/>
        </w:rPr>
        <w:t>“(...) el párrafo 10 de la NIC 37 define la palabra provisión como:</w:t>
      </w:r>
    </w:p>
    <w:p w14:paraId="274576CF" w14:textId="77777777" w:rsidR="0080599D" w:rsidRPr="00234784" w:rsidRDefault="0080599D" w:rsidP="00234784">
      <w:pPr>
        <w:spacing w:after="0" w:line="360" w:lineRule="auto"/>
        <w:ind w:left="284"/>
        <w:jc w:val="both"/>
        <w:rPr>
          <w:rFonts w:eastAsia="Times New Roman" w:cs="Times New Roman"/>
          <w:color w:val="000000"/>
          <w:szCs w:val="24"/>
          <w:lang w:eastAsia="es-CO"/>
        </w:rPr>
      </w:pPr>
      <w:r w:rsidRPr="00234784">
        <w:rPr>
          <w:rFonts w:eastAsia="Times New Roman" w:cs="Times New Roman"/>
          <w:color w:val="000000"/>
          <w:szCs w:val="24"/>
          <w:lang w:eastAsia="es-CO"/>
        </w:rPr>
        <w:t> </w:t>
      </w:r>
    </w:p>
    <w:p w14:paraId="2EEB9CD2" w14:textId="77777777" w:rsidR="0080599D" w:rsidRPr="00234784" w:rsidRDefault="0080599D" w:rsidP="00234784">
      <w:pPr>
        <w:spacing w:after="0" w:line="360" w:lineRule="auto"/>
        <w:ind w:left="284"/>
        <w:jc w:val="both"/>
        <w:rPr>
          <w:rFonts w:eastAsia="Times New Roman" w:cs="Times New Roman"/>
          <w:color w:val="000000"/>
          <w:szCs w:val="24"/>
          <w:lang w:eastAsia="es-CO"/>
        </w:rPr>
      </w:pPr>
      <w:r w:rsidRPr="00234784">
        <w:rPr>
          <w:rFonts w:eastAsia="Times New Roman" w:cs="Times New Roman"/>
          <w:i/>
          <w:iCs/>
          <w:color w:val="000000"/>
          <w:szCs w:val="24"/>
          <w:lang w:eastAsia="es-CO"/>
        </w:rPr>
        <w:t>“pasivos en los que existe incertidumbre acerca de su cuantía o vencimiento.”</w:t>
      </w:r>
    </w:p>
    <w:p w14:paraId="1FEBF1EB" w14:textId="77777777" w:rsidR="0080599D" w:rsidRPr="00234784" w:rsidRDefault="0080599D" w:rsidP="00234784">
      <w:pPr>
        <w:spacing w:after="0" w:line="360" w:lineRule="auto"/>
        <w:ind w:left="284"/>
        <w:jc w:val="both"/>
        <w:rPr>
          <w:rFonts w:eastAsia="Times New Roman" w:cs="Times New Roman"/>
          <w:color w:val="000000"/>
          <w:szCs w:val="24"/>
          <w:lang w:eastAsia="es-CO"/>
        </w:rPr>
      </w:pPr>
      <w:r w:rsidRPr="00234784">
        <w:rPr>
          <w:rFonts w:eastAsia="Times New Roman" w:cs="Times New Roman"/>
          <w:color w:val="000000"/>
          <w:szCs w:val="24"/>
          <w:lang w:eastAsia="es-CO"/>
        </w:rPr>
        <w:t> </w:t>
      </w:r>
    </w:p>
    <w:p w14:paraId="39AC7EBE" w14:textId="77777777" w:rsidR="0080599D" w:rsidRPr="00234784" w:rsidRDefault="0080599D" w:rsidP="00234784">
      <w:pPr>
        <w:spacing w:after="0" w:line="360" w:lineRule="auto"/>
        <w:ind w:left="284"/>
        <w:jc w:val="both"/>
        <w:rPr>
          <w:rFonts w:eastAsia="Times New Roman" w:cs="Times New Roman"/>
          <w:color w:val="000000"/>
          <w:szCs w:val="24"/>
          <w:lang w:eastAsia="es-CO"/>
        </w:rPr>
      </w:pPr>
      <w:r w:rsidRPr="00234784">
        <w:rPr>
          <w:rFonts w:eastAsia="Times New Roman" w:cs="Times New Roman"/>
          <w:i/>
          <w:iCs/>
          <w:color w:val="000000"/>
          <w:szCs w:val="24"/>
          <w:lang w:eastAsia="es-CO"/>
        </w:rPr>
        <w:t>Por lo anterior, </w:t>
      </w:r>
      <w:r w:rsidRPr="00234784">
        <w:rPr>
          <w:rFonts w:eastAsia="Times New Roman" w:cs="Times New Roman"/>
          <w:i/>
          <w:iCs/>
          <w:color w:val="000000"/>
          <w:szCs w:val="24"/>
          <w:u w:val="single"/>
          <w:lang w:eastAsia="es-CO"/>
        </w:rPr>
        <w:t>no se contemplan en las Normas Internacionales de Información Financiera provisiones en la sección de ingresos;</w:t>
      </w:r>
      <w:r w:rsidRPr="00234784">
        <w:rPr>
          <w:rFonts w:eastAsia="Times New Roman" w:cs="Times New Roman"/>
          <w:i/>
          <w:iCs/>
          <w:color w:val="000000"/>
          <w:szCs w:val="24"/>
          <w:lang w:eastAsia="es-CO"/>
        </w:rPr>
        <w:t> sin embargo, las normas citan la palabra “estimación” en el párrafo 23 de la NIC 18 (...)” </w:t>
      </w:r>
      <w:r w:rsidRPr="00234784">
        <w:rPr>
          <w:rFonts w:eastAsia="Times New Roman" w:cs="Times New Roman"/>
          <w:color w:val="000000"/>
          <w:szCs w:val="24"/>
          <w:lang w:eastAsia="es-CO"/>
        </w:rPr>
        <w:t>(subrayado fuera de texto)</w:t>
      </w:r>
    </w:p>
    <w:p w14:paraId="2987059C" w14:textId="77777777" w:rsidR="0080599D" w:rsidRPr="00234784" w:rsidRDefault="0080599D" w:rsidP="00234784">
      <w:pPr>
        <w:spacing w:after="0" w:line="360" w:lineRule="auto"/>
        <w:jc w:val="both"/>
        <w:rPr>
          <w:rFonts w:eastAsia="Times New Roman" w:cs="Times New Roman"/>
          <w:color w:val="000000"/>
          <w:szCs w:val="24"/>
          <w:lang w:eastAsia="es-CO"/>
        </w:rPr>
      </w:pPr>
      <w:r w:rsidRPr="00234784">
        <w:rPr>
          <w:rFonts w:eastAsia="Times New Roman" w:cs="Times New Roman"/>
          <w:color w:val="000000"/>
          <w:szCs w:val="24"/>
          <w:lang w:eastAsia="es-CO"/>
        </w:rPr>
        <w:t> </w:t>
      </w:r>
    </w:p>
    <w:p w14:paraId="3BEEE932" w14:textId="77777777" w:rsidR="0080599D" w:rsidRPr="00234784" w:rsidRDefault="0080599D" w:rsidP="00234784">
      <w:pPr>
        <w:numPr>
          <w:ilvl w:val="0"/>
          <w:numId w:val="12"/>
        </w:numPr>
        <w:spacing w:before="100" w:beforeAutospacing="1" w:after="100" w:afterAutospacing="1" w:line="360" w:lineRule="auto"/>
        <w:ind w:left="1080" w:firstLine="0"/>
        <w:jc w:val="both"/>
        <w:rPr>
          <w:rFonts w:eastAsia="Times New Roman" w:cs="Times New Roman"/>
          <w:color w:val="000000"/>
          <w:szCs w:val="24"/>
          <w:lang w:eastAsia="es-CO"/>
        </w:rPr>
      </w:pPr>
      <w:r w:rsidRPr="00234784">
        <w:rPr>
          <w:rFonts w:eastAsia="Times New Roman" w:cs="Times New Roman"/>
          <w:color w:val="000000"/>
          <w:szCs w:val="24"/>
          <w:lang w:eastAsia="es-CO"/>
        </w:rPr>
        <w:t xml:space="preserve">Concepto </w:t>
      </w:r>
      <w:proofErr w:type="spellStart"/>
      <w:r w:rsidRPr="00234784">
        <w:rPr>
          <w:rFonts w:eastAsia="Times New Roman" w:cs="Times New Roman"/>
          <w:color w:val="000000"/>
          <w:szCs w:val="24"/>
          <w:lang w:eastAsia="es-CO"/>
        </w:rPr>
        <w:t>N°</w:t>
      </w:r>
      <w:proofErr w:type="spellEnd"/>
      <w:r w:rsidRPr="00234784">
        <w:rPr>
          <w:rFonts w:eastAsia="Times New Roman" w:cs="Times New Roman"/>
          <w:color w:val="000000"/>
          <w:szCs w:val="24"/>
          <w:lang w:eastAsia="es-CO"/>
        </w:rPr>
        <w:t xml:space="preserve"> 0384 del 10 de abril de 2019:</w:t>
      </w:r>
    </w:p>
    <w:p w14:paraId="5774ED7E" w14:textId="77777777" w:rsidR="0080599D" w:rsidRPr="00234784" w:rsidRDefault="0080599D" w:rsidP="00234784">
      <w:pPr>
        <w:spacing w:after="0" w:line="360" w:lineRule="auto"/>
        <w:jc w:val="both"/>
        <w:rPr>
          <w:rFonts w:eastAsia="Times New Roman" w:cs="Times New Roman"/>
          <w:color w:val="000000"/>
          <w:szCs w:val="24"/>
          <w:lang w:eastAsia="es-CO"/>
        </w:rPr>
      </w:pPr>
      <w:r w:rsidRPr="00234784">
        <w:rPr>
          <w:rFonts w:eastAsia="Times New Roman" w:cs="Times New Roman"/>
          <w:color w:val="000000"/>
          <w:szCs w:val="24"/>
          <w:lang w:eastAsia="es-CO"/>
        </w:rPr>
        <w:t> </w:t>
      </w:r>
    </w:p>
    <w:p w14:paraId="3BC7DBCE" w14:textId="77777777" w:rsidR="0080599D" w:rsidRPr="00234784" w:rsidRDefault="0080599D" w:rsidP="00234784">
      <w:pPr>
        <w:spacing w:after="0" w:line="360" w:lineRule="auto"/>
        <w:ind w:left="284"/>
        <w:jc w:val="both"/>
        <w:rPr>
          <w:rFonts w:eastAsia="Times New Roman" w:cs="Times New Roman"/>
          <w:color w:val="000000"/>
          <w:szCs w:val="24"/>
          <w:lang w:eastAsia="es-CO"/>
        </w:rPr>
      </w:pPr>
      <w:r w:rsidRPr="00234784">
        <w:rPr>
          <w:rFonts w:eastAsia="Times New Roman" w:cs="Times New Roman"/>
          <w:i/>
          <w:iCs/>
          <w:color w:val="000000"/>
          <w:szCs w:val="24"/>
          <w:lang w:eastAsia="es-CO"/>
        </w:rPr>
        <w:t xml:space="preserve">“(…) el reconocimiento contable del ingreso en la prestación de servicios se efectuará en la medida que se preste el servicio utilizando algunos de los métodos definidos en los párrafos 23.21 y 23.22 del anexo </w:t>
      </w:r>
      <w:proofErr w:type="spellStart"/>
      <w:r w:rsidRPr="00234784">
        <w:rPr>
          <w:rFonts w:eastAsia="Times New Roman" w:cs="Times New Roman"/>
          <w:i/>
          <w:iCs/>
          <w:color w:val="000000"/>
          <w:szCs w:val="24"/>
          <w:lang w:eastAsia="es-CO"/>
        </w:rPr>
        <w:t>N°</w:t>
      </w:r>
      <w:proofErr w:type="spellEnd"/>
      <w:r w:rsidRPr="00234784">
        <w:rPr>
          <w:rFonts w:eastAsia="Times New Roman" w:cs="Times New Roman"/>
          <w:i/>
          <w:iCs/>
          <w:color w:val="000000"/>
          <w:szCs w:val="24"/>
          <w:lang w:eastAsia="es-CO"/>
        </w:rPr>
        <w:t xml:space="preserve"> 2, por </w:t>
      </w:r>
      <w:proofErr w:type="gramStart"/>
      <w:r w:rsidRPr="00234784">
        <w:rPr>
          <w:rFonts w:eastAsia="Times New Roman" w:cs="Times New Roman"/>
          <w:i/>
          <w:iCs/>
          <w:color w:val="000000"/>
          <w:szCs w:val="24"/>
          <w:lang w:eastAsia="es-CO"/>
        </w:rPr>
        <w:t>tanto</w:t>
      </w:r>
      <w:proofErr w:type="gramEnd"/>
      <w:r w:rsidRPr="00234784">
        <w:rPr>
          <w:rFonts w:eastAsia="Times New Roman" w:cs="Times New Roman"/>
          <w:i/>
          <w:iCs/>
          <w:color w:val="000000"/>
          <w:szCs w:val="24"/>
          <w:lang w:eastAsia="es-CO"/>
        </w:rPr>
        <w:t> </w:t>
      </w:r>
      <w:r w:rsidRPr="00234784">
        <w:rPr>
          <w:rFonts w:eastAsia="Times New Roman" w:cs="Times New Roman"/>
          <w:i/>
          <w:iCs/>
          <w:color w:val="000000"/>
          <w:szCs w:val="24"/>
          <w:u w:val="single"/>
          <w:lang w:eastAsia="es-CO"/>
        </w:rPr>
        <w:t>el concepto de “provisión sobre ingresos”, en el nuevo marco técnico normativo no es aplicable y en consecuencia, se afectará el estado de resultados en la medida en que se preste el servicio</w:t>
      </w:r>
      <w:r w:rsidRPr="00234784">
        <w:rPr>
          <w:rFonts w:eastAsia="Times New Roman" w:cs="Times New Roman"/>
          <w:i/>
          <w:iCs/>
          <w:color w:val="000000"/>
          <w:szCs w:val="24"/>
          <w:lang w:eastAsia="es-CO"/>
        </w:rPr>
        <w:t> (...)” </w:t>
      </w:r>
      <w:r w:rsidRPr="00234784">
        <w:rPr>
          <w:rFonts w:eastAsia="Times New Roman" w:cs="Times New Roman"/>
          <w:color w:val="000000"/>
          <w:szCs w:val="24"/>
          <w:lang w:eastAsia="es-CO"/>
        </w:rPr>
        <w:t>(subrayado fuera de texto)</w:t>
      </w:r>
    </w:p>
    <w:p w14:paraId="232ECB27" w14:textId="5534695D" w:rsidR="0080599D" w:rsidRPr="00234784" w:rsidRDefault="0080599D" w:rsidP="00234784">
      <w:pPr>
        <w:spacing w:line="360" w:lineRule="auto"/>
        <w:rPr>
          <w:rFonts w:cs="Times New Roman"/>
          <w:szCs w:val="24"/>
        </w:rPr>
      </w:pPr>
    </w:p>
    <w:p w14:paraId="52C55476" w14:textId="77777777" w:rsidR="0080599D" w:rsidRPr="00234784" w:rsidRDefault="0080599D" w:rsidP="00234784">
      <w:pPr>
        <w:pStyle w:val="NormalWeb"/>
        <w:spacing w:before="0" w:beforeAutospacing="0" w:after="0" w:afterAutospacing="0" w:line="360" w:lineRule="auto"/>
        <w:jc w:val="both"/>
        <w:rPr>
          <w:color w:val="000000"/>
        </w:rPr>
      </w:pPr>
      <w:r w:rsidRPr="00234784">
        <w:rPr>
          <w:color w:val="000000"/>
        </w:rPr>
        <w:t> </w:t>
      </w:r>
    </w:p>
    <w:p w14:paraId="77460A61" w14:textId="77777777" w:rsidR="0080599D" w:rsidRPr="00234784" w:rsidRDefault="0080599D" w:rsidP="00234784">
      <w:pPr>
        <w:pStyle w:val="NormalWeb"/>
        <w:spacing w:before="0" w:beforeAutospacing="0" w:after="0" w:afterAutospacing="0" w:line="360" w:lineRule="auto"/>
        <w:jc w:val="both"/>
        <w:rPr>
          <w:color w:val="000000"/>
        </w:rPr>
      </w:pPr>
      <w:r w:rsidRPr="00234784">
        <w:rPr>
          <w:color w:val="000000"/>
        </w:rPr>
        <w:t>Atentamente,</w:t>
      </w:r>
    </w:p>
    <w:p w14:paraId="56BAF897" w14:textId="5DDF9098" w:rsidR="0080599D" w:rsidRPr="00234784" w:rsidRDefault="0080599D" w:rsidP="00234784">
      <w:pPr>
        <w:spacing w:line="360" w:lineRule="auto"/>
        <w:rPr>
          <w:rFonts w:cs="Times New Roman"/>
          <w:szCs w:val="24"/>
        </w:rPr>
      </w:pPr>
    </w:p>
    <w:tbl>
      <w:tblPr>
        <w:tblW w:w="0" w:type="auto"/>
        <w:tblCellSpacing w:w="0" w:type="dxa"/>
        <w:tblCellMar>
          <w:left w:w="0" w:type="dxa"/>
          <w:right w:w="0" w:type="dxa"/>
        </w:tblCellMar>
        <w:tblLook w:val="04A0" w:firstRow="1" w:lastRow="0" w:firstColumn="1" w:lastColumn="0" w:noHBand="0" w:noVBand="1"/>
      </w:tblPr>
      <w:tblGrid>
        <w:gridCol w:w="9356"/>
      </w:tblGrid>
      <w:tr w:rsidR="0080599D" w:rsidRPr="00234784" w14:paraId="02967B45" w14:textId="77777777" w:rsidTr="0080599D">
        <w:trPr>
          <w:tblCellSpacing w:w="0" w:type="dxa"/>
        </w:trPr>
        <w:tc>
          <w:tcPr>
            <w:tcW w:w="14355" w:type="dxa"/>
            <w:hideMark/>
          </w:tcPr>
          <w:tbl>
            <w:tblPr>
              <w:tblW w:w="14355" w:type="dxa"/>
              <w:tblCellSpacing w:w="0" w:type="dxa"/>
              <w:tblCellMar>
                <w:left w:w="0" w:type="dxa"/>
                <w:right w:w="0" w:type="dxa"/>
              </w:tblCellMar>
              <w:tblLook w:val="04A0" w:firstRow="1" w:lastRow="0" w:firstColumn="1" w:lastColumn="0" w:noHBand="0" w:noVBand="1"/>
            </w:tblPr>
            <w:tblGrid>
              <w:gridCol w:w="14355"/>
            </w:tblGrid>
            <w:tr w:rsidR="0080599D" w:rsidRPr="00234784" w14:paraId="7B4F80A2" w14:textId="77777777">
              <w:trPr>
                <w:tblCellSpacing w:w="0" w:type="dxa"/>
              </w:trPr>
              <w:tc>
                <w:tcPr>
                  <w:tcW w:w="0" w:type="auto"/>
                  <w:shd w:val="clear" w:color="auto" w:fill="FFFFFF"/>
                  <w:tcMar>
                    <w:top w:w="30" w:type="dxa"/>
                    <w:left w:w="30" w:type="dxa"/>
                    <w:bottom w:w="30" w:type="dxa"/>
                    <w:right w:w="30" w:type="dxa"/>
                  </w:tcMar>
                  <w:vAlign w:val="center"/>
                  <w:hideMark/>
                </w:tcPr>
                <w:p w14:paraId="76CF7985" w14:textId="1B90FECC" w:rsidR="0080599D" w:rsidRPr="00234784" w:rsidRDefault="0080599D" w:rsidP="00234784">
                  <w:pPr>
                    <w:spacing w:after="0" w:line="360" w:lineRule="auto"/>
                    <w:jc w:val="both"/>
                    <w:rPr>
                      <w:rFonts w:eastAsia="Times New Roman" w:cs="Times New Roman"/>
                      <w:szCs w:val="24"/>
                      <w:lang w:eastAsia="es-CO"/>
                    </w:rPr>
                  </w:pPr>
                  <w:r w:rsidRPr="00234784">
                    <w:rPr>
                      <w:rFonts w:eastAsia="Times New Roman" w:cs="Times New Roman"/>
                      <w:b/>
                      <w:bCs/>
                      <w:szCs w:val="24"/>
                      <w:lang w:eastAsia="es-CO"/>
                    </w:rPr>
                    <w:t>ALFREDO RAMÍREZ CASTAÑEDA</w:t>
                  </w:r>
                </w:p>
                <w:p w14:paraId="1075CC72" w14:textId="77777777" w:rsidR="0080599D" w:rsidRPr="00234784" w:rsidRDefault="0080599D" w:rsidP="00234784">
                  <w:pPr>
                    <w:spacing w:after="0" w:line="360" w:lineRule="auto"/>
                    <w:jc w:val="both"/>
                    <w:rPr>
                      <w:rFonts w:eastAsia="Times New Roman" w:cs="Times New Roman"/>
                      <w:szCs w:val="24"/>
                      <w:lang w:eastAsia="es-CO"/>
                    </w:rPr>
                  </w:pPr>
                  <w:r w:rsidRPr="00234784">
                    <w:rPr>
                      <w:rFonts w:eastAsia="Times New Roman" w:cs="Times New Roman"/>
                      <w:szCs w:val="24"/>
                      <w:lang w:eastAsia="es-CO"/>
                    </w:rPr>
                    <w:t>Subdirector de Normativa y Doctrina (E)</w:t>
                  </w:r>
                </w:p>
                <w:p w14:paraId="1230DEE6" w14:textId="77777777" w:rsidR="0080599D" w:rsidRPr="00234784" w:rsidRDefault="0080599D" w:rsidP="00234784">
                  <w:pPr>
                    <w:spacing w:after="0" w:line="360" w:lineRule="auto"/>
                    <w:jc w:val="both"/>
                    <w:rPr>
                      <w:rFonts w:eastAsia="Times New Roman" w:cs="Times New Roman"/>
                      <w:szCs w:val="24"/>
                      <w:lang w:eastAsia="es-CO"/>
                    </w:rPr>
                  </w:pPr>
                  <w:r w:rsidRPr="00234784">
                    <w:rPr>
                      <w:rFonts w:eastAsia="Times New Roman" w:cs="Times New Roman"/>
                      <w:szCs w:val="24"/>
                      <w:lang w:eastAsia="es-CO"/>
                    </w:rPr>
                    <w:t>Dirección de Gestión Jurídica</w:t>
                  </w:r>
                </w:p>
                <w:p w14:paraId="1D0016EB" w14:textId="77777777" w:rsidR="0080599D" w:rsidRPr="00234784" w:rsidRDefault="0080599D" w:rsidP="00234784">
                  <w:pPr>
                    <w:spacing w:after="0" w:line="360" w:lineRule="auto"/>
                    <w:jc w:val="both"/>
                    <w:rPr>
                      <w:rFonts w:eastAsia="Times New Roman" w:cs="Times New Roman"/>
                      <w:szCs w:val="24"/>
                      <w:lang w:eastAsia="es-CO"/>
                    </w:rPr>
                  </w:pPr>
                  <w:r w:rsidRPr="00234784">
                    <w:rPr>
                      <w:rFonts w:eastAsia="Times New Roman" w:cs="Times New Roman"/>
                      <w:szCs w:val="24"/>
                      <w:lang w:eastAsia="es-CO"/>
                    </w:rPr>
                    <w:t>UAE-Dirección de Impuestos y Aduanas Nacionales</w:t>
                  </w:r>
                </w:p>
                <w:p w14:paraId="77E3DAD8" w14:textId="45764FA8" w:rsidR="0080599D" w:rsidRPr="00234784" w:rsidRDefault="0080599D" w:rsidP="00234784">
                  <w:pPr>
                    <w:spacing w:after="0" w:line="360" w:lineRule="auto"/>
                    <w:jc w:val="both"/>
                    <w:rPr>
                      <w:rFonts w:eastAsia="Times New Roman" w:cs="Times New Roman"/>
                      <w:szCs w:val="24"/>
                      <w:lang w:eastAsia="es-CO"/>
                    </w:rPr>
                  </w:pPr>
                  <w:r w:rsidRPr="00234784">
                    <w:rPr>
                      <w:rFonts w:eastAsia="Times New Roman" w:cs="Times New Roman"/>
                      <w:szCs w:val="24"/>
                      <w:lang w:eastAsia="es-CO"/>
                    </w:rPr>
                    <w:t>________________________________________________________________________________________________________</w:t>
                  </w:r>
                </w:p>
              </w:tc>
            </w:tr>
          </w:tbl>
          <w:p w14:paraId="3406C3E8" w14:textId="77777777" w:rsidR="0080599D" w:rsidRPr="00234784" w:rsidRDefault="0080599D" w:rsidP="00234784">
            <w:pPr>
              <w:spacing w:after="0" w:line="360" w:lineRule="auto"/>
              <w:rPr>
                <w:rFonts w:eastAsia="Times New Roman" w:cs="Times New Roman"/>
                <w:szCs w:val="24"/>
                <w:lang w:eastAsia="es-CO"/>
              </w:rPr>
            </w:pPr>
          </w:p>
        </w:tc>
      </w:tr>
    </w:tbl>
    <w:p w14:paraId="6203AD54" w14:textId="77777777" w:rsidR="0080599D" w:rsidRPr="00234784" w:rsidRDefault="0080599D" w:rsidP="00234784">
      <w:pPr>
        <w:spacing w:after="0" w:line="360" w:lineRule="auto"/>
        <w:rPr>
          <w:rFonts w:eastAsia="Times New Roman" w:cs="Times New Roman"/>
          <w:vanish/>
          <w:szCs w:val="24"/>
          <w:lang w:eastAsia="es-CO"/>
        </w:rPr>
      </w:pPr>
    </w:p>
    <w:tbl>
      <w:tblPr>
        <w:tblW w:w="0" w:type="auto"/>
        <w:tblCellSpacing w:w="0" w:type="dxa"/>
        <w:tblCellMar>
          <w:left w:w="0" w:type="dxa"/>
          <w:right w:w="0" w:type="dxa"/>
        </w:tblCellMar>
        <w:tblLook w:val="04A0" w:firstRow="1" w:lastRow="0" w:firstColumn="1" w:lastColumn="0" w:noHBand="0" w:noVBand="1"/>
      </w:tblPr>
      <w:tblGrid>
        <w:gridCol w:w="120"/>
      </w:tblGrid>
      <w:tr w:rsidR="0080599D" w:rsidRPr="00234784" w14:paraId="04A0DA91" w14:textId="77777777" w:rsidTr="0080599D">
        <w:trPr>
          <w:trHeight w:val="444"/>
          <w:tblCellSpacing w:w="0" w:type="dxa"/>
        </w:trPr>
        <w:tc>
          <w:tcPr>
            <w:tcW w:w="120" w:type="dxa"/>
            <w:shd w:val="clear" w:color="auto" w:fill="FFFFFF"/>
            <w:hideMark/>
          </w:tcPr>
          <w:p w14:paraId="421D5040" w14:textId="77777777" w:rsidR="0080599D" w:rsidRPr="00234784" w:rsidRDefault="0080599D" w:rsidP="00234784">
            <w:pPr>
              <w:spacing w:after="0" w:line="360" w:lineRule="auto"/>
              <w:rPr>
                <w:rFonts w:eastAsia="Times New Roman" w:cs="Times New Roman"/>
                <w:color w:val="000000"/>
                <w:szCs w:val="24"/>
                <w:lang w:eastAsia="es-CO"/>
              </w:rPr>
            </w:pPr>
            <w:r w:rsidRPr="00234784">
              <w:rPr>
                <w:rFonts w:eastAsia="Times New Roman" w:cs="Times New Roman"/>
                <w:noProof/>
                <w:color w:val="000000"/>
                <w:szCs w:val="24"/>
                <w:lang w:eastAsia="es-CO"/>
              </w:rPr>
              <w:drawing>
                <wp:inline distT="0" distB="0" distL="0" distR="0" wp14:anchorId="29ED9178" wp14:editId="19F26331">
                  <wp:extent cx="76200" cy="76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7620"/>
                          </a:xfrm>
                          <a:prstGeom prst="rect">
                            <a:avLst/>
                          </a:prstGeom>
                          <a:noFill/>
                          <a:ln>
                            <a:noFill/>
                          </a:ln>
                        </pic:spPr>
                      </pic:pic>
                    </a:graphicData>
                  </a:graphic>
                </wp:inline>
              </w:drawing>
            </w:r>
          </w:p>
          <w:p w14:paraId="799C84D5" w14:textId="77777777" w:rsidR="0080599D" w:rsidRPr="00234784" w:rsidRDefault="0080599D" w:rsidP="00234784">
            <w:pPr>
              <w:spacing w:after="0" w:line="360" w:lineRule="auto"/>
              <w:rPr>
                <w:rFonts w:eastAsia="Times New Roman" w:cs="Times New Roman"/>
                <w:szCs w:val="24"/>
                <w:lang w:eastAsia="es-CO"/>
              </w:rPr>
            </w:pPr>
            <w:r w:rsidRPr="00234784">
              <w:rPr>
                <w:rFonts w:eastAsia="Times New Roman" w:cs="Times New Roman"/>
                <w:szCs w:val="24"/>
                <w:lang w:eastAsia="es-CO"/>
              </w:rPr>
              <w:br/>
            </w:r>
          </w:p>
        </w:tc>
      </w:tr>
    </w:tbl>
    <w:p w14:paraId="64BB0BF5" w14:textId="77777777" w:rsidR="0080599D" w:rsidRPr="00234784" w:rsidRDefault="0080599D" w:rsidP="00234784">
      <w:pPr>
        <w:spacing w:line="360" w:lineRule="auto"/>
        <w:rPr>
          <w:rFonts w:cs="Times New Roman"/>
          <w:szCs w:val="24"/>
        </w:rPr>
      </w:pPr>
    </w:p>
    <w:sectPr w:rsidR="0080599D" w:rsidRPr="00234784"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24C"/>
    <w:multiLevelType w:val="multilevel"/>
    <w:tmpl w:val="48A0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BD01EC"/>
    <w:multiLevelType w:val="multilevel"/>
    <w:tmpl w:val="E8743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641072"/>
    <w:multiLevelType w:val="multilevel"/>
    <w:tmpl w:val="53A6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7E52EB"/>
    <w:multiLevelType w:val="multilevel"/>
    <w:tmpl w:val="A224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6A5945"/>
    <w:multiLevelType w:val="multilevel"/>
    <w:tmpl w:val="D99A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6F34ED"/>
    <w:multiLevelType w:val="multilevel"/>
    <w:tmpl w:val="4E56A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07654B"/>
    <w:multiLevelType w:val="multilevel"/>
    <w:tmpl w:val="5D14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8A6C39"/>
    <w:multiLevelType w:val="multilevel"/>
    <w:tmpl w:val="1ED2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A04DBD"/>
    <w:multiLevelType w:val="multilevel"/>
    <w:tmpl w:val="4458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D2523B"/>
    <w:multiLevelType w:val="multilevel"/>
    <w:tmpl w:val="D06E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6C4362"/>
    <w:multiLevelType w:val="multilevel"/>
    <w:tmpl w:val="B3B2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510887"/>
    <w:multiLevelType w:val="multilevel"/>
    <w:tmpl w:val="86C6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4233024">
    <w:abstractNumId w:val="5"/>
    <w:lvlOverride w:ilvl="0">
      <w:startOverride w:val="1"/>
    </w:lvlOverride>
  </w:num>
  <w:num w:numId="2" w16cid:durableId="1472401482">
    <w:abstractNumId w:val="0"/>
    <w:lvlOverride w:ilvl="0">
      <w:startOverride w:val="2"/>
    </w:lvlOverride>
  </w:num>
  <w:num w:numId="3" w16cid:durableId="814376954">
    <w:abstractNumId w:val="2"/>
    <w:lvlOverride w:ilvl="0">
      <w:startOverride w:val="3"/>
    </w:lvlOverride>
  </w:num>
  <w:num w:numId="4" w16cid:durableId="1648587634">
    <w:abstractNumId w:val="10"/>
    <w:lvlOverride w:ilvl="0">
      <w:startOverride w:val="4"/>
    </w:lvlOverride>
  </w:num>
  <w:num w:numId="5" w16cid:durableId="832766372">
    <w:abstractNumId w:val="3"/>
    <w:lvlOverride w:ilvl="0">
      <w:startOverride w:val="1"/>
    </w:lvlOverride>
  </w:num>
  <w:num w:numId="6" w16cid:durableId="230390381">
    <w:abstractNumId w:val="6"/>
    <w:lvlOverride w:ilvl="0">
      <w:startOverride w:val="1"/>
    </w:lvlOverride>
  </w:num>
  <w:num w:numId="7" w16cid:durableId="771122132">
    <w:abstractNumId w:val="4"/>
    <w:lvlOverride w:ilvl="0">
      <w:startOverride w:val="1"/>
    </w:lvlOverride>
  </w:num>
  <w:num w:numId="8" w16cid:durableId="529757809">
    <w:abstractNumId w:val="8"/>
    <w:lvlOverride w:ilvl="0">
      <w:startOverride w:val="2"/>
    </w:lvlOverride>
  </w:num>
  <w:num w:numId="9" w16cid:durableId="1305743174">
    <w:abstractNumId w:val="7"/>
    <w:lvlOverride w:ilvl="0">
      <w:startOverride w:val="3"/>
    </w:lvlOverride>
  </w:num>
  <w:num w:numId="10" w16cid:durableId="1827285094">
    <w:abstractNumId w:val="9"/>
    <w:lvlOverride w:ilvl="0">
      <w:startOverride w:val="4"/>
    </w:lvlOverride>
  </w:num>
  <w:num w:numId="11" w16cid:durableId="1250309265">
    <w:abstractNumId w:val="1"/>
    <w:lvlOverride w:ilvl="0">
      <w:startOverride w:val="1"/>
    </w:lvlOverride>
  </w:num>
  <w:num w:numId="12" w16cid:durableId="1232276960">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9D"/>
    <w:rsid w:val="000F3837"/>
    <w:rsid w:val="001E311E"/>
    <w:rsid w:val="00234784"/>
    <w:rsid w:val="00434AE6"/>
    <w:rsid w:val="007F5CC8"/>
    <w:rsid w:val="0080599D"/>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ACBA3"/>
  <w15:chartTrackingRefBased/>
  <w15:docId w15:val="{8BBBB24F-367D-4299-A845-11F2D83C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0599D"/>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8059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141581">
      <w:bodyDiv w:val="1"/>
      <w:marLeft w:val="0"/>
      <w:marRight w:val="0"/>
      <w:marTop w:val="0"/>
      <w:marBottom w:val="0"/>
      <w:divBdr>
        <w:top w:val="none" w:sz="0" w:space="0" w:color="auto"/>
        <w:left w:val="none" w:sz="0" w:space="0" w:color="auto"/>
        <w:bottom w:val="none" w:sz="0" w:space="0" w:color="auto"/>
        <w:right w:val="none" w:sz="0" w:space="0" w:color="auto"/>
      </w:divBdr>
    </w:div>
    <w:div w:id="843132660">
      <w:bodyDiv w:val="1"/>
      <w:marLeft w:val="0"/>
      <w:marRight w:val="0"/>
      <w:marTop w:val="0"/>
      <w:marBottom w:val="0"/>
      <w:divBdr>
        <w:top w:val="none" w:sz="0" w:space="0" w:color="auto"/>
        <w:left w:val="none" w:sz="0" w:space="0" w:color="auto"/>
        <w:bottom w:val="none" w:sz="0" w:space="0" w:color="auto"/>
        <w:right w:val="none" w:sz="0" w:space="0" w:color="auto"/>
      </w:divBdr>
    </w:div>
    <w:div w:id="980115876">
      <w:bodyDiv w:val="1"/>
      <w:marLeft w:val="0"/>
      <w:marRight w:val="0"/>
      <w:marTop w:val="0"/>
      <w:marBottom w:val="0"/>
      <w:divBdr>
        <w:top w:val="none" w:sz="0" w:space="0" w:color="auto"/>
        <w:left w:val="none" w:sz="0" w:space="0" w:color="auto"/>
        <w:bottom w:val="none" w:sz="0" w:space="0" w:color="auto"/>
        <w:right w:val="none" w:sz="0" w:space="0" w:color="auto"/>
      </w:divBdr>
    </w:div>
    <w:div w:id="213321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articulo.asp?Norma=58" TargetMode="External"/><Relationship Id="rId5" Type="http://schemas.openxmlformats.org/officeDocument/2006/relationships/hyperlink" Target="https://www.ceta.org.co/html/vista_de_un_articulo.asp?Norma=4247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1146</Words>
  <Characters>6305</Characters>
  <Application>Microsoft Office Word</Application>
  <DocSecurity>0</DocSecurity>
  <Lines>52</Lines>
  <Paragraphs>14</Paragraphs>
  <ScaleCrop>false</ScaleCrop>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2</cp:revision>
  <dcterms:created xsi:type="dcterms:W3CDTF">2023-02-13T00:37:00Z</dcterms:created>
  <dcterms:modified xsi:type="dcterms:W3CDTF">2023-02-13T01:00:00Z</dcterms:modified>
</cp:coreProperties>
</file>