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E6A1" w14:textId="77777777" w:rsidR="00B3131A" w:rsidRPr="00B3131A" w:rsidRDefault="00B3131A" w:rsidP="00B3131A">
      <w:pPr>
        <w:shd w:val="clear" w:color="auto" w:fill="FFFFFF"/>
        <w:spacing w:after="150" w:line="360" w:lineRule="auto"/>
        <w:jc w:val="center"/>
        <w:rPr>
          <w:rFonts w:eastAsia="Times New Roman" w:cs="Times New Roman"/>
          <w:szCs w:val="24"/>
          <w:lang w:eastAsia="es-CO"/>
        </w:rPr>
      </w:pPr>
      <w:r w:rsidRPr="00B3131A">
        <w:rPr>
          <w:rFonts w:eastAsia="Times New Roman" w:cs="Times New Roman"/>
          <w:b/>
          <w:bCs/>
          <w:szCs w:val="24"/>
          <w:lang w:eastAsia="es-CO"/>
        </w:rPr>
        <w:t xml:space="preserve">OFICIO </w:t>
      </w:r>
      <w:proofErr w:type="spellStart"/>
      <w:r w:rsidRPr="00B3131A">
        <w:rPr>
          <w:rFonts w:eastAsia="Times New Roman" w:cs="Times New Roman"/>
          <w:b/>
          <w:bCs/>
          <w:szCs w:val="24"/>
          <w:lang w:eastAsia="es-CO"/>
        </w:rPr>
        <w:t>Nº</w:t>
      </w:r>
      <w:proofErr w:type="spellEnd"/>
      <w:r w:rsidRPr="00B3131A">
        <w:rPr>
          <w:rFonts w:eastAsia="Times New Roman" w:cs="Times New Roman"/>
          <w:b/>
          <w:bCs/>
          <w:szCs w:val="24"/>
          <w:lang w:eastAsia="es-CO"/>
        </w:rPr>
        <w:t xml:space="preserve"> 0365 [003284]</w:t>
      </w:r>
    </w:p>
    <w:p w14:paraId="50E785DB" w14:textId="77777777" w:rsidR="00B3131A" w:rsidRPr="00B3131A" w:rsidRDefault="00B3131A" w:rsidP="00B3131A">
      <w:pPr>
        <w:shd w:val="clear" w:color="auto" w:fill="FFFFFF"/>
        <w:spacing w:after="150" w:line="360" w:lineRule="auto"/>
        <w:jc w:val="center"/>
        <w:rPr>
          <w:rFonts w:eastAsia="Times New Roman" w:cs="Times New Roman"/>
          <w:szCs w:val="24"/>
          <w:lang w:eastAsia="es-CO"/>
        </w:rPr>
      </w:pPr>
      <w:r w:rsidRPr="00B3131A">
        <w:rPr>
          <w:rFonts w:eastAsia="Times New Roman" w:cs="Times New Roman"/>
          <w:b/>
          <w:bCs/>
          <w:szCs w:val="24"/>
          <w:lang w:eastAsia="es-CO"/>
        </w:rPr>
        <w:t>17-03-2023</w:t>
      </w:r>
    </w:p>
    <w:p w14:paraId="5D06F474" w14:textId="77777777" w:rsidR="00B3131A" w:rsidRPr="00B3131A" w:rsidRDefault="00B3131A" w:rsidP="00B3131A">
      <w:pPr>
        <w:shd w:val="clear" w:color="auto" w:fill="FFFFFF"/>
        <w:spacing w:after="150" w:line="360" w:lineRule="auto"/>
        <w:jc w:val="center"/>
        <w:rPr>
          <w:rFonts w:eastAsia="Times New Roman" w:cs="Times New Roman"/>
          <w:szCs w:val="24"/>
          <w:lang w:eastAsia="es-CO"/>
        </w:rPr>
      </w:pPr>
      <w:r w:rsidRPr="00B3131A">
        <w:rPr>
          <w:rFonts w:eastAsia="Times New Roman" w:cs="Times New Roman"/>
          <w:b/>
          <w:bCs/>
          <w:szCs w:val="24"/>
          <w:lang w:eastAsia="es-CO"/>
        </w:rPr>
        <w:t>DIAN</w:t>
      </w:r>
    </w:p>
    <w:p w14:paraId="6EDCF46F"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w:t>
      </w:r>
    </w:p>
    <w:p w14:paraId="0EF8A42D" w14:textId="3F4F8493"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100202208-0365</w:t>
      </w:r>
    </w:p>
    <w:p w14:paraId="73BF1ABA"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Bogotá, D.C.</w:t>
      </w:r>
    </w:p>
    <w:p w14:paraId="64474E1C" w14:textId="08AEACD9"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Ref.: Análisis sobre la solicitud de reconsideración del punto #3 del Título VI del Concepto 001328 - interno 165 del 7 de febrero de 2023 - Concepto General en materia de procedimiento tributario y aduanero con motivo de la Ley 2277 de 2022</w:t>
      </w:r>
    </w:p>
    <w:p w14:paraId="1E8C792B"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78"/>
        <w:gridCol w:w="7678"/>
      </w:tblGrid>
      <w:tr w:rsidR="00B3131A" w:rsidRPr="00B3131A" w14:paraId="03134C51" w14:textId="77777777" w:rsidTr="00B3131A">
        <w:tc>
          <w:tcPr>
            <w:tcW w:w="0" w:type="auto"/>
            <w:shd w:val="clear" w:color="auto" w:fill="FFFFFF"/>
            <w:tcMar>
              <w:top w:w="0" w:type="dxa"/>
              <w:left w:w="0" w:type="dxa"/>
              <w:bottom w:w="0" w:type="dxa"/>
              <w:right w:w="0" w:type="dxa"/>
            </w:tcMar>
            <w:hideMark/>
          </w:tcPr>
          <w:p w14:paraId="0E1116CE" w14:textId="77777777" w:rsidR="00B3131A" w:rsidRPr="00B3131A" w:rsidRDefault="00B3131A" w:rsidP="00B3131A">
            <w:pPr>
              <w:spacing w:after="0" w:line="360" w:lineRule="auto"/>
              <w:jc w:val="both"/>
              <w:rPr>
                <w:rFonts w:eastAsia="Times New Roman" w:cs="Times New Roman"/>
                <w:szCs w:val="24"/>
                <w:lang w:eastAsia="es-CO"/>
              </w:rPr>
            </w:pPr>
            <w:r w:rsidRPr="00B3131A">
              <w:rPr>
                <w:rFonts w:eastAsia="Times New Roman" w:cs="Times New Roman"/>
                <w:b/>
                <w:bCs/>
                <w:szCs w:val="24"/>
                <w:lang w:eastAsia="es-CO"/>
              </w:rPr>
              <w:t>Tema:</w:t>
            </w:r>
          </w:p>
        </w:tc>
        <w:tc>
          <w:tcPr>
            <w:tcW w:w="0" w:type="auto"/>
            <w:shd w:val="clear" w:color="auto" w:fill="FFFFFF"/>
            <w:tcMar>
              <w:top w:w="0" w:type="dxa"/>
              <w:left w:w="0" w:type="dxa"/>
              <w:bottom w:w="0" w:type="dxa"/>
              <w:right w:w="0" w:type="dxa"/>
            </w:tcMar>
            <w:hideMark/>
          </w:tcPr>
          <w:p w14:paraId="40A48872" w14:textId="77777777" w:rsidR="00B3131A" w:rsidRPr="00B3131A" w:rsidRDefault="00B3131A" w:rsidP="00B3131A">
            <w:pPr>
              <w:spacing w:after="0" w:line="360" w:lineRule="auto"/>
              <w:jc w:val="both"/>
              <w:rPr>
                <w:rFonts w:eastAsia="Times New Roman" w:cs="Times New Roman"/>
                <w:szCs w:val="24"/>
                <w:lang w:eastAsia="es-CO"/>
              </w:rPr>
            </w:pPr>
            <w:r w:rsidRPr="00B3131A">
              <w:rPr>
                <w:rFonts w:eastAsia="Times New Roman" w:cs="Times New Roman"/>
                <w:szCs w:val="24"/>
                <w:lang w:eastAsia="es-CO"/>
              </w:rPr>
              <w:t>Procedimiento tributario</w:t>
            </w:r>
          </w:p>
        </w:tc>
      </w:tr>
      <w:tr w:rsidR="00B3131A" w:rsidRPr="00B3131A" w14:paraId="16C61146" w14:textId="77777777" w:rsidTr="00B3131A">
        <w:tc>
          <w:tcPr>
            <w:tcW w:w="0" w:type="auto"/>
            <w:shd w:val="clear" w:color="auto" w:fill="FFFFFF"/>
            <w:tcMar>
              <w:top w:w="0" w:type="dxa"/>
              <w:left w:w="0" w:type="dxa"/>
              <w:bottom w:w="0" w:type="dxa"/>
              <w:right w:w="0" w:type="dxa"/>
            </w:tcMar>
            <w:hideMark/>
          </w:tcPr>
          <w:p w14:paraId="16637D2B" w14:textId="77777777" w:rsidR="00B3131A" w:rsidRPr="00B3131A" w:rsidRDefault="00B3131A" w:rsidP="00B3131A">
            <w:pPr>
              <w:spacing w:after="0" w:line="360" w:lineRule="auto"/>
              <w:jc w:val="both"/>
              <w:rPr>
                <w:rFonts w:eastAsia="Times New Roman" w:cs="Times New Roman"/>
                <w:szCs w:val="24"/>
                <w:lang w:eastAsia="es-CO"/>
              </w:rPr>
            </w:pPr>
            <w:r w:rsidRPr="00B3131A">
              <w:rPr>
                <w:rFonts w:eastAsia="Times New Roman" w:cs="Times New Roman"/>
                <w:b/>
                <w:bCs/>
                <w:szCs w:val="24"/>
                <w:lang w:eastAsia="es-CO"/>
              </w:rPr>
              <w:t>Descriptores:</w:t>
            </w:r>
          </w:p>
        </w:tc>
        <w:tc>
          <w:tcPr>
            <w:tcW w:w="0" w:type="auto"/>
            <w:shd w:val="clear" w:color="auto" w:fill="FFFFFF"/>
            <w:tcMar>
              <w:top w:w="0" w:type="dxa"/>
              <w:left w:w="0" w:type="dxa"/>
              <w:bottom w:w="0" w:type="dxa"/>
              <w:right w:w="0" w:type="dxa"/>
            </w:tcMar>
            <w:hideMark/>
          </w:tcPr>
          <w:p w14:paraId="01C5A7E1" w14:textId="77777777" w:rsidR="00B3131A" w:rsidRPr="00B3131A" w:rsidRDefault="00B3131A" w:rsidP="00B3131A">
            <w:pPr>
              <w:spacing w:after="0" w:line="360" w:lineRule="auto"/>
              <w:jc w:val="both"/>
              <w:rPr>
                <w:rFonts w:eastAsia="Times New Roman" w:cs="Times New Roman"/>
                <w:szCs w:val="24"/>
                <w:lang w:eastAsia="es-CO"/>
              </w:rPr>
            </w:pPr>
            <w:r w:rsidRPr="00B3131A">
              <w:rPr>
                <w:rFonts w:eastAsia="Times New Roman" w:cs="Times New Roman"/>
                <w:szCs w:val="24"/>
                <w:lang w:eastAsia="es-CO"/>
              </w:rPr>
              <w:t>Reducción transitoria de sanciones y de tasa de interés</w:t>
            </w:r>
          </w:p>
        </w:tc>
      </w:tr>
      <w:tr w:rsidR="00B3131A" w:rsidRPr="00B3131A" w14:paraId="4597D859" w14:textId="77777777" w:rsidTr="00B3131A">
        <w:tc>
          <w:tcPr>
            <w:tcW w:w="0" w:type="auto"/>
            <w:shd w:val="clear" w:color="auto" w:fill="FFFFFF"/>
            <w:tcMar>
              <w:top w:w="0" w:type="dxa"/>
              <w:left w:w="0" w:type="dxa"/>
              <w:bottom w:w="0" w:type="dxa"/>
              <w:right w:w="0" w:type="dxa"/>
            </w:tcMar>
            <w:hideMark/>
          </w:tcPr>
          <w:p w14:paraId="47915631" w14:textId="77777777" w:rsidR="00B3131A" w:rsidRPr="00B3131A" w:rsidRDefault="00B3131A" w:rsidP="00B3131A">
            <w:pPr>
              <w:spacing w:after="0" w:line="360" w:lineRule="auto"/>
              <w:jc w:val="both"/>
              <w:rPr>
                <w:rFonts w:eastAsia="Times New Roman" w:cs="Times New Roman"/>
                <w:szCs w:val="24"/>
                <w:lang w:eastAsia="es-CO"/>
              </w:rPr>
            </w:pPr>
            <w:r w:rsidRPr="00B3131A">
              <w:rPr>
                <w:rFonts w:eastAsia="Times New Roman" w:cs="Times New Roman"/>
                <w:b/>
                <w:bCs/>
                <w:szCs w:val="24"/>
                <w:lang w:eastAsia="es-CO"/>
              </w:rPr>
              <w:t>Fuentes formales:</w:t>
            </w:r>
          </w:p>
        </w:tc>
        <w:tc>
          <w:tcPr>
            <w:tcW w:w="0" w:type="auto"/>
            <w:shd w:val="clear" w:color="auto" w:fill="FFFFFF"/>
            <w:tcMar>
              <w:top w:w="0" w:type="dxa"/>
              <w:left w:w="0" w:type="dxa"/>
              <w:bottom w:w="0" w:type="dxa"/>
              <w:right w:w="0" w:type="dxa"/>
            </w:tcMar>
            <w:hideMark/>
          </w:tcPr>
          <w:p w14:paraId="2DA46347" w14:textId="77777777" w:rsidR="00B3131A" w:rsidRPr="00B3131A" w:rsidRDefault="00B3131A" w:rsidP="00B3131A">
            <w:pPr>
              <w:spacing w:after="150" w:line="360" w:lineRule="auto"/>
              <w:jc w:val="both"/>
              <w:rPr>
                <w:rFonts w:eastAsia="Times New Roman" w:cs="Times New Roman"/>
                <w:szCs w:val="24"/>
                <w:lang w:eastAsia="es-CO"/>
              </w:rPr>
            </w:pPr>
            <w:r w:rsidRPr="00B3131A">
              <w:rPr>
                <w:rFonts w:eastAsia="Times New Roman" w:cs="Times New Roman"/>
                <w:szCs w:val="24"/>
                <w:lang w:eastAsia="es-CO"/>
              </w:rPr>
              <w:t>Artículo 93 de la Ley 2277 de 2022</w:t>
            </w:r>
          </w:p>
          <w:p w14:paraId="16816D97" w14:textId="77777777" w:rsidR="00B3131A" w:rsidRPr="00B3131A" w:rsidRDefault="00B3131A" w:rsidP="00B3131A">
            <w:pPr>
              <w:spacing w:after="150" w:line="360" w:lineRule="auto"/>
              <w:jc w:val="both"/>
              <w:rPr>
                <w:rFonts w:eastAsia="Times New Roman" w:cs="Times New Roman"/>
                <w:szCs w:val="24"/>
                <w:lang w:eastAsia="es-CO"/>
              </w:rPr>
            </w:pPr>
            <w:r w:rsidRPr="00B3131A">
              <w:rPr>
                <w:rFonts w:eastAsia="Times New Roman" w:cs="Times New Roman"/>
                <w:szCs w:val="24"/>
                <w:lang w:eastAsia="es-CO"/>
              </w:rPr>
              <w:t>Artículos </w:t>
            </w:r>
            <w:r w:rsidRPr="00B3131A">
              <w:rPr>
                <w:rFonts w:eastAsia="Times New Roman" w:cs="Times New Roman"/>
                <w:szCs w:val="24"/>
                <w:u w:val="single"/>
                <w:lang w:eastAsia="es-CO"/>
              </w:rPr>
              <w:t>644</w:t>
            </w:r>
            <w:r w:rsidRPr="00B3131A">
              <w:rPr>
                <w:rFonts w:eastAsia="Times New Roman" w:cs="Times New Roman"/>
                <w:szCs w:val="24"/>
                <w:lang w:eastAsia="es-CO"/>
              </w:rPr>
              <w:t>, </w:t>
            </w:r>
            <w:r w:rsidRPr="00B3131A">
              <w:rPr>
                <w:rFonts w:eastAsia="Times New Roman" w:cs="Times New Roman"/>
                <w:szCs w:val="24"/>
                <w:u w:val="single"/>
                <w:lang w:eastAsia="es-CO"/>
              </w:rPr>
              <w:t>648</w:t>
            </w:r>
            <w:r w:rsidRPr="00B3131A">
              <w:rPr>
                <w:rFonts w:eastAsia="Times New Roman" w:cs="Times New Roman"/>
                <w:szCs w:val="24"/>
                <w:lang w:eastAsia="es-CO"/>
              </w:rPr>
              <w:t>, </w:t>
            </w:r>
            <w:r w:rsidRPr="00B3131A">
              <w:rPr>
                <w:rFonts w:eastAsia="Times New Roman" w:cs="Times New Roman"/>
                <w:szCs w:val="24"/>
                <w:u w:val="single"/>
                <w:lang w:eastAsia="es-CO"/>
              </w:rPr>
              <w:t>709</w:t>
            </w:r>
            <w:r w:rsidRPr="00B3131A">
              <w:rPr>
                <w:rFonts w:eastAsia="Times New Roman" w:cs="Times New Roman"/>
                <w:szCs w:val="24"/>
                <w:lang w:eastAsia="es-CO"/>
              </w:rPr>
              <w:t> y </w:t>
            </w:r>
            <w:r w:rsidRPr="00B3131A">
              <w:rPr>
                <w:rFonts w:eastAsia="Times New Roman" w:cs="Times New Roman"/>
                <w:szCs w:val="24"/>
                <w:u w:val="single"/>
                <w:lang w:eastAsia="es-CO"/>
              </w:rPr>
              <w:t>713</w:t>
            </w:r>
            <w:r w:rsidRPr="00B3131A">
              <w:rPr>
                <w:rFonts w:eastAsia="Times New Roman" w:cs="Times New Roman"/>
                <w:szCs w:val="24"/>
                <w:lang w:eastAsia="es-CO"/>
              </w:rPr>
              <w:t> del Estatuto Tributario.</w:t>
            </w:r>
          </w:p>
          <w:p w14:paraId="7E5608AD" w14:textId="77777777" w:rsidR="00B3131A" w:rsidRPr="00B3131A" w:rsidRDefault="00B3131A" w:rsidP="00B3131A">
            <w:pPr>
              <w:spacing w:after="0" w:line="360" w:lineRule="auto"/>
              <w:jc w:val="both"/>
              <w:rPr>
                <w:rFonts w:eastAsia="Times New Roman" w:cs="Times New Roman"/>
                <w:szCs w:val="24"/>
                <w:lang w:eastAsia="es-CO"/>
              </w:rPr>
            </w:pPr>
            <w:r w:rsidRPr="00B3131A">
              <w:rPr>
                <w:rFonts w:eastAsia="Times New Roman" w:cs="Times New Roman"/>
                <w:szCs w:val="24"/>
                <w:lang w:eastAsia="es-CO"/>
              </w:rPr>
              <w:t>Sentencias C-057/21, C-091/17, C-505/14, C-178/14, C-934/13 y C- 415/12 de la Corte Constitucional.</w:t>
            </w:r>
          </w:p>
        </w:tc>
      </w:tr>
    </w:tbl>
    <w:p w14:paraId="6D539FC7"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w:t>
      </w:r>
    </w:p>
    <w:p w14:paraId="05B1BFD2" w14:textId="03E3C108"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Cordial saludo.</w:t>
      </w:r>
    </w:p>
    <w:p w14:paraId="3BF8E913" w14:textId="311FFDD6"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De conformidad con el artículo 55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74ABD1FA" w14:textId="15FB63CC" w:rsidR="00B3131A" w:rsidRPr="00B3131A" w:rsidRDefault="00B3131A" w:rsidP="00B3131A">
      <w:pPr>
        <w:shd w:val="clear" w:color="auto" w:fill="FFFFFF"/>
        <w:spacing w:after="150" w:line="360" w:lineRule="auto"/>
        <w:jc w:val="both"/>
        <w:rPr>
          <w:rFonts w:eastAsia="Times New Roman" w:cs="Times New Roman"/>
          <w:b/>
          <w:bCs/>
          <w:szCs w:val="24"/>
          <w:lang w:eastAsia="es-CO"/>
        </w:rPr>
      </w:pPr>
      <w:r w:rsidRPr="00B3131A">
        <w:rPr>
          <w:rFonts w:eastAsia="Times New Roman" w:cs="Times New Roman"/>
          <w:b/>
          <w:bCs/>
          <w:szCs w:val="24"/>
          <w:lang w:eastAsia="es-CO"/>
        </w:rPr>
        <w:t>Se ha solicitado la reconsideración del Concepto General de la referencia en los siguientes sentidos:</w:t>
      </w:r>
    </w:p>
    <w:p w14:paraId="5E5D9F32" w14:textId="20E6D1C2"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b/>
          <w:bCs/>
          <w:szCs w:val="24"/>
          <w:lang w:eastAsia="es-CO"/>
        </w:rPr>
        <w:t>i) “(…)</w:t>
      </w:r>
      <w:r w:rsidRPr="00B3131A">
        <w:rPr>
          <w:rFonts w:eastAsia="Times New Roman" w:cs="Times New Roman"/>
          <w:szCs w:val="24"/>
          <w:lang w:eastAsia="es-CO"/>
        </w:rPr>
        <w:t xml:space="preserve"> la limitación del beneficio únicamente le es aplicable a las declaraciones extemporáneas contenidas en el </w:t>
      </w:r>
      <w:r w:rsidRPr="00B3131A">
        <w:rPr>
          <w:rFonts w:eastAsia="Times New Roman" w:cs="Times New Roman"/>
          <w:szCs w:val="24"/>
          <w:u w:val="single"/>
          <w:lang w:eastAsia="es-CO"/>
        </w:rPr>
        <w:t>artículo 642</w:t>
      </w:r>
      <w:r w:rsidRPr="00B3131A">
        <w:rPr>
          <w:rFonts w:eastAsia="Times New Roman" w:cs="Times New Roman"/>
          <w:szCs w:val="24"/>
          <w:lang w:eastAsia="es-CO"/>
        </w:rPr>
        <w:t> del estatuto tributario, por referirse este beneficio de manera exclusiva al artículo 641 ibidem.</w:t>
      </w:r>
    </w:p>
    <w:p w14:paraId="51879771" w14:textId="599EA6C0"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Cosa distinta ocurre respecto de las declaraciones de corrección cuyo beneficio contenido en el parágrafo 2 del artículo 93 de la ley 2277 del 2022, </w:t>
      </w:r>
      <w:r w:rsidRPr="00B3131A">
        <w:rPr>
          <w:rFonts w:eastAsia="Times New Roman" w:cs="Times New Roman"/>
          <w:b/>
          <w:bCs/>
          <w:szCs w:val="24"/>
          <w:lang w:eastAsia="es-CO"/>
        </w:rPr>
        <w:t>no establece condicionamiento alguno </w:t>
      </w:r>
      <w:r w:rsidRPr="00B3131A">
        <w:rPr>
          <w:rFonts w:eastAsia="Times New Roman" w:cs="Times New Roman"/>
          <w:szCs w:val="24"/>
          <w:lang w:eastAsia="es-CO"/>
        </w:rPr>
        <w:t>y se trata de correcciones contenida en el </w:t>
      </w:r>
      <w:r w:rsidRPr="00B3131A">
        <w:rPr>
          <w:rFonts w:eastAsia="Times New Roman" w:cs="Times New Roman"/>
          <w:szCs w:val="24"/>
          <w:u w:val="single"/>
          <w:lang w:eastAsia="es-CO"/>
        </w:rPr>
        <w:t>artículo 644</w:t>
      </w:r>
      <w:r w:rsidRPr="00B3131A">
        <w:rPr>
          <w:rFonts w:eastAsia="Times New Roman" w:cs="Times New Roman"/>
          <w:szCs w:val="24"/>
          <w:lang w:eastAsia="es-CO"/>
        </w:rPr>
        <w:t xml:space="preserve"> del estatuto tributario de manera general, y cuya reducción deberá calcularse en el porcentaje reducido que corresponda, dependiendo de la situación que se encuentre el contribuyente, para aplicación del numeral 1 o 2 de dicho artículo, es decir, si le es aplicable el 10% o 20% del mayor valor a pagar o menor saldo a favor, por haber </w:t>
      </w:r>
      <w:r w:rsidRPr="00B3131A">
        <w:rPr>
          <w:rFonts w:eastAsia="Times New Roman" w:cs="Times New Roman"/>
          <w:szCs w:val="24"/>
          <w:lang w:eastAsia="es-CO"/>
        </w:rPr>
        <w:lastRenderedPageBreak/>
        <w:t>sido o no notificado de emplazamiento para corregir, auto que ordena visita de inspección tributario o requerimiento especial.” (negrilla fuera de texto)</w:t>
      </w:r>
    </w:p>
    <w:p w14:paraId="2A41D53D" w14:textId="0119D317" w:rsidR="00B3131A" w:rsidRPr="00B3131A" w:rsidRDefault="00B3131A" w:rsidP="00B3131A">
      <w:pPr>
        <w:shd w:val="clear" w:color="auto" w:fill="FFFFFF"/>
        <w:spacing w:after="150" w:line="360" w:lineRule="auto"/>
        <w:jc w:val="both"/>
        <w:rPr>
          <w:rFonts w:eastAsia="Times New Roman" w:cs="Times New Roman"/>
          <w:szCs w:val="24"/>
          <w:lang w:eastAsia="es-CO"/>
        </w:rPr>
      </w:pPr>
      <w:proofErr w:type="spellStart"/>
      <w:r w:rsidRPr="00B3131A">
        <w:rPr>
          <w:rFonts w:eastAsia="Times New Roman" w:cs="Times New Roman"/>
          <w:b/>
          <w:bCs/>
          <w:szCs w:val="24"/>
          <w:lang w:eastAsia="es-CO"/>
        </w:rPr>
        <w:t>ii</w:t>
      </w:r>
      <w:proofErr w:type="spellEnd"/>
      <w:r w:rsidRPr="00B3131A">
        <w:rPr>
          <w:rFonts w:eastAsia="Times New Roman" w:cs="Times New Roman"/>
          <w:b/>
          <w:bCs/>
          <w:szCs w:val="24"/>
          <w:lang w:eastAsia="es-CO"/>
        </w:rPr>
        <w:t>) “(…)</w:t>
      </w:r>
      <w:r w:rsidRPr="00B3131A">
        <w:rPr>
          <w:rFonts w:eastAsia="Times New Roman" w:cs="Times New Roman"/>
          <w:szCs w:val="24"/>
          <w:lang w:eastAsia="es-CO"/>
        </w:rPr>
        <w:t xml:space="preserve"> en el contexto del sistema tributario, </w:t>
      </w:r>
      <w:r w:rsidRPr="00B3131A">
        <w:rPr>
          <w:rFonts w:eastAsia="Times New Roman" w:cs="Times New Roman"/>
          <w:b/>
          <w:bCs/>
          <w:szCs w:val="24"/>
          <w:lang w:eastAsia="es-CO"/>
        </w:rPr>
        <w:t>es necesario tratar a los sujetos con </w:t>
      </w:r>
      <w:r w:rsidRPr="00B3131A">
        <w:rPr>
          <w:rFonts w:eastAsia="Times New Roman" w:cs="Times New Roman"/>
          <w:b/>
          <w:bCs/>
          <w:szCs w:val="24"/>
          <w:u w:val="single"/>
          <w:lang w:eastAsia="es-CO"/>
        </w:rPr>
        <w:t>equidad e igualdad</w:t>
      </w:r>
      <w:r w:rsidRPr="00B3131A">
        <w:rPr>
          <w:rFonts w:eastAsia="Times New Roman" w:cs="Times New Roman"/>
          <w:szCs w:val="24"/>
          <w:lang w:eastAsia="es-CO"/>
        </w:rPr>
        <w:t xml:space="preserve">, y la interpretación de las normas debe hacerse conforme al principio de interpretación conforme a la Constitución. Por ejemplo, al analizar el inciso 1 del artículo 93 de la ley 2277 de 2022, se puede entender que hay un alivio fiscal para aquellos que no hayan presentado declaraciones tributarias obligatorias para los impuestos administrados por la </w:t>
      </w:r>
      <w:proofErr w:type="spellStart"/>
      <w:r w:rsidRPr="00B3131A">
        <w:rPr>
          <w:rFonts w:eastAsia="Times New Roman" w:cs="Times New Roman"/>
          <w:szCs w:val="24"/>
          <w:lang w:eastAsia="es-CO"/>
        </w:rPr>
        <w:t>Direccion</w:t>
      </w:r>
      <w:proofErr w:type="spellEnd"/>
      <w:r w:rsidRPr="00B3131A">
        <w:rPr>
          <w:rFonts w:eastAsia="Times New Roman" w:cs="Times New Roman"/>
          <w:szCs w:val="24"/>
          <w:lang w:eastAsia="es-CO"/>
        </w:rPr>
        <w:t xml:space="preserve"> de impuestos y aduanas nacionales - DIAN. Además, el parágrafo 1 del artículo 93 también establece un alivio para aquellos a los que se les haya notificado un requerimiento para declarar y/o corregir, pliegos de cargos, liquidación oficial, resolución de sanción o fallo de recurso de reconsideración </w:t>
      </w:r>
      <w:r w:rsidRPr="00B3131A">
        <w:rPr>
          <w:rFonts w:eastAsia="Times New Roman" w:cs="Times New Roman"/>
          <w:b/>
          <w:bCs/>
          <w:szCs w:val="24"/>
          <w:lang w:eastAsia="es-CO"/>
        </w:rPr>
        <w:t>de los impuestos administrados por la UGPP</w:t>
      </w:r>
      <w:r w:rsidRPr="00B3131A">
        <w:rPr>
          <w:rFonts w:eastAsia="Times New Roman" w:cs="Times New Roman"/>
          <w:szCs w:val="24"/>
          <w:lang w:eastAsia="es-CO"/>
        </w:rPr>
        <w:t>. Acto seguido, en el parágrafo 2 se establece que “estos beneficios (en plural)” aplicarán también a los contribuyentes que realicen correcciones de sus declaraciones tributarias de los administrados por la Unidad Administrativa Especial Dirección de Impuestos y Aduanas Nacionales - DIAN</w:t>
      </w:r>
    </w:p>
    <w:p w14:paraId="67D4DE80" w14:textId="2EC70DE0"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w:t>
      </w:r>
    </w:p>
    <w:p w14:paraId="07D54732" w14:textId="3E4EFF54"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solicitamos que la DIAN aclare </w:t>
      </w:r>
      <w:r w:rsidRPr="00B3131A">
        <w:rPr>
          <w:rFonts w:eastAsia="Times New Roman" w:cs="Times New Roman"/>
          <w:b/>
          <w:bCs/>
          <w:szCs w:val="24"/>
          <w:lang w:eastAsia="es-CO"/>
        </w:rPr>
        <w:t>si el alivio fiscal contemplado en el </w:t>
      </w:r>
      <w:r w:rsidRPr="00B3131A">
        <w:rPr>
          <w:rFonts w:eastAsia="Times New Roman" w:cs="Times New Roman"/>
          <w:b/>
          <w:bCs/>
          <w:szCs w:val="24"/>
          <w:u w:val="single"/>
          <w:lang w:eastAsia="es-CO"/>
        </w:rPr>
        <w:t>parágrafo 1 del art. 93 de la ley 2277</w:t>
      </w:r>
      <w:r w:rsidRPr="00B3131A">
        <w:rPr>
          <w:rFonts w:eastAsia="Times New Roman" w:cs="Times New Roman"/>
          <w:b/>
          <w:bCs/>
          <w:szCs w:val="24"/>
          <w:lang w:eastAsia="es-CO"/>
        </w:rPr>
        <w:t> también aplica para quienes hayan recibido requerimientos para declarar y/o corregir, pliegos de cargos, liquidaciones oficiales, resoluciones sanción o fallos de recurso de reconsideración </w:t>
      </w:r>
      <w:r w:rsidRPr="00B3131A">
        <w:rPr>
          <w:rFonts w:eastAsia="Times New Roman" w:cs="Times New Roman"/>
          <w:szCs w:val="24"/>
          <w:lang w:eastAsia="es-CO"/>
        </w:rPr>
        <w:t>de los administrados por la Unidad Administrativa Especial Dirección de Impuestos y Aduanas Nacionales -DIAN.” (negrilla y subrayado fuera de texto)</w:t>
      </w:r>
    </w:p>
    <w:p w14:paraId="03620B1F" w14:textId="391EDD48" w:rsidR="00B3131A" w:rsidRPr="00B3131A" w:rsidRDefault="00B3131A" w:rsidP="00B3131A">
      <w:pPr>
        <w:shd w:val="clear" w:color="auto" w:fill="FFFFFF"/>
        <w:spacing w:after="150" w:line="360" w:lineRule="auto"/>
        <w:jc w:val="both"/>
        <w:rPr>
          <w:rFonts w:eastAsia="Times New Roman" w:cs="Times New Roman"/>
          <w:szCs w:val="24"/>
          <w:highlight w:val="yellow"/>
          <w:lang w:eastAsia="es-CO"/>
        </w:rPr>
      </w:pPr>
      <w:r w:rsidRPr="00B3131A">
        <w:rPr>
          <w:rFonts w:eastAsia="Times New Roman" w:cs="Times New Roman"/>
          <w:szCs w:val="24"/>
          <w:highlight w:val="yellow"/>
          <w:lang w:eastAsia="es-CO"/>
        </w:rPr>
        <w:t>Ahora bien, en el Concepto 001328 - interno 165 del 7 de febrero de 2023 la Subdirección de Normativa y Doctrina sostuvo:</w:t>
      </w:r>
    </w:p>
    <w:p w14:paraId="3F97A240" w14:textId="7BFDB1AF" w:rsidR="00B3131A" w:rsidRPr="00B3131A" w:rsidRDefault="00B3131A" w:rsidP="00B3131A">
      <w:pPr>
        <w:shd w:val="clear" w:color="auto" w:fill="FFFFFF"/>
        <w:spacing w:after="150" w:line="360" w:lineRule="auto"/>
        <w:jc w:val="both"/>
        <w:rPr>
          <w:rFonts w:eastAsia="Times New Roman" w:cs="Times New Roman"/>
          <w:szCs w:val="24"/>
          <w:highlight w:val="yellow"/>
          <w:lang w:eastAsia="es-CO"/>
        </w:rPr>
      </w:pPr>
      <w:r w:rsidRPr="00B3131A">
        <w:rPr>
          <w:rFonts w:eastAsia="Times New Roman" w:cs="Times New Roman"/>
          <w:szCs w:val="24"/>
          <w:highlight w:val="yellow"/>
          <w:lang w:eastAsia="es-CO"/>
        </w:rPr>
        <w:t>“VI. EN RELACIÓN CON EL ARTÍCULO 93 DE LA LEY 2277 DE 2022</w:t>
      </w:r>
    </w:p>
    <w:p w14:paraId="059A038C" w14:textId="7CFFF198" w:rsidR="00B3131A" w:rsidRPr="00B3131A" w:rsidRDefault="00B3131A" w:rsidP="00B3131A">
      <w:pPr>
        <w:shd w:val="clear" w:color="auto" w:fill="FFFFFF"/>
        <w:spacing w:after="150" w:line="360" w:lineRule="auto"/>
        <w:jc w:val="both"/>
        <w:rPr>
          <w:rFonts w:eastAsia="Times New Roman" w:cs="Times New Roman"/>
          <w:szCs w:val="24"/>
          <w:highlight w:val="yellow"/>
          <w:lang w:eastAsia="es-CO"/>
        </w:rPr>
      </w:pPr>
      <w:r w:rsidRPr="00B3131A">
        <w:rPr>
          <w:rFonts w:eastAsia="Times New Roman" w:cs="Times New Roman"/>
          <w:szCs w:val="24"/>
          <w:highlight w:val="yellow"/>
          <w:lang w:eastAsia="es-CO"/>
        </w:rPr>
        <w:t>(…)</w:t>
      </w:r>
    </w:p>
    <w:p w14:paraId="4FB46A3D" w14:textId="2BF84E0E"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highlight w:val="yellow"/>
          <w:lang w:eastAsia="es-CO"/>
        </w:rPr>
        <w:t>3. ¿Es aplicable lo previsto en el parágrafo 2° del artículo 93 de la Ley 2277 de 2022 a correcciones realizadas con ocasión de actos administrativos expedidos por la Administración Tributaria (p.ej. emplazamiento para corregir o auto que ordene visita de inspección tributaria)? ¿Esta reducción transitoria también cobija la sanción por inexactitud y las sanciones que se deriven de una inexactitud?</w:t>
      </w:r>
    </w:p>
    <w:p w14:paraId="12A75D24" w14:textId="2DA8DC38"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Sea lo primero señalar que los beneficios aplicables, tratándose del mencionado parágrafo 2°, </w:t>
      </w:r>
      <w:r w:rsidRPr="00B3131A">
        <w:rPr>
          <w:rFonts w:eastAsia="Times New Roman" w:cs="Times New Roman"/>
          <w:b/>
          <w:bCs/>
          <w:szCs w:val="24"/>
          <w:lang w:eastAsia="es-CO"/>
        </w:rPr>
        <w:t>son </w:t>
      </w:r>
      <w:r w:rsidRPr="00B3131A">
        <w:rPr>
          <w:rFonts w:eastAsia="Times New Roman" w:cs="Times New Roman"/>
          <w:b/>
          <w:bCs/>
          <w:szCs w:val="24"/>
          <w:u w:val="single"/>
          <w:lang w:eastAsia="es-CO"/>
        </w:rPr>
        <w:t>la reducción en un 60%</w:t>
      </w:r>
      <w:r w:rsidRPr="00B3131A">
        <w:rPr>
          <w:rFonts w:eastAsia="Times New Roman" w:cs="Times New Roman"/>
          <w:b/>
          <w:bCs/>
          <w:szCs w:val="24"/>
          <w:lang w:eastAsia="es-CO"/>
        </w:rPr>
        <w:t> para la sanción y tasa de interés de mora aplicables</w:t>
      </w:r>
      <w:r w:rsidRPr="00B3131A">
        <w:rPr>
          <w:rFonts w:eastAsia="Times New Roman" w:cs="Times New Roman"/>
          <w:szCs w:val="24"/>
          <w:lang w:eastAsia="es-CO"/>
        </w:rPr>
        <w:t>.</w:t>
      </w:r>
    </w:p>
    <w:p w14:paraId="371104DF" w14:textId="3E373ED2"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Ahora bien, </w:t>
      </w:r>
      <w:r w:rsidRPr="00B3131A">
        <w:rPr>
          <w:rFonts w:eastAsia="Times New Roman" w:cs="Times New Roman"/>
          <w:b/>
          <w:bCs/>
          <w:szCs w:val="24"/>
          <w:lang w:eastAsia="es-CO"/>
        </w:rPr>
        <w:t>bajo la lógica del numeral 1 del artículo 93 ibidem</w:t>
      </w:r>
      <w:r w:rsidRPr="00B3131A">
        <w:rPr>
          <w:rFonts w:eastAsia="Times New Roman" w:cs="Times New Roman"/>
          <w:szCs w:val="24"/>
          <w:lang w:eastAsia="es-CO"/>
        </w:rPr>
        <w:t>, esto es, que la presentación de la declaración extemporánea se debe dar antes del emplazamiento previo por no declarar o del auto que ordena inspección tributaria para acceder a los beneficios antes señalados (como se explicó previamente), es de colegir que </w:t>
      </w:r>
      <w:r w:rsidRPr="00B3131A">
        <w:rPr>
          <w:rFonts w:eastAsia="Times New Roman" w:cs="Times New Roman"/>
          <w:b/>
          <w:bCs/>
          <w:szCs w:val="24"/>
          <w:lang w:eastAsia="es-CO"/>
        </w:rPr>
        <w:t>igual proceder deben observar los contribuyentes interesados en corregir las declaraciones tributarias en las que se presenten inexactitudes</w:t>
      </w:r>
      <w:r w:rsidRPr="00B3131A">
        <w:rPr>
          <w:rFonts w:eastAsia="Times New Roman" w:cs="Times New Roman"/>
          <w:szCs w:val="24"/>
          <w:lang w:eastAsia="es-CO"/>
        </w:rPr>
        <w:t>.</w:t>
      </w:r>
    </w:p>
    <w:p w14:paraId="221F2C77" w14:textId="705B143B" w:rsidR="00B3131A" w:rsidRPr="00B3131A" w:rsidRDefault="00B3131A" w:rsidP="00B3131A">
      <w:pPr>
        <w:shd w:val="clear" w:color="auto" w:fill="FFFFFF"/>
        <w:spacing w:after="150" w:line="360" w:lineRule="auto"/>
        <w:jc w:val="both"/>
        <w:rPr>
          <w:rFonts w:eastAsia="Times New Roman" w:cs="Times New Roman"/>
          <w:sz w:val="32"/>
          <w:szCs w:val="32"/>
          <w:lang w:eastAsia="es-CO"/>
        </w:rPr>
      </w:pPr>
      <w:r w:rsidRPr="00B3131A">
        <w:rPr>
          <w:rFonts w:eastAsia="Times New Roman" w:cs="Times New Roman"/>
          <w:szCs w:val="24"/>
          <w:lang w:eastAsia="es-CO"/>
        </w:rPr>
        <w:lastRenderedPageBreak/>
        <w:t>Por ende, para esta Subdirección, las reducciones transitorias en materia sancionatoria y de tasa de interés moratoria </w:t>
      </w:r>
      <w:r w:rsidRPr="00B3131A">
        <w:rPr>
          <w:rFonts w:eastAsia="Times New Roman" w:cs="Times New Roman"/>
          <w:b/>
          <w:bCs/>
          <w:szCs w:val="24"/>
          <w:lang w:eastAsia="es-CO"/>
        </w:rPr>
        <w:t>únicamente son aplicables cuando el contribuyente corrige la declaración tributaria, liquidándose -consecuentemente- la sanción por corrección </w:t>
      </w:r>
      <w:r w:rsidRPr="00B3131A">
        <w:rPr>
          <w:rFonts w:eastAsia="Times New Roman" w:cs="Times New Roman"/>
          <w:b/>
          <w:bCs/>
          <w:sz w:val="32"/>
          <w:szCs w:val="32"/>
          <w:highlight w:val="yellow"/>
          <w:u w:val="single"/>
          <w:lang w:eastAsia="es-CO"/>
        </w:rPr>
        <w:t>antes de que le sea notificado el emplazamiento para corregir, auto que ordene visita de inspección tributaria o requerimiento especial</w:t>
      </w:r>
    </w:p>
    <w:p w14:paraId="1F6D850A" w14:textId="0DCFB5CC"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Eventualmente, también gozaría de la reducción en un 60%, en los términos de la disposición aquí analizada, la sanción por rechazo o disminución de pérdidas (cfr. </w:t>
      </w:r>
      <w:r w:rsidRPr="00B3131A">
        <w:rPr>
          <w:rFonts w:eastAsia="Times New Roman" w:cs="Times New Roman"/>
          <w:szCs w:val="24"/>
          <w:u w:val="single"/>
          <w:lang w:eastAsia="es-CO"/>
        </w:rPr>
        <w:t>artículo 647-1</w:t>
      </w:r>
      <w:r w:rsidRPr="00B3131A">
        <w:rPr>
          <w:rFonts w:eastAsia="Times New Roman" w:cs="Times New Roman"/>
          <w:szCs w:val="24"/>
          <w:lang w:eastAsia="es-CO"/>
        </w:rPr>
        <w:t> del Estatuto Tributario) bajo el entendido que tal rechazo o disminución se origine de una corrección voluntaria realizada por el contribuyente a la declaración privada.” (negrilla subrayado fuera de texto)</w:t>
      </w:r>
    </w:p>
    <w:p w14:paraId="51CE2BBE" w14:textId="43A6D894"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Sobre el particular, considera este Despacho:</w:t>
      </w:r>
    </w:p>
    <w:p w14:paraId="2309854B" w14:textId="1CF4D3C5"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El artículo 93 de la Ley 2277 de 2022 establece lo siguiente:</w:t>
      </w:r>
    </w:p>
    <w:p w14:paraId="470DD1E5" w14:textId="26A819FF"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b/>
          <w:bCs/>
          <w:szCs w:val="24"/>
          <w:highlight w:val="yellow"/>
          <w:lang w:eastAsia="es-CO"/>
        </w:rPr>
        <w:t>“ARTÍCULO 93. REDUCCIÓN TRANSITORIA DE SANCIONES Y DE TASA DE INTERÉS PARA OMISOS EN LA OBLIGACIÓN DE DECLARAR DE LOS IMPUESTOS ADMINISTRADOS POR LA DIAN</w:t>
      </w:r>
      <w:r w:rsidRPr="00B3131A">
        <w:rPr>
          <w:rFonts w:eastAsia="Times New Roman" w:cs="Times New Roman"/>
          <w:szCs w:val="24"/>
          <w:lang w:eastAsia="es-CO"/>
        </w:rPr>
        <w:t>. Para los contribuyentes que, a treinta y uno (31) de diciembre de 2022, </w:t>
      </w:r>
      <w:r w:rsidRPr="00B3131A">
        <w:rPr>
          <w:rFonts w:eastAsia="Times New Roman" w:cs="Times New Roman"/>
          <w:b/>
          <w:bCs/>
          <w:szCs w:val="24"/>
          <w:u w:val="single"/>
          <w:lang w:eastAsia="es-CO"/>
        </w:rPr>
        <w:t>no hayan presentado las declaraciones tributarias</w:t>
      </w:r>
      <w:r w:rsidRPr="00B3131A">
        <w:rPr>
          <w:rFonts w:eastAsia="Times New Roman" w:cs="Times New Roman"/>
          <w:b/>
          <w:bCs/>
          <w:szCs w:val="24"/>
          <w:lang w:eastAsia="es-CO"/>
        </w:rPr>
        <w:t> a que estaban obligados por lo impuesto administrados por la Unidad Administrativa Especial Dirección de Impuestos y Aduanas Nacionales (DIAN) </w:t>
      </w:r>
      <w:r w:rsidRPr="00B3131A">
        <w:rPr>
          <w:rFonts w:eastAsia="Times New Roman" w:cs="Times New Roman"/>
          <w:szCs w:val="24"/>
          <w:lang w:eastAsia="es-CO"/>
        </w:rPr>
        <w:t>y que las presenten antes del treinta y uno (31) de mayo de 2023, con pago o con facilidades o acuerdos para el pago solicitadas a esta fecha y suscritas antes del treinta (30) de junio de 2023, </w:t>
      </w:r>
      <w:r w:rsidRPr="00B3131A">
        <w:rPr>
          <w:rFonts w:eastAsia="Times New Roman" w:cs="Times New Roman"/>
          <w:b/>
          <w:bCs/>
          <w:szCs w:val="24"/>
          <w:lang w:eastAsia="es-CO"/>
        </w:rPr>
        <w:t>se reducirán y liquidarán las sanciones y la tasa de interés moratoria </w:t>
      </w:r>
      <w:r w:rsidRPr="00B3131A">
        <w:rPr>
          <w:rFonts w:eastAsia="Times New Roman" w:cs="Times New Roman"/>
          <w:szCs w:val="24"/>
          <w:lang w:eastAsia="es-CO"/>
        </w:rPr>
        <w:t>en los siguientes términos:</w:t>
      </w:r>
    </w:p>
    <w:p w14:paraId="66264EAF" w14:textId="2C09902B"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1. La sanción de extemporaneidad se reducirá en un sesenta por ciento (60%) del monto determinado después de aplicar los artículos </w:t>
      </w:r>
      <w:r w:rsidRPr="00B3131A">
        <w:rPr>
          <w:rFonts w:eastAsia="Times New Roman" w:cs="Times New Roman"/>
          <w:szCs w:val="24"/>
          <w:u w:val="single"/>
          <w:lang w:eastAsia="es-CO"/>
        </w:rPr>
        <w:t>641</w:t>
      </w:r>
      <w:r w:rsidRPr="00B3131A">
        <w:rPr>
          <w:rFonts w:eastAsia="Times New Roman" w:cs="Times New Roman"/>
          <w:szCs w:val="24"/>
          <w:lang w:eastAsia="es-CO"/>
        </w:rPr>
        <w:t> y </w:t>
      </w:r>
      <w:r w:rsidRPr="00B3131A">
        <w:rPr>
          <w:rFonts w:eastAsia="Times New Roman" w:cs="Times New Roman"/>
          <w:szCs w:val="24"/>
          <w:u w:val="single"/>
          <w:lang w:eastAsia="es-CO"/>
        </w:rPr>
        <w:t>640</w:t>
      </w:r>
      <w:r w:rsidRPr="00B3131A">
        <w:rPr>
          <w:rFonts w:eastAsia="Times New Roman" w:cs="Times New Roman"/>
          <w:szCs w:val="24"/>
          <w:lang w:eastAsia="es-CO"/>
        </w:rPr>
        <w:t> del Estatuto Tributario.</w:t>
      </w:r>
    </w:p>
    <w:p w14:paraId="72F7D71C" w14:textId="5CF8BEDF"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2. La tasa de interés de mora se reducirá en un sesenta por ciento (60%) de la tasa de interés establecida en el </w:t>
      </w:r>
      <w:r w:rsidRPr="00B3131A">
        <w:rPr>
          <w:rFonts w:eastAsia="Times New Roman" w:cs="Times New Roman"/>
          <w:szCs w:val="24"/>
          <w:u w:val="single"/>
          <w:lang w:eastAsia="es-CO"/>
        </w:rPr>
        <w:t>artículo 635</w:t>
      </w:r>
      <w:r w:rsidRPr="00B3131A">
        <w:rPr>
          <w:rFonts w:eastAsia="Times New Roman" w:cs="Times New Roman"/>
          <w:szCs w:val="24"/>
          <w:lang w:eastAsia="es-CO"/>
        </w:rPr>
        <w:t> del Estatuto Tributario.</w:t>
      </w:r>
    </w:p>
    <w:p w14:paraId="20E61DFE" w14:textId="4067CAB1"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b/>
          <w:bCs/>
          <w:szCs w:val="24"/>
          <w:highlight w:val="yellow"/>
          <w:lang w:eastAsia="es-CO"/>
        </w:rPr>
        <w:t>PARÁGRAFO 1o</w:t>
      </w:r>
      <w:r w:rsidRPr="00B3131A">
        <w:rPr>
          <w:rFonts w:eastAsia="Times New Roman" w:cs="Times New Roman"/>
          <w:szCs w:val="24"/>
          <w:lang w:eastAsia="es-CO"/>
        </w:rPr>
        <w:t>. </w:t>
      </w:r>
      <w:r w:rsidRPr="00B3131A">
        <w:rPr>
          <w:rFonts w:eastAsia="Times New Roman" w:cs="Times New Roman"/>
          <w:b/>
          <w:bCs/>
          <w:szCs w:val="24"/>
          <w:lang w:eastAsia="es-CO"/>
        </w:rPr>
        <w:t>A quienes se les haya notificado requerimiento para declarar y/o corregir, pliegos de cargos, liquidación oficial, resolución sanción o fallo de recurso de reconsideración, </w:t>
      </w:r>
      <w:r w:rsidRPr="00B3131A">
        <w:rPr>
          <w:rFonts w:eastAsia="Times New Roman" w:cs="Times New Roman"/>
          <w:b/>
          <w:bCs/>
          <w:szCs w:val="24"/>
          <w:u w:val="single"/>
          <w:lang w:eastAsia="es-CO"/>
        </w:rPr>
        <w:t>las sanciones propuestas o determinadas por la UGPP</w:t>
      </w:r>
      <w:r w:rsidRPr="00B3131A">
        <w:rPr>
          <w:rFonts w:eastAsia="Times New Roman" w:cs="Times New Roman"/>
          <w:b/>
          <w:bCs/>
          <w:szCs w:val="24"/>
          <w:lang w:eastAsia="es-CO"/>
        </w:rPr>
        <w:t> </w:t>
      </w:r>
      <w:r w:rsidRPr="00B3131A">
        <w:rPr>
          <w:rFonts w:eastAsia="Times New Roman" w:cs="Times New Roman"/>
          <w:szCs w:val="24"/>
          <w:lang w:eastAsia="es-CO"/>
        </w:rPr>
        <w:t>de que tratan los numerales 1, 2, 3 y 4 del artículo 179 de la Ley 1607 de 2012 respecto de las cuales se paguen hasta el treinta (30) de junio de 2023 la totalidad del acto administrativo, </w:t>
      </w:r>
      <w:r w:rsidRPr="00B3131A">
        <w:rPr>
          <w:rFonts w:eastAsia="Times New Roman" w:cs="Times New Roman"/>
          <w:b/>
          <w:bCs/>
          <w:szCs w:val="24"/>
          <w:lang w:eastAsia="es-CO"/>
        </w:rPr>
        <w:t>se reducirán al veinte por ciento (20%) del monto propuesto o determinado, con su respectiva actualización</w:t>
      </w:r>
      <w:r w:rsidRPr="00B3131A">
        <w:rPr>
          <w:rFonts w:eastAsia="Times New Roman" w:cs="Times New Roman"/>
          <w:szCs w:val="24"/>
          <w:lang w:eastAsia="es-CO"/>
        </w:rPr>
        <w:t xml:space="preserve">. En los procesos de cobro que se encuentren en curso o se inicien con posterioridad a la </w:t>
      </w:r>
      <w:proofErr w:type="gramStart"/>
      <w:r w:rsidRPr="00B3131A">
        <w:rPr>
          <w:rFonts w:eastAsia="Times New Roman" w:cs="Times New Roman"/>
          <w:szCs w:val="24"/>
          <w:lang w:eastAsia="es-CO"/>
        </w:rPr>
        <w:t>entrada en vigencia</w:t>
      </w:r>
      <w:proofErr w:type="gramEnd"/>
      <w:r w:rsidRPr="00B3131A">
        <w:rPr>
          <w:rFonts w:eastAsia="Times New Roman" w:cs="Times New Roman"/>
          <w:szCs w:val="24"/>
          <w:lang w:eastAsia="es-CO"/>
        </w:rPr>
        <w:t xml:space="preserve"> de la presente ley, donde se pretenda la reducción prevista en el presente parágrafo, siempre que paguen la totalidad del acto administrativo, se podrán suscribir facilidades de pago a más tardar el treinta (30) de junio de 2023 y su solicitud deberá ser radicada hasta el quince (15) de mayo de 2023. Lo anterior, conforme con el procedimiento que para el efecto establezca la UGPP.</w:t>
      </w:r>
    </w:p>
    <w:p w14:paraId="629EFC88" w14:textId="3992E17D"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b/>
          <w:bCs/>
          <w:szCs w:val="24"/>
          <w:lang w:eastAsia="es-CO"/>
        </w:rPr>
        <w:lastRenderedPageBreak/>
        <w:t>PARÁGRAFO 2o</w:t>
      </w:r>
      <w:r w:rsidRPr="00B3131A">
        <w:rPr>
          <w:rFonts w:eastAsia="Times New Roman" w:cs="Times New Roman"/>
          <w:szCs w:val="24"/>
          <w:lang w:eastAsia="es-CO"/>
        </w:rPr>
        <w:t>. </w:t>
      </w:r>
      <w:r w:rsidRPr="00B3131A">
        <w:rPr>
          <w:rFonts w:eastAsia="Times New Roman" w:cs="Times New Roman"/>
          <w:b/>
          <w:bCs/>
          <w:szCs w:val="24"/>
          <w:lang w:eastAsia="es-CO"/>
        </w:rPr>
        <w:t>Estos beneficios también aplicarán para contribuyentes </w:t>
      </w:r>
      <w:r w:rsidRPr="00B3131A">
        <w:rPr>
          <w:rFonts w:eastAsia="Times New Roman" w:cs="Times New Roman"/>
          <w:b/>
          <w:bCs/>
          <w:szCs w:val="24"/>
          <w:u w:val="single"/>
          <w:lang w:eastAsia="es-CO"/>
        </w:rPr>
        <w:t>que corrijan las declaraciones que presenten inexactitudes</w:t>
      </w:r>
      <w:r w:rsidRPr="00B3131A">
        <w:rPr>
          <w:rFonts w:eastAsia="Times New Roman" w:cs="Times New Roman"/>
          <w:b/>
          <w:bCs/>
          <w:szCs w:val="24"/>
          <w:lang w:eastAsia="es-CO"/>
        </w:rPr>
        <w:t> </w:t>
      </w:r>
      <w:r w:rsidRPr="00B3131A">
        <w:rPr>
          <w:rFonts w:eastAsia="Times New Roman" w:cs="Times New Roman"/>
          <w:szCs w:val="24"/>
          <w:lang w:eastAsia="es-CO"/>
        </w:rPr>
        <w:t>en los impuestos administrados por la Unidad Administrativa Especial Dirección de Impuestos y Aduanas Nacionales (DIAN).” (negrilla y subrayado fuera de texto)</w:t>
      </w:r>
    </w:p>
    <w:p w14:paraId="57121FC2" w14:textId="789F802A"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Como se puede observar, la reseñada disposición se compone de tres (3) partes, dos (2) de las cuales están relacionadas con los impuestos administrados por esta Entidad:</w:t>
      </w:r>
    </w:p>
    <w:p w14:paraId="14C06256" w14:textId="6F711744" w:rsidR="00B3131A" w:rsidRPr="00B3131A" w:rsidRDefault="00B3131A" w:rsidP="00B3131A">
      <w:pPr>
        <w:numPr>
          <w:ilvl w:val="0"/>
          <w:numId w:val="1"/>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 xml:space="preserve">Cuando los contribuyentes presentan </w:t>
      </w:r>
      <w:proofErr w:type="spellStart"/>
      <w:r w:rsidRPr="00B3131A">
        <w:rPr>
          <w:rFonts w:eastAsia="Times New Roman" w:cs="Times New Roman"/>
          <w:szCs w:val="24"/>
          <w:lang w:eastAsia="es-CO"/>
        </w:rPr>
        <w:t>extemporaneamente</w:t>
      </w:r>
      <w:proofErr w:type="spellEnd"/>
      <w:r w:rsidRPr="00B3131A">
        <w:rPr>
          <w:rFonts w:eastAsia="Times New Roman" w:cs="Times New Roman"/>
          <w:szCs w:val="24"/>
          <w:lang w:eastAsia="es-CO"/>
        </w:rPr>
        <w:t xml:space="preserve"> las declaraciones tributarias (inciso único del artículo 93 ibidem), y</w:t>
      </w:r>
    </w:p>
    <w:p w14:paraId="338948B2" w14:textId="77777777" w:rsidR="00B3131A" w:rsidRPr="00B3131A" w:rsidRDefault="00B3131A" w:rsidP="00B3131A">
      <w:pPr>
        <w:numPr>
          <w:ilvl w:val="0"/>
          <w:numId w:val="2"/>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 xml:space="preserve">Cuando los contribuyentes </w:t>
      </w:r>
      <w:proofErr w:type="spellStart"/>
      <w:r w:rsidRPr="00B3131A">
        <w:rPr>
          <w:rFonts w:eastAsia="Times New Roman" w:cs="Times New Roman"/>
          <w:szCs w:val="24"/>
          <w:lang w:eastAsia="es-CO"/>
        </w:rPr>
        <w:t>corrijen</w:t>
      </w:r>
      <w:proofErr w:type="spellEnd"/>
      <w:r w:rsidRPr="00B3131A">
        <w:rPr>
          <w:rFonts w:eastAsia="Times New Roman" w:cs="Times New Roman"/>
          <w:szCs w:val="24"/>
          <w:lang w:eastAsia="es-CO"/>
        </w:rPr>
        <w:t xml:space="preserve"> las declaraciones tributarias en las que se presentan inexactitudes (parágrafo 2° del artículo 93 ibidem).</w:t>
      </w:r>
    </w:p>
    <w:p w14:paraId="5ED0025A" w14:textId="4B86672C"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En lo que se refiere a la parte restante (parágrafo 1°), esto es, la correspondiente a las sanciones propuestas o determinadas por la UGPP, esta Dirección carece de competencia para pronunciarse sobre la misma al estar involucrada con el pago de las contribuciones parafiscales del Sistema de Protección Social.</w:t>
      </w:r>
    </w:p>
    <w:p w14:paraId="61FC52FE" w14:textId="317AD482"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Al respecto, no sobra recordar que, de acuerdo con el artículo 1° del Decreto 1742 de 2020, la DIAN tiene a su cargo “La administración de </w:t>
      </w:r>
      <w:r w:rsidRPr="00B3131A">
        <w:rPr>
          <w:rFonts w:eastAsia="Times New Roman" w:cs="Times New Roman"/>
          <w:b/>
          <w:bCs/>
          <w:szCs w:val="24"/>
          <w:lang w:eastAsia="es-CO"/>
        </w:rPr>
        <w:t>los impuestos de renta y complementarios, de timbre nacional y sobre las ventas; los derechos de aduana y </w:t>
      </w:r>
      <w:r w:rsidRPr="00B3131A">
        <w:rPr>
          <w:rFonts w:eastAsia="Times New Roman" w:cs="Times New Roman"/>
          <w:b/>
          <w:bCs/>
          <w:szCs w:val="24"/>
          <w:u w:val="single"/>
          <w:lang w:eastAsia="es-CO"/>
        </w:rPr>
        <w:t>los demás impuestos internos del orden nacional</w:t>
      </w:r>
      <w:r w:rsidRPr="00B3131A">
        <w:rPr>
          <w:rFonts w:eastAsia="Times New Roman" w:cs="Times New Roman"/>
          <w:b/>
          <w:bCs/>
          <w:szCs w:val="24"/>
          <w:lang w:eastAsia="es-CO"/>
        </w:rPr>
        <w:t> cuya competencia no esté asignada a otras entidades del Estado</w:t>
      </w:r>
      <w:r w:rsidRPr="00B3131A">
        <w:rPr>
          <w:rFonts w:eastAsia="Times New Roman" w:cs="Times New Roman"/>
          <w:szCs w:val="24"/>
          <w:lang w:eastAsia="es-CO"/>
        </w:rPr>
        <w:t>, bien se trate de impuestos internos o al comercio exterior; así como la dirección y administración de la gestión aduanera, incluyendo la aprehensión, decomiso o declaración en abandono a favor de la Nación de mercancías y su administración y disposición” (negrilla y subrayado fuera de texto), entre otras funciones.</w:t>
      </w:r>
    </w:p>
    <w:p w14:paraId="75595B82" w14:textId="76D3ADAC" w:rsidR="00B3131A" w:rsidRPr="00B3131A" w:rsidRDefault="00B3131A" w:rsidP="00B3131A">
      <w:pPr>
        <w:shd w:val="clear" w:color="auto" w:fill="FFFFFF"/>
        <w:spacing w:after="150" w:line="360" w:lineRule="auto"/>
        <w:jc w:val="both"/>
        <w:rPr>
          <w:rFonts w:eastAsia="Times New Roman" w:cs="Times New Roman"/>
          <w:b/>
          <w:bCs/>
          <w:sz w:val="32"/>
          <w:szCs w:val="32"/>
          <w:lang w:eastAsia="es-CO"/>
        </w:rPr>
      </w:pPr>
      <w:r w:rsidRPr="00B3131A">
        <w:rPr>
          <w:rFonts w:eastAsia="Times New Roman" w:cs="Times New Roman"/>
          <w:b/>
          <w:bCs/>
          <w:sz w:val="32"/>
          <w:szCs w:val="32"/>
          <w:highlight w:val="yellow"/>
          <w:lang w:eastAsia="es-CO"/>
        </w:rPr>
        <w:t>En línea con lo anterior, la Subdirección de Normativa y Doctrina concluyó que los “beneficios” a los que se hace referencia en el parágrafo 2° del mencionado artículo 93 son los mismos previstos en el inciso único de esta disposición, traduciéndose en la reducción en un 60% de la sanción y de la tasa de interés moratorio, lo cual comparte este Despacho por las siguientes razones:</w:t>
      </w:r>
    </w:p>
    <w:p w14:paraId="47D137BA" w14:textId="5DC6C91E" w:rsidR="00B3131A" w:rsidRPr="00B3131A" w:rsidRDefault="00B3131A" w:rsidP="00B3131A">
      <w:pPr>
        <w:shd w:val="clear" w:color="auto" w:fill="FFFFFF"/>
        <w:spacing w:after="150" w:line="360" w:lineRule="auto"/>
        <w:jc w:val="both"/>
        <w:rPr>
          <w:rFonts w:eastAsia="Times New Roman" w:cs="Times New Roman"/>
          <w:b/>
          <w:bCs/>
          <w:szCs w:val="24"/>
          <w:lang w:eastAsia="es-CO"/>
        </w:rPr>
      </w:pPr>
      <w:r w:rsidRPr="00B3131A">
        <w:rPr>
          <w:rFonts w:eastAsia="Times New Roman" w:cs="Times New Roman"/>
          <w:b/>
          <w:bCs/>
          <w:szCs w:val="24"/>
          <w:highlight w:val="yellow"/>
          <w:lang w:eastAsia="es-CO"/>
        </w:rPr>
        <w:t>A diferencia del parágrafo 1°, el inciso único del artículo 93 versa sobre los impuestos administrados por esta Entidad, como se expuso líneas atrás; de modo que, en la interpretación del parágrafo 2°, el vocablo “beneficios” se debe llenar de contenido teniendo en cuenta un grado mínimo de coherencia y correspondencia.</w:t>
      </w:r>
    </w:p>
    <w:p w14:paraId="6542EAB4" w14:textId="01CF2D70"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lastRenderedPageBreak/>
        <w:t>En este sentido, mal haría la Administración Tributaria en concluir que la reducción aplicable es la misma prevista para las sanciones propuestas o determinadas por la UGPP (que, dicho sea de paso, no se refiere a la tasa de interés moratoria) cuando la misma norma contempla otra reducción específicamente establecida en función de los impuestos administrados por la DIAN.</w:t>
      </w:r>
    </w:p>
    <w:p w14:paraId="0378AB3A" w14:textId="3D78AB91"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A la par, no se observa viable acudir a los principios de equidad e igualdad </w:t>
      </w:r>
      <w:r w:rsidRPr="00B3131A">
        <w:rPr>
          <w:rFonts w:eastAsia="Times New Roman" w:cs="Times New Roman"/>
          <w:szCs w:val="24"/>
          <w:u w:val="single"/>
          <w:lang w:eastAsia="es-CO"/>
        </w:rPr>
        <w:t>para justificar la extensión del parágrafo 1° del artículo 93 de la Ley 2277 de 2022</w:t>
      </w:r>
      <w:r w:rsidRPr="00B3131A">
        <w:rPr>
          <w:rFonts w:eastAsia="Times New Roman" w:cs="Times New Roman"/>
          <w:szCs w:val="24"/>
          <w:lang w:eastAsia="es-CO"/>
        </w:rPr>
        <w:t> al supuesto de hecho previsto en el parágrafo 2° de la misma disposición, pues:</w:t>
      </w:r>
    </w:p>
    <w:p w14:paraId="01C83A0A" w14:textId="77A7D8C8" w:rsidR="00B3131A" w:rsidRPr="00B3131A" w:rsidRDefault="00B3131A" w:rsidP="00B3131A">
      <w:pPr>
        <w:numPr>
          <w:ilvl w:val="0"/>
          <w:numId w:val="3"/>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“el principio de equidad es de naturaleza estructural, esto es, </w:t>
      </w:r>
      <w:r w:rsidRPr="00B3131A">
        <w:rPr>
          <w:rFonts w:eastAsia="Times New Roman" w:cs="Times New Roman"/>
          <w:b/>
          <w:bCs/>
          <w:szCs w:val="24"/>
          <w:lang w:eastAsia="es-CO"/>
        </w:rPr>
        <w:t>se predica del sistema tributario y no de un </w:t>
      </w:r>
      <w:r w:rsidRPr="00B3131A">
        <w:rPr>
          <w:rFonts w:eastAsia="Times New Roman" w:cs="Times New Roman"/>
          <w:b/>
          <w:bCs/>
          <w:szCs w:val="24"/>
          <w:u w:val="single"/>
          <w:lang w:eastAsia="es-CO"/>
        </w:rPr>
        <w:t>tributo</w:t>
      </w:r>
      <w:r w:rsidRPr="00B3131A">
        <w:rPr>
          <w:rFonts w:eastAsia="Times New Roman" w:cs="Times New Roman"/>
          <w:b/>
          <w:bCs/>
          <w:szCs w:val="24"/>
          <w:lang w:eastAsia="es-CO"/>
        </w:rPr>
        <w:t> en particular</w:t>
      </w:r>
      <w:r w:rsidRPr="00B3131A">
        <w:rPr>
          <w:rFonts w:eastAsia="Times New Roman" w:cs="Times New Roman"/>
          <w:szCs w:val="24"/>
          <w:lang w:eastAsia="es-CO"/>
        </w:rPr>
        <w:t>” (negrilla y subrayado fuera de texto) (cfr. Sentencia C-057/21 de la Corte Constitucional, M.P. PAOLA ANDREA MENESES MOSQUERA), y</w:t>
      </w:r>
    </w:p>
    <w:p w14:paraId="796738D1" w14:textId="77777777" w:rsidR="00B3131A" w:rsidRPr="00B3131A" w:rsidRDefault="00B3131A" w:rsidP="00B3131A">
      <w:pPr>
        <w:numPr>
          <w:ilvl w:val="0"/>
          <w:numId w:val="4"/>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“en desarrollo del principio de igualdad contenido en el artículo 13 de la Carta Política, corresponde al legislador otorgar </w:t>
      </w:r>
      <w:r w:rsidRPr="00B3131A">
        <w:rPr>
          <w:rFonts w:eastAsia="Times New Roman" w:cs="Times New Roman"/>
          <w:b/>
          <w:bCs/>
          <w:szCs w:val="24"/>
          <w:lang w:eastAsia="es-CO"/>
        </w:rPr>
        <w:t>el mismo trato jurídico a todas aquellas situaciones que </w:t>
      </w:r>
      <w:r w:rsidRPr="00B3131A">
        <w:rPr>
          <w:rFonts w:eastAsia="Times New Roman" w:cs="Times New Roman"/>
          <w:b/>
          <w:bCs/>
          <w:szCs w:val="24"/>
          <w:u w:val="single"/>
          <w:lang w:eastAsia="es-CO"/>
        </w:rPr>
        <w:t>pueden ser comparadas</w:t>
      </w:r>
      <w:r w:rsidRPr="00B3131A">
        <w:rPr>
          <w:rFonts w:eastAsia="Times New Roman" w:cs="Times New Roman"/>
          <w:szCs w:val="24"/>
          <w:lang w:eastAsia="es-CO"/>
        </w:rPr>
        <w:t>, así como establecer las correspondientes diferenciaciones cuando se trate de </w:t>
      </w:r>
      <w:r w:rsidRPr="00B3131A">
        <w:rPr>
          <w:rFonts w:eastAsia="Times New Roman" w:cs="Times New Roman"/>
          <w:b/>
          <w:bCs/>
          <w:szCs w:val="24"/>
          <w:u w:val="single"/>
          <w:lang w:eastAsia="es-CO"/>
        </w:rPr>
        <w:t>situaciones fácticas disímiles</w:t>
      </w:r>
      <w:r w:rsidRPr="00B3131A">
        <w:rPr>
          <w:rFonts w:eastAsia="Times New Roman" w:cs="Times New Roman"/>
          <w:szCs w:val="24"/>
          <w:lang w:eastAsia="es-CO"/>
        </w:rPr>
        <w:t>” (negrilla y subrayado fuera de texto) (cfr. Sentencia C-505/14 de la Corte Constitucional, M.P. JORGE IGNACIO PRETELT CHALJUB).</w:t>
      </w:r>
    </w:p>
    <w:p w14:paraId="5CB7BCDE" w14:textId="46F97C4D"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xml:space="preserve">Sobre este punto, la comparabilidad estaría dada entre los contribuyentes de los impuestos administrados por la DIAN, quienes, ya sea que presenten </w:t>
      </w:r>
      <w:proofErr w:type="spellStart"/>
      <w:r w:rsidRPr="00B3131A">
        <w:rPr>
          <w:rFonts w:eastAsia="Times New Roman" w:cs="Times New Roman"/>
          <w:szCs w:val="24"/>
          <w:lang w:eastAsia="es-CO"/>
        </w:rPr>
        <w:t>extemporaneamente</w:t>
      </w:r>
      <w:proofErr w:type="spellEnd"/>
      <w:r w:rsidRPr="00B3131A">
        <w:rPr>
          <w:rFonts w:eastAsia="Times New Roman" w:cs="Times New Roman"/>
          <w:szCs w:val="24"/>
          <w:lang w:eastAsia="es-CO"/>
        </w:rPr>
        <w:t xml:space="preserve"> las declaraciones tributarias a su cargo o las corrijan con motivo de inexactitudes, pueden optar por las mismas reducciones.</w:t>
      </w:r>
    </w:p>
    <w:p w14:paraId="440D21B9" w14:textId="11D12F46"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Pasando ahora al segundo cuestionamiento, esto es, la oportunidad en la que se debe llevar a cabo la referida corrección para efectos de gozar de las reducciones de que trata el inciso único de la norma aquí analizada, se encuentra lo siguiente:</w:t>
      </w:r>
    </w:p>
    <w:p w14:paraId="46D38C4D" w14:textId="77777777" w:rsidR="00B3131A" w:rsidRPr="00B3131A" w:rsidRDefault="00B3131A" w:rsidP="00B3131A">
      <w:pPr>
        <w:numPr>
          <w:ilvl w:val="0"/>
          <w:numId w:val="5"/>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Como beneficio tributario que es, la reducción transitoria de sanciones y de tasa de interés del citado artículo 93 es de interpretación restrictiva y se concreta a lo expresamente señalado por la Ley. “Así lo ha reiterado la Corte Constitucional, señalando que “los beneficios tributarios son, en general, taxativos, limitados, personales e intransferibles” (cfr. Corte Constitucional, M. P. Paola Andrea Meneses Mosquera, Sentencia C-057 del 11 de marzo de 2021) y son “de interpretación restrictiva, y deben entenderse solo con el alcance explícitamente señalado en la ley”. (cfr. Corte Constitucional, M. P. Alejandro Linares Cantillo, Sentencia C-292 del 8 de agosto del 2020)” (cfr. Oficio 903358 - interno 516 del 27 de abril de 2022).</w:t>
      </w:r>
    </w:p>
    <w:p w14:paraId="3CBA347F"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w:t>
      </w:r>
    </w:p>
    <w:p w14:paraId="4E7CD3C3" w14:textId="77777777" w:rsidR="00B3131A" w:rsidRPr="00B3131A" w:rsidRDefault="00B3131A" w:rsidP="00B3131A">
      <w:pPr>
        <w:numPr>
          <w:ilvl w:val="0"/>
          <w:numId w:val="6"/>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lastRenderedPageBreak/>
        <w:t xml:space="preserve">De conformidad con el principio de especialidad (lex </w:t>
      </w:r>
      <w:proofErr w:type="spellStart"/>
      <w:r w:rsidRPr="00B3131A">
        <w:rPr>
          <w:rFonts w:eastAsia="Times New Roman" w:cs="Times New Roman"/>
          <w:szCs w:val="24"/>
          <w:lang w:eastAsia="es-CO"/>
        </w:rPr>
        <w:t>specialis</w:t>
      </w:r>
      <w:proofErr w:type="spellEnd"/>
      <w:r w:rsidRPr="00B3131A">
        <w:rPr>
          <w:rFonts w:eastAsia="Times New Roman" w:cs="Times New Roman"/>
          <w:szCs w:val="24"/>
          <w:lang w:eastAsia="es-CO"/>
        </w:rPr>
        <w:t xml:space="preserve"> </w:t>
      </w:r>
      <w:proofErr w:type="spellStart"/>
      <w:r w:rsidRPr="00B3131A">
        <w:rPr>
          <w:rFonts w:eastAsia="Times New Roman" w:cs="Times New Roman"/>
          <w:szCs w:val="24"/>
          <w:lang w:eastAsia="es-CO"/>
        </w:rPr>
        <w:t>derogat</w:t>
      </w:r>
      <w:proofErr w:type="spellEnd"/>
      <w:r w:rsidRPr="00B3131A">
        <w:rPr>
          <w:rFonts w:eastAsia="Times New Roman" w:cs="Times New Roman"/>
          <w:szCs w:val="24"/>
          <w:lang w:eastAsia="es-CO"/>
        </w:rPr>
        <w:t xml:space="preserve"> </w:t>
      </w:r>
      <w:proofErr w:type="spellStart"/>
      <w:r w:rsidRPr="00B3131A">
        <w:rPr>
          <w:rFonts w:eastAsia="Times New Roman" w:cs="Times New Roman"/>
          <w:szCs w:val="24"/>
          <w:lang w:eastAsia="es-CO"/>
        </w:rPr>
        <w:t>legi</w:t>
      </w:r>
      <w:proofErr w:type="spellEnd"/>
      <w:r w:rsidRPr="00B3131A">
        <w:rPr>
          <w:rFonts w:eastAsia="Times New Roman" w:cs="Times New Roman"/>
          <w:szCs w:val="24"/>
          <w:lang w:eastAsia="es-CO"/>
        </w:rPr>
        <w:t xml:space="preserve"> </w:t>
      </w:r>
      <w:proofErr w:type="spellStart"/>
      <w:r w:rsidRPr="00B3131A">
        <w:rPr>
          <w:rFonts w:eastAsia="Times New Roman" w:cs="Times New Roman"/>
          <w:szCs w:val="24"/>
          <w:lang w:eastAsia="es-CO"/>
        </w:rPr>
        <w:t>generali</w:t>
      </w:r>
      <w:proofErr w:type="spellEnd"/>
      <w:r w:rsidRPr="00B3131A">
        <w:rPr>
          <w:rFonts w:eastAsia="Times New Roman" w:cs="Times New Roman"/>
          <w:szCs w:val="24"/>
          <w:lang w:eastAsia="es-CO"/>
        </w:rPr>
        <w:t>), por encima del artículo 93 se impone la aplicación de los artículos </w:t>
      </w:r>
      <w:r w:rsidRPr="00B3131A">
        <w:rPr>
          <w:rFonts w:eastAsia="Times New Roman" w:cs="Times New Roman"/>
          <w:szCs w:val="24"/>
          <w:u w:val="single"/>
          <w:lang w:eastAsia="es-CO"/>
        </w:rPr>
        <w:t>644</w:t>
      </w:r>
      <w:r w:rsidRPr="00B3131A">
        <w:rPr>
          <w:rFonts w:eastAsia="Times New Roman" w:cs="Times New Roman"/>
          <w:szCs w:val="24"/>
          <w:lang w:eastAsia="es-CO"/>
        </w:rPr>
        <w:t>, </w:t>
      </w:r>
      <w:r w:rsidRPr="00B3131A">
        <w:rPr>
          <w:rFonts w:eastAsia="Times New Roman" w:cs="Times New Roman"/>
          <w:szCs w:val="24"/>
          <w:u w:val="single"/>
          <w:lang w:eastAsia="es-CO"/>
        </w:rPr>
        <w:t>648</w:t>
      </w:r>
      <w:r w:rsidRPr="00B3131A">
        <w:rPr>
          <w:rFonts w:eastAsia="Times New Roman" w:cs="Times New Roman"/>
          <w:szCs w:val="24"/>
          <w:lang w:eastAsia="es-CO"/>
        </w:rPr>
        <w:t>, </w:t>
      </w:r>
      <w:r w:rsidRPr="00B3131A">
        <w:rPr>
          <w:rFonts w:eastAsia="Times New Roman" w:cs="Times New Roman"/>
          <w:szCs w:val="24"/>
          <w:u w:val="single"/>
          <w:lang w:eastAsia="es-CO"/>
        </w:rPr>
        <w:t>709</w:t>
      </w:r>
      <w:r w:rsidRPr="00B3131A">
        <w:rPr>
          <w:rFonts w:eastAsia="Times New Roman" w:cs="Times New Roman"/>
          <w:szCs w:val="24"/>
          <w:lang w:eastAsia="es-CO"/>
        </w:rPr>
        <w:t> y </w:t>
      </w:r>
      <w:r w:rsidRPr="00B3131A">
        <w:rPr>
          <w:rFonts w:eastAsia="Times New Roman" w:cs="Times New Roman"/>
          <w:szCs w:val="24"/>
          <w:u w:val="single"/>
          <w:lang w:eastAsia="es-CO"/>
        </w:rPr>
        <w:t>713</w:t>
      </w:r>
      <w:r w:rsidRPr="00B3131A">
        <w:rPr>
          <w:rFonts w:eastAsia="Times New Roman" w:cs="Times New Roman"/>
          <w:szCs w:val="24"/>
          <w:lang w:eastAsia="es-CO"/>
        </w:rPr>
        <w:t> del Estatuto Tributario.</w:t>
      </w:r>
    </w:p>
    <w:p w14:paraId="6E17AC0B" w14:textId="67813216"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Estas disposiciones regulan específicamente lo correspondiente a las correcciones de las declaraciones tributarias: (i) después de notificado el emplazamiento para corregir o auto que ordene visita de inspección tributaria y antes de notificado el requerimiento especial o pliego de cargos, (</w:t>
      </w:r>
      <w:proofErr w:type="spellStart"/>
      <w:r w:rsidRPr="00B3131A">
        <w:rPr>
          <w:rFonts w:eastAsia="Times New Roman" w:cs="Times New Roman"/>
          <w:szCs w:val="24"/>
          <w:lang w:eastAsia="es-CO"/>
        </w:rPr>
        <w:t>ii</w:t>
      </w:r>
      <w:proofErr w:type="spellEnd"/>
      <w:r w:rsidRPr="00B3131A">
        <w:rPr>
          <w:rFonts w:eastAsia="Times New Roman" w:cs="Times New Roman"/>
          <w:szCs w:val="24"/>
          <w:lang w:eastAsia="es-CO"/>
        </w:rPr>
        <w:t>) después de notificado el pliego de cargos o requerimiento especial (o su ampliación), y (</w:t>
      </w:r>
      <w:proofErr w:type="spellStart"/>
      <w:r w:rsidRPr="00B3131A">
        <w:rPr>
          <w:rFonts w:eastAsia="Times New Roman" w:cs="Times New Roman"/>
          <w:szCs w:val="24"/>
          <w:lang w:eastAsia="es-CO"/>
        </w:rPr>
        <w:t>iii</w:t>
      </w:r>
      <w:proofErr w:type="spellEnd"/>
      <w:r w:rsidRPr="00B3131A">
        <w:rPr>
          <w:rFonts w:eastAsia="Times New Roman" w:cs="Times New Roman"/>
          <w:szCs w:val="24"/>
          <w:lang w:eastAsia="es-CO"/>
        </w:rPr>
        <w:t>) después de notificada la liquidación de revisión y dentro del término para interponer el recurso de reconsideración.</w:t>
      </w:r>
    </w:p>
    <w:p w14:paraId="57B451B2" w14:textId="4A4FAB23"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En uno y otro caso, las normas antes mencionadas establecen la forma en la que ha de determinarse la sanción por corrección o, en su defecto, la sanción por inexactitud reducida.</w:t>
      </w:r>
    </w:p>
    <w:p w14:paraId="4588DAC4" w14:textId="604EF761"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Aunado a lo anterior y ya que la Constitución Política “se erige en el </w:t>
      </w:r>
      <w:r w:rsidRPr="00B3131A">
        <w:rPr>
          <w:rFonts w:eastAsia="Times New Roman" w:cs="Times New Roman"/>
          <w:b/>
          <w:bCs/>
          <w:szCs w:val="24"/>
          <w:lang w:eastAsia="es-CO"/>
        </w:rPr>
        <w:t>marco supremo y último </w:t>
      </w:r>
      <w:r w:rsidRPr="00B3131A">
        <w:rPr>
          <w:rFonts w:eastAsia="Times New Roman" w:cs="Times New Roman"/>
          <w:szCs w:val="24"/>
          <w:lang w:eastAsia="es-CO"/>
        </w:rPr>
        <w:t>para determinar tanto la pertenencia al orden jurídico como la validez de cualquier norma” (negrilla fuera de texto) (cfr. Sentencia C-415/12 de la Corte Constitucional, M.P. MAURICIO GONZÁLEZ CUERVO), sí se considera apropiado examinar el parágrafo 2° del artículo 93 de la Ley 2277 de 2022 a la luz del principio de igualdad, del cual se destaca lo siguiente:</w:t>
      </w:r>
    </w:p>
    <w:p w14:paraId="03D0673A" w14:textId="1D026A3A" w:rsidR="00B3131A" w:rsidRPr="00B3131A" w:rsidRDefault="00B3131A" w:rsidP="00B3131A">
      <w:pPr>
        <w:numPr>
          <w:ilvl w:val="0"/>
          <w:numId w:val="7"/>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Una de las dimensiones de la igualdad consiste en que “La ley debe ser </w:t>
      </w:r>
      <w:r w:rsidRPr="00B3131A">
        <w:rPr>
          <w:rFonts w:eastAsia="Times New Roman" w:cs="Times New Roman"/>
          <w:b/>
          <w:bCs/>
          <w:szCs w:val="24"/>
          <w:lang w:eastAsia="es-CO"/>
        </w:rPr>
        <w:t>aplicada de la </w:t>
      </w:r>
      <w:r w:rsidRPr="00B3131A">
        <w:rPr>
          <w:rFonts w:eastAsia="Times New Roman" w:cs="Times New Roman"/>
          <w:b/>
          <w:bCs/>
          <w:szCs w:val="24"/>
          <w:u w:val="single"/>
          <w:lang w:eastAsia="es-CO"/>
        </w:rPr>
        <w:t>misma forma</w:t>
      </w:r>
      <w:r w:rsidRPr="00B3131A">
        <w:rPr>
          <w:rFonts w:eastAsia="Times New Roman" w:cs="Times New Roman"/>
          <w:b/>
          <w:bCs/>
          <w:szCs w:val="24"/>
          <w:lang w:eastAsia="es-CO"/>
        </w:rPr>
        <w:t> a todas las personas</w:t>
      </w:r>
      <w:r w:rsidRPr="00B3131A">
        <w:rPr>
          <w:rFonts w:eastAsia="Times New Roman" w:cs="Times New Roman"/>
          <w:szCs w:val="24"/>
          <w:lang w:eastAsia="es-CO"/>
        </w:rPr>
        <w:t>” (negrilla y subrayado fuera de texto) (cfr. Sentencia C-934/13 de la Corte Constitucional, M.P. NILSON PINILLA PINILLA).</w:t>
      </w:r>
    </w:p>
    <w:p w14:paraId="50E9D0DC" w14:textId="2A1FBF59" w:rsidR="00B3131A" w:rsidRPr="00B3131A" w:rsidRDefault="00B3131A" w:rsidP="00B3131A">
      <w:pPr>
        <w:numPr>
          <w:ilvl w:val="0"/>
          <w:numId w:val="8"/>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Este principio “comporta un conjunto de mandatos independientes y no siempre armónicos, entre los que se destacan (i) </w:t>
      </w:r>
      <w:r w:rsidRPr="00B3131A">
        <w:rPr>
          <w:rFonts w:eastAsia="Times New Roman" w:cs="Times New Roman"/>
          <w:b/>
          <w:bCs/>
          <w:szCs w:val="24"/>
          <w:lang w:eastAsia="es-CO"/>
        </w:rPr>
        <w:t>la igualdad formal o igualdad ante la ley</w:t>
      </w:r>
      <w:r w:rsidRPr="00B3131A">
        <w:rPr>
          <w:rFonts w:eastAsia="Times New Roman" w:cs="Times New Roman"/>
          <w:szCs w:val="24"/>
          <w:lang w:eastAsia="es-CO"/>
        </w:rPr>
        <w:t>, relacionada con el carácter general y abstracto de las disposiciones normativas dictadas por el Congreso de la República y </w:t>
      </w:r>
      <w:r w:rsidRPr="00B3131A">
        <w:rPr>
          <w:rFonts w:eastAsia="Times New Roman" w:cs="Times New Roman"/>
          <w:b/>
          <w:bCs/>
          <w:szCs w:val="24"/>
          <w:lang w:eastAsia="es-CO"/>
        </w:rPr>
        <w:t>su </w:t>
      </w:r>
      <w:r w:rsidRPr="00B3131A">
        <w:rPr>
          <w:rFonts w:eastAsia="Times New Roman" w:cs="Times New Roman"/>
          <w:b/>
          <w:bCs/>
          <w:szCs w:val="24"/>
          <w:u w:val="single"/>
          <w:lang w:eastAsia="es-CO"/>
        </w:rPr>
        <w:t>aplicación uniforme</w:t>
      </w:r>
      <w:r w:rsidRPr="00B3131A">
        <w:rPr>
          <w:rFonts w:eastAsia="Times New Roman" w:cs="Times New Roman"/>
          <w:b/>
          <w:bCs/>
          <w:szCs w:val="24"/>
          <w:lang w:eastAsia="es-CO"/>
        </w:rPr>
        <w:t> a todas las personas</w:t>
      </w:r>
      <w:r w:rsidRPr="00B3131A">
        <w:rPr>
          <w:rFonts w:eastAsia="Times New Roman" w:cs="Times New Roman"/>
          <w:szCs w:val="24"/>
          <w:lang w:eastAsia="es-CO"/>
        </w:rPr>
        <w:t>” (negrilla y subrayado fuera de texto) (cfr. Sentencia C-178/14 de la Corte Constitucional, M.P. MARÍA VICTORIA CALLE CORREA).</w:t>
      </w:r>
    </w:p>
    <w:p w14:paraId="34FE7073" w14:textId="77777777" w:rsidR="00B3131A" w:rsidRPr="00B3131A" w:rsidRDefault="00B3131A" w:rsidP="00B3131A">
      <w:pPr>
        <w:numPr>
          <w:ilvl w:val="0"/>
          <w:numId w:val="9"/>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El principio de igualdad formal o igualdad ante la Ley “en términos muy simples implica que las normas jurídicas de origen legal (...) </w:t>
      </w:r>
      <w:r w:rsidRPr="00B3131A">
        <w:rPr>
          <w:rFonts w:eastAsia="Times New Roman" w:cs="Times New Roman"/>
          <w:b/>
          <w:bCs/>
          <w:szCs w:val="24"/>
          <w:lang w:eastAsia="es-CO"/>
        </w:rPr>
        <w:t>sean aplicadas de forma </w:t>
      </w:r>
      <w:r w:rsidRPr="00B3131A">
        <w:rPr>
          <w:rFonts w:eastAsia="Times New Roman" w:cs="Times New Roman"/>
          <w:b/>
          <w:bCs/>
          <w:szCs w:val="24"/>
          <w:u w:val="single"/>
          <w:lang w:eastAsia="es-CO"/>
        </w:rPr>
        <w:t>estandarizada</w:t>
      </w:r>
      <w:r w:rsidRPr="00B3131A">
        <w:rPr>
          <w:rFonts w:eastAsia="Times New Roman" w:cs="Times New Roman"/>
          <w:b/>
          <w:bCs/>
          <w:szCs w:val="24"/>
          <w:lang w:eastAsia="es-CO"/>
        </w:rPr>
        <w:t> cada vez que se configure su supuesto de hecho</w:t>
      </w:r>
      <w:r w:rsidRPr="00B3131A">
        <w:rPr>
          <w:rFonts w:eastAsia="Times New Roman" w:cs="Times New Roman"/>
          <w:szCs w:val="24"/>
          <w:lang w:eastAsia="es-CO"/>
        </w:rPr>
        <w:t>” (negrilla y subrayado fuera de texto) (cfr. Sentencia C-091/17 de la Corte Constitucional, M.P. MARÍA VICTORIA CALLE CORREA).</w:t>
      </w:r>
    </w:p>
    <w:p w14:paraId="6D22588C" w14:textId="57EF2FF4"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Con base en lo antes expuesto, se concluye que pueden acceder a los beneficios previstos en el inciso único del artículo 93 ibidem -esto es, la reducción en un 60% de la sanción y de la tasa de interés de mora- únicamente aquellos contribuyentes que corrijan sus declaraciones tributarias </w:t>
      </w:r>
      <w:r w:rsidRPr="00B3131A">
        <w:rPr>
          <w:rFonts w:eastAsia="Times New Roman" w:cs="Times New Roman"/>
          <w:b/>
          <w:bCs/>
          <w:szCs w:val="24"/>
          <w:lang w:eastAsia="es-CO"/>
        </w:rPr>
        <w:t>antes </w:t>
      </w:r>
      <w:r w:rsidRPr="00B3131A">
        <w:rPr>
          <w:rFonts w:eastAsia="Times New Roman" w:cs="Times New Roman"/>
          <w:szCs w:val="24"/>
          <w:lang w:eastAsia="es-CO"/>
        </w:rPr>
        <w:t xml:space="preserve">de que les sea notificado emplazamiento para corregir, auto que ordene visita de inspección tributaria o requerimiento especial; es decir, antes de que intervenga la Administración </w:t>
      </w:r>
      <w:r w:rsidRPr="00B3131A">
        <w:rPr>
          <w:rFonts w:eastAsia="Times New Roman" w:cs="Times New Roman"/>
          <w:szCs w:val="24"/>
          <w:lang w:eastAsia="es-CO"/>
        </w:rPr>
        <w:lastRenderedPageBreak/>
        <w:t>Tributaria, evitando un desgaste de la misma y otorgando - como consecuencia de ello- un beneficio.</w:t>
      </w:r>
    </w:p>
    <w:p w14:paraId="325C7839" w14:textId="0336AA65" w:rsidR="00B3131A" w:rsidRPr="00B3131A" w:rsidRDefault="00B3131A" w:rsidP="00B3131A">
      <w:pPr>
        <w:shd w:val="clear" w:color="auto" w:fill="FFFFFF"/>
        <w:spacing w:after="150" w:line="360" w:lineRule="auto"/>
        <w:jc w:val="both"/>
        <w:rPr>
          <w:rFonts w:eastAsia="Times New Roman" w:cs="Times New Roman"/>
          <w:sz w:val="32"/>
          <w:szCs w:val="32"/>
          <w:lang w:eastAsia="es-CO"/>
        </w:rPr>
      </w:pPr>
      <w:r w:rsidRPr="00B3131A">
        <w:rPr>
          <w:rFonts w:eastAsia="Times New Roman" w:cs="Times New Roman"/>
          <w:sz w:val="32"/>
          <w:szCs w:val="32"/>
          <w:highlight w:val="yellow"/>
          <w:lang w:eastAsia="es-CO"/>
        </w:rPr>
        <w:t>Esto, por cuanto las reducciones de que trata dicho inciso único tan solo son aplicables -en sus propios términos- a los contribuyentes que subsanen la conducta sancionable cometida (para el caso, omitir la presentación de la declaración tributaria) </w:t>
      </w:r>
      <w:r w:rsidRPr="00B3131A">
        <w:rPr>
          <w:rFonts w:eastAsia="Times New Roman" w:cs="Times New Roman"/>
          <w:b/>
          <w:bCs/>
          <w:sz w:val="32"/>
          <w:szCs w:val="32"/>
          <w:highlight w:val="yellow"/>
          <w:u w:val="single"/>
          <w:lang w:eastAsia="es-CO"/>
        </w:rPr>
        <w:t>antes </w:t>
      </w:r>
      <w:r w:rsidRPr="00B3131A">
        <w:rPr>
          <w:rFonts w:eastAsia="Times New Roman" w:cs="Times New Roman"/>
          <w:sz w:val="32"/>
          <w:szCs w:val="32"/>
          <w:highlight w:val="yellow"/>
          <w:u w:val="single"/>
          <w:lang w:eastAsia="es-CO"/>
        </w:rPr>
        <w:t>de que intervenga la Administración Tributaria, en particular con la notificación del emplazamiento previo por no declarar o auto que ordene inspección tributaria al haberse hecho referencia exclusivamente al artículo 641 del Estatuto Tributario</w:t>
      </w:r>
      <w:r w:rsidRPr="00B3131A">
        <w:rPr>
          <w:rFonts w:eastAsia="Times New Roman" w:cs="Times New Roman"/>
          <w:sz w:val="32"/>
          <w:szCs w:val="32"/>
          <w:highlight w:val="yellow"/>
          <w:lang w:eastAsia="es-CO"/>
        </w:rPr>
        <w:t xml:space="preserve"> </w:t>
      </w:r>
      <w:r w:rsidRPr="00B3131A">
        <w:rPr>
          <w:rFonts w:eastAsia="Times New Roman" w:cs="Times New Roman"/>
          <w:sz w:val="32"/>
          <w:szCs w:val="32"/>
          <w:highlight w:val="cyan"/>
          <w:lang w:eastAsia="es-CO"/>
        </w:rPr>
        <w:t>y no al </w:t>
      </w:r>
      <w:r w:rsidRPr="00B3131A">
        <w:rPr>
          <w:rFonts w:eastAsia="Times New Roman" w:cs="Times New Roman"/>
          <w:sz w:val="32"/>
          <w:szCs w:val="32"/>
          <w:highlight w:val="cyan"/>
          <w:u w:val="single"/>
          <w:lang w:eastAsia="es-CO"/>
        </w:rPr>
        <w:t>artículo 642</w:t>
      </w:r>
      <w:r w:rsidRPr="00B3131A">
        <w:rPr>
          <w:rFonts w:eastAsia="Times New Roman" w:cs="Times New Roman"/>
          <w:sz w:val="32"/>
          <w:szCs w:val="32"/>
          <w:highlight w:val="cyan"/>
          <w:lang w:eastAsia="es-CO"/>
        </w:rPr>
        <w:t> ibidem.</w:t>
      </w:r>
    </w:p>
    <w:p w14:paraId="207CE432"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w:t>
      </w:r>
    </w:p>
    <w:p w14:paraId="724B228F"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En otras palabras, teniendo como marco de referencia la aplicación restrictiva del beneficio aquí analizado y los principios de especialidad e igualdad, y ya que el propio Legislador acotó los “beneficios” aplicables a los contribuyentes que se ubiquen en el supuesto de hecho del parágrafo 2° del citado artículo 93 a los mismos términos de que trata el inciso único de esta norma, es menester reiterar lo manifestado por la Subdirección de Normativa y Doctrina en el pronunciamiento objeto de disenso, en aras de garantizar una aplicación uniforme de las reducciones concedidas.</w:t>
      </w:r>
    </w:p>
    <w:p w14:paraId="7D496611" w14:textId="52841CBF"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Adicionalmente, otros argumentos a considerar son los siguientes:</w:t>
      </w:r>
    </w:p>
    <w:p w14:paraId="03DDA206" w14:textId="77777777" w:rsidR="00B3131A" w:rsidRPr="00B3131A" w:rsidRDefault="00B3131A" w:rsidP="00B3131A">
      <w:pPr>
        <w:numPr>
          <w:ilvl w:val="0"/>
          <w:numId w:val="10"/>
        </w:numPr>
        <w:shd w:val="clear" w:color="auto" w:fill="FFFFFF"/>
        <w:spacing w:before="100" w:beforeAutospacing="1" w:after="100" w:afterAutospacing="1" w:line="360" w:lineRule="auto"/>
        <w:jc w:val="both"/>
        <w:rPr>
          <w:rFonts w:eastAsia="Times New Roman" w:cs="Times New Roman"/>
          <w:szCs w:val="24"/>
          <w:lang w:eastAsia="es-CO"/>
        </w:rPr>
      </w:pPr>
      <w:r w:rsidRPr="00B3131A">
        <w:rPr>
          <w:rFonts w:eastAsia="Times New Roman" w:cs="Times New Roman"/>
          <w:szCs w:val="24"/>
          <w:lang w:eastAsia="es-CO"/>
        </w:rPr>
        <w:t>La expresión “</w:t>
      </w:r>
      <w:r w:rsidRPr="00B3131A">
        <w:rPr>
          <w:rFonts w:eastAsia="Times New Roman" w:cs="Times New Roman"/>
          <w:szCs w:val="24"/>
          <w:u w:val="single"/>
          <w:lang w:eastAsia="es-CO"/>
        </w:rPr>
        <w:t>Estos</w:t>
      </w:r>
      <w:r w:rsidRPr="00B3131A">
        <w:rPr>
          <w:rFonts w:eastAsia="Times New Roman" w:cs="Times New Roman"/>
          <w:szCs w:val="24"/>
          <w:lang w:eastAsia="es-CO"/>
        </w:rPr>
        <w:t> beneficios </w:t>
      </w:r>
      <w:r w:rsidRPr="00B3131A">
        <w:rPr>
          <w:rFonts w:eastAsia="Times New Roman" w:cs="Times New Roman"/>
          <w:szCs w:val="24"/>
          <w:u w:val="single"/>
          <w:lang w:eastAsia="es-CO"/>
        </w:rPr>
        <w:t>también</w:t>
      </w:r>
      <w:r w:rsidRPr="00B3131A">
        <w:rPr>
          <w:rFonts w:eastAsia="Times New Roman" w:cs="Times New Roman"/>
          <w:szCs w:val="24"/>
          <w:lang w:eastAsia="es-CO"/>
        </w:rPr>
        <w:t> aplicarán” (subrayado fuera de texto), utilizada en el parágrafo 2° del artículo 93 de la Ley 2277 de 2022, implica para esta Dirección varios elementos que deben observarse en aras de guardar una adecuada simetría (entre este parágrafo y el inciso único de la norma) en la reducción transitoria de sanciones e intereses relacionados con impuestos administrados por la DIAN:</w:t>
      </w:r>
    </w:p>
    <w:p w14:paraId="7D3C70C0" w14:textId="59EF57CE"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i) La corrección de las declaraciones tributarias debe realizarse “antes del treinta y uno (31) de mayo de 2023, con pago o con facilidades o acuerdos para el pago solicitadas a esta fecha y suscritas antes del treinta (30) de junio de 2023”.</w:t>
      </w:r>
    </w:p>
    <w:p w14:paraId="2D5E7ECE" w14:textId="35027188" w:rsidR="00B3131A" w:rsidRPr="00B3131A" w:rsidRDefault="00B3131A" w:rsidP="00B3131A">
      <w:pPr>
        <w:shd w:val="clear" w:color="auto" w:fill="FFFFFF"/>
        <w:spacing w:after="150" w:line="360" w:lineRule="auto"/>
        <w:jc w:val="both"/>
        <w:rPr>
          <w:rFonts w:eastAsia="Times New Roman" w:cs="Times New Roman"/>
          <w:szCs w:val="24"/>
          <w:lang w:eastAsia="es-CO"/>
        </w:rPr>
      </w:pPr>
      <w:proofErr w:type="spellStart"/>
      <w:r w:rsidRPr="00B3131A">
        <w:rPr>
          <w:rFonts w:eastAsia="Times New Roman" w:cs="Times New Roman"/>
          <w:szCs w:val="24"/>
          <w:lang w:eastAsia="es-CO"/>
        </w:rPr>
        <w:t>ii</w:t>
      </w:r>
      <w:proofErr w:type="spellEnd"/>
      <w:r w:rsidRPr="00B3131A">
        <w:rPr>
          <w:rFonts w:eastAsia="Times New Roman" w:cs="Times New Roman"/>
          <w:szCs w:val="24"/>
          <w:lang w:eastAsia="es-CO"/>
        </w:rPr>
        <w:t>) Dicha corrección debe efectuarse </w:t>
      </w:r>
      <w:r w:rsidRPr="00B3131A">
        <w:rPr>
          <w:rFonts w:eastAsia="Times New Roman" w:cs="Times New Roman"/>
          <w:b/>
          <w:bCs/>
          <w:szCs w:val="24"/>
          <w:lang w:eastAsia="es-CO"/>
        </w:rPr>
        <w:t>antes </w:t>
      </w:r>
      <w:r w:rsidRPr="00B3131A">
        <w:rPr>
          <w:rFonts w:eastAsia="Times New Roman" w:cs="Times New Roman"/>
          <w:szCs w:val="24"/>
          <w:lang w:eastAsia="es-CO"/>
        </w:rPr>
        <w:t>de que intervenga la Administración Tributaria notificando un emplazamiento para corregir o auto que ordene inspección tributaria, tal y como se exige para los contribuyentes omisos al 31 de diciembre de 2022, quienes deben subsanar su conducta antes del emplazamiento previo por no declarar o auto que ordene inspección tributaria.</w:t>
      </w:r>
    </w:p>
    <w:p w14:paraId="1D337C81"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w:t>
      </w:r>
    </w:p>
    <w:p w14:paraId="5B3C2845"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lastRenderedPageBreak/>
        <w:t>Lo anterior, en la medida que las reducciones transitorias de que trata el inciso único del citado artículo 93 </w:t>
      </w:r>
      <w:r w:rsidRPr="00B3131A">
        <w:rPr>
          <w:rFonts w:eastAsia="Times New Roman" w:cs="Times New Roman"/>
          <w:szCs w:val="24"/>
          <w:u w:val="single"/>
          <w:lang w:eastAsia="es-CO"/>
        </w:rPr>
        <w:t>no operan de facto</w:t>
      </w:r>
      <w:r w:rsidRPr="00B3131A">
        <w:rPr>
          <w:rFonts w:eastAsia="Times New Roman" w:cs="Times New Roman"/>
          <w:szCs w:val="24"/>
          <w:lang w:eastAsia="es-CO"/>
        </w:rPr>
        <w:t> para aquellos contribuyentes inmersos en el supuesto de hecho del parágrafo 2°, pues, si ello fuese así, se estaría ante una norma de carácter permanente con implicaciones definitivas en el régimen sancionatorio y en la determinación de la tasa de interés moratoria.</w:t>
      </w:r>
    </w:p>
    <w:p w14:paraId="4817C719" w14:textId="1F22F77E"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En otras palabras, los beneficios temporales de que trata el artículo 93 ibidem exigen el cumplimiento de unas específicas condiciones por parte de los contribuyentes.</w:t>
      </w:r>
    </w:p>
    <w:p w14:paraId="0A0FB2E2" w14:textId="35AF888E"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Contrario a lo que ocurre con el parágrafo 2° de la norma sub examine, en el parágrafo 1° de esta disposición se detallan las diferentes instancias del procedimiento administrativo adelantado por la UGPP en las cuales el administrado puede subsanar la respectiva infracción obteniendo una rebaja sancionatoria; instancias que comprenden desde la notificación del requerimiento para declarar y/o corregir o la notificación del pliego de cargos hasta el mismo proceso de cobro coactivo.</w:t>
      </w:r>
    </w:p>
    <w:p w14:paraId="2DFA5DD4" w14:textId="3C8EF8AF"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Esto refuerza la idea de que para acceder a las reducciones transitorias del artículo 93 ibidem la corrección de las declaraciones tributarias en las que se presenten inexactitudes deba llevarse a cabo </w:t>
      </w:r>
      <w:r w:rsidRPr="00B3131A">
        <w:rPr>
          <w:rFonts w:eastAsia="Times New Roman" w:cs="Times New Roman"/>
          <w:b/>
          <w:bCs/>
          <w:szCs w:val="24"/>
          <w:lang w:eastAsia="es-CO"/>
        </w:rPr>
        <w:t>antes </w:t>
      </w:r>
      <w:r w:rsidRPr="00B3131A">
        <w:rPr>
          <w:rFonts w:eastAsia="Times New Roman" w:cs="Times New Roman"/>
          <w:szCs w:val="24"/>
          <w:lang w:eastAsia="es-CO"/>
        </w:rPr>
        <w:t>de haberse notificado emplazamiento para corregir, auto que ordene visita de inspección tributaria o requerimiento especial, ya que, si otra hubiese sido la intención del legislador, éste habría empleado el mismo detalle por el que se caracteriza el mencionado parágrafo 1°.</w:t>
      </w:r>
    </w:p>
    <w:p w14:paraId="6BC2BD5C" w14:textId="6833FF43" w:rsidR="00B3131A" w:rsidRPr="00B3131A" w:rsidRDefault="00B3131A" w:rsidP="00B3131A">
      <w:pPr>
        <w:shd w:val="clear" w:color="auto" w:fill="FFFFFF"/>
        <w:spacing w:after="150" w:line="360" w:lineRule="auto"/>
        <w:jc w:val="both"/>
        <w:rPr>
          <w:rFonts w:eastAsia="Times New Roman" w:cs="Times New Roman"/>
          <w:sz w:val="32"/>
          <w:szCs w:val="32"/>
          <w:lang w:eastAsia="es-CO"/>
        </w:rPr>
      </w:pPr>
      <w:r w:rsidRPr="00B3131A">
        <w:rPr>
          <w:rFonts w:eastAsia="Times New Roman" w:cs="Times New Roman"/>
          <w:sz w:val="32"/>
          <w:szCs w:val="32"/>
          <w:highlight w:val="cyan"/>
          <w:lang w:eastAsia="es-CO"/>
        </w:rPr>
        <w:t>Así las cosas, este Despacho confirma el punto #3 del Título VI del Concepto 001328 - interno 165 del 7 de febrero de 2023 - Concepto General en materia de procedimiento tributario y aduanero con motivo de la Ley 2277 de 2022.</w:t>
      </w:r>
    </w:p>
    <w:p w14:paraId="4F9B9319" w14:textId="7DE3629E"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5" w:tgtFrame="_blank" w:history="1">
        <w:r w:rsidRPr="00B3131A">
          <w:rPr>
            <w:rFonts w:eastAsia="Times New Roman" w:cs="Times New Roman"/>
            <w:szCs w:val="24"/>
            <w:u w:val="single"/>
            <w:lang w:eastAsia="es-CO"/>
          </w:rPr>
          <w:t>www.dian.gov.co</w:t>
        </w:r>
      </w:hyperlink>
      <w:r w:rsidRPr="00B3131A">
        <w:rPr>
          <w:rFonts w:eastAsia="Times New Roman" w:cs="Times New Roman"/>
          <w:szCs w:val="24"/>
          <w:lang w:eastAsia="es-CO"/>
        </w:rPr>
        <w:t xml:space="preserve">, la base de conceptos en materia tributaria, aduanera y cambiaría expedidos desde el año 2001, la cual se puede ingresar por el icono de “Normatividad”-“Doctrina”, dando </w:t>
      </w:r>
      <w:proofErr w:type="spellStart"/>
      <w:r w:rsidRPr="00B3131A">
        <w:rPr>
          <w:rFonts w:eastAsia="Times New Roman" w:cs="Times New Roman"/>
          <w:szCs w:val="24"/>
          <w:lang w:eastAsia="es-CO"/>
        </w:rPr>
        <w:t>click</w:t>
      </w:r>
      <w:proofErr w:type="spellEnd"/>
      <w:r w:rsidRPr="00B3131A">
        <w:rPr>
          <w:rFonts w:eastAsia="Times New Roman" w:cs="Times New Roman"/>
          <w:szCs w:val="24"/>
          <w:lang w:eastAsia="es-CO"/>
        </w:rPr>
        <w:t xml:space="preserve"> en el link “Doctrina Dirección de Gestión Jurídica”.</w:t>
      </w:r>
    </w:p>
    <w:p w14:paraId="730714CA" w14:textId="3DD8B2C3"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Atentamente,</w:t>
      </w:r>
    </w:p>
    <w:p w14:paraId="64C999AF" w14:textId="7B8AFF70"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b/>
          <w:bCs/>
          <w:szCs w:val="24"/>
          <w:lang w:eastAsia="es-CO"/>
        </w:rPr>
        <w:t>GUSTAVO ALFREDO PERALTA FIGUEREDO</w:t>
      </w:r>
    </w:p>
    <w:p w14:paraId="2519BFB8"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Director de Gestión Jurídica</w:t>
      </w:r>
    </w:p>
    <w:p w14:paraId="67DCB3F5" w14:textId="77777777" w:rsidR="00B3131A" w:rsidRPr="00B3131A" w:rsidRDefault="00B3131A" w:rsidP="00B3131A">
      <w:pPr>
        <w:shd w:val="clear" w:color="auto" w:fill="FFFFFF"/>
        <w:spacing w:after="150" w:line="360" w:lineRule="auto"/>
        <w:jc w:val="both"/>
        <w:rPr>
          <w:rFonts w:eastAsia="Times New Roman" w:cs="Times New Roman"/>
          <w:szCs w:val="24"/>
          <w:lang w:eastAsia="es-CO"/>
        </w:rPr>
      </w:pPr>
      <w:r w:rsidRPr="00B3131A">
        <w:rPr>
          <w:rFonts w:eastAsia="Times New Roman" w:cs="Times New Roman"/>
          <w:szCs w:val="24"/>
          <w:lang w:eastAsia="es-CO"/>
        </w:rPr>
        <w:t xml:space="preserve">UAE-Dirección de Impuestos y Aduanas </w:t>
      </w:r>
      <w:proofErr w:type="spellStart"/>
      <w:r w:rsidRPr="00B3131A">
        <w:rPr>
          <w:rFonts w:eastAsia="Times New Roman" w:cs="Times New Roman"/>
          <w:szCs w:val="24"/>
          <w:lang w:eastAsia="es-CO"/>
        </w:rPr>
        <w:t>Nacionale</w:t>
      </w:r>
      <w:proofErr w:type="spellEnd"/>
    </w:p>
    <w:sectPr w:rsidR="00B3131A" w:rsidRPr="00B3131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266"/>
    <w:multiLevelType w:val="multilevel"/>
    <w:tmpl w:val="5130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41DCA"/>
    <w:multiLevelType w:val="multilevel"/>
    <w:tmpl w:val="EE9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F424C"/>
    <w:multiLevelType w:val="multilevel"/>
    <w:tmpl w:val="2FC6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B5C02"/>
    <w:multiLevelType w:val="multilevel"/>
    <w:tmpl w:val="FB6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82093"/>
    <w:multiLevelType w:val="multilevel"/>
    <w:tmpl w:val="E172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15A7B"/>
    <w:multiLevelType w:val="multilevel"/>
    <w:tmpl w:val="C19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F7417"/>
    <w:multiLevelType w:val="multilevel"/>
    <w:tmpl w:val="B7C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F5D4A"/>
    <w:multiLevelType w:val="multilevel"/>
    <w:tmpl w:val="386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41FFA"/>
    <w:multiLevelType w:val="multilevel"/>
    <w:tmpl w:val="0254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B7CCA"/>
    <w:multiLevelType w:val="multilevel"/>
    <w:tmpl w:val="5AA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131729">
    <w:abstractNumId w:val="1"/>
    <w:lvlOverride w:ilvl="0">
      <w:startOverride w:val="1"/>
    </w:lvlOverride>
  </w:num>
  <w:num w:numId="2" w16cid:durableId="410661445">
    <w:abstractNumId w:val="0"/>
    <w:lvlOverride w:ilvl="0">
      <w:startOverride w:val="2"/>
    </w:lvlOverride>
  </w:num>
  <w:num w:numId="3" w16cid:durableId="74790296">
    <w:abstractNumId w:val="8"/>
    <w:lvlOverride w:ilvl="0">
      <w:startOverride w:val="1"/>
    </w:lvlOverride>
  </w:num>
  <w:num w:numId="4" w16cid:durableId="1935938838">
    <w:abstractNumId w:val="7"/>
    <w:lvlOverride w:ilvl="0">
      <w:startOverride w:val="2"/>
    </w:lvlOverride>
  </w:num>
  <w:num w:numId="5" w16cid:durableId="257249174">
    <w:abstractNumId w:val="2"/>
    <w:lvlOverride w:ilvl="0">
      <w:startOverride w:val="1"/>
    </w:lvlOverride>
  </w:num>
  <w:num w:numId="6" w16cid:durableId="925966976">
    <w:abstractNumId w:val="3"/>
    <w:lvlOverride w:ilvl="0">
      <w:startOverride w:val="2"/>
    </w:lvlOverride>
  </w:num>
  <w:num w:numId="7" w16cid:durableId="1540120931">
    <w:abstractNumId w:val="4"/>
    <w:lvlOverride w:ilvl="0">
      <w:startOverride w:val="1"/>
    </w:lvlOverride>
  </w:num>
  <w:num w:numId="8" w16cid:durableId="1997805196">
    <w:abstractNumId w:val="6"/>
    <w:lvlOverride w:ilvl="0">
      <w:startOverride w:val="2"/>
    </w:lvlOverride>
  </w:num>
  <w:num w:numId="9" w16cid:durableId="1970699695">
    <w:abstractNumId w:val="5"/>
    <w:lvlOverride w:ilvl="0">
      <w:startOverride w:val="3"/>
    </w:lvlOverride>
  </w:num>
  <w:num w:numId="10" w16cid:durableId="152760188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1A"/>
    <w:rsid w:val="000F3837"/>
    <w:rsid w:val="001E311E"/>
    <w:rsid w:val="00434AE6"/>
    <w:rsid w:val="007F5CC8"/>
    <w:rsid w:val="008779BE"/>
    <w:rsid w:val="00B3131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19F9"/>
  <w15:chartTrackingRefBased/>
  <w15:docId w15:val="{93CEF9C1-C590-45E6-8F3A-B84C2857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3142</Words>
  <Characters>17286</Characters>
  <Application>Microsoft Office Word</Application>
  <DocSecurity>0</DocSecurity>
  <Lines>144</Lines>
  <Paragraphs>40</Paragraphs>
  <ScaleCrop>false</ScaleCrop>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2023-03-29T20:24:00Z</dcterms:created>
  <dcterms:modified xsi:type="dcterms:W3CDTF">2023-03-29T20:32:00Z</dcterms:modified>
</cp:coreProperties>
</file>