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D317" w14:textId="77777777" w:rsidR="00AB56FE" w:rsidRPr="00AB56FE" w:rsidRDefault="00AB56FE" w:rsidP="00085288">
      <w:pPr>
        <w:spacing w:after="0" w:line="360" w:lineRule="auto"/>
        <w:jc w:val="center"/>
        <w:rPr>
          <w:rFonts w:eastAsia="Times New Roman" w:cs="Times New Roman"/>
          <w:b/>
          <w:bCs/>
          <w:szCs w:val="24"/>
          <w:lang w:eastAsia="es-CO"/>
        </w:rPr>
      </w:pPr>
    </w:p>
    <w:p w14:paraId="4F01CBB5" w14:textId="77777777" w:rsidR="00AB56FE" w:rsidRPr="00AB56FE" w:rsidRDefault="00AB56FE" w:rsidP="00085288">
      <w:pPr>
        <w:spacing w:after="0" w:line="360" w:lineRule="auto"/>
        <w:jc w:val="center"/>
        <w:rPr>
          <w:rFonts w:eastAsia="Times New Roman" w:cs="Times New Roman"/>
          <w:b/>
          <w:bCs/>
          <w:szCs w:val="24"/>
          <w:lang w:eastAsia="es-CO"/>
        </w:rPr>
      </w:pPr>
    </w:p>
    <w:p w14:paraId="12F0BAFE" w14:textId="77777777" w:rsidR="00AB56FE" w:rsidRPr="00AB56FE" w:rsidRDefault="00AB56FE" w:rsidP="00085288">
      <w:pPr>
        <w:spacing w:after="0" w:line="360" w:lineRule="auto"/>
        <w:jc w:val="center"/>
        <w:rPr>
          <w:rFonts w:eastAsia="Times New Roman" w:cs="Times New Roman"/>
          <w:b/>
          <w:bCs/>
          <w:szCs w:val="24"/>
          <w:lang w:eastAsia="es-CO"/>
        </w:rPr>
      </w:pPr>
    </w:p>
    <w:p w14:paraId="38426CC1" w14:textId="77777777" w:rsidR="00AB56FE" w:rsidRPr="00AB56FE" w:rsidRDefault="00AB56FE" w:rsidP="00085288">
      <w:pPr>
        <w:spacing w:after="0" w:line="360" w:lineRule="auto"/>
        <w:jc w:val="center"/>
        <w:rPr>
          <w:rFonts w:eastAsia="Times New Roman" w:cs="Times New Roman"/>
          <w:szCs w:val="24"/>
          <w:lang w:eastAsia="es-CO"/>
        </w:rPr>
      </w:pPr>
      <w:r w:rsidRPr="00AB56FE">
        <w:rPr>
          <w:rFonts w:eastAsia="Times New Roman" w:cs="Times New Roman"/>
          <w:b/>
          <w:bCs/>
          <w:szCs w:val="24"/>
          <w:lang w:eastAsia="es-CO"/>
        </w:rPr>
        <w:t>OFICIO Nº 0250 [006184]</w:t>
      </w:r>
    </w:p>
    <w:p w14:paraId="6752F0B7" w14:textId="77777777" w:rsidR="00AB56FE" w:rsidRPr="00AB56FE" w:rsidRDefault="00AB56FE" w:rsidP="00085288">
      <w:pPr>
        <w:spacing w:after="0" w:line="360" w:lineRule="auto"/>
        <w:jc w:val="center"/>
        <w:rPr>
          <w:rFonts w:eastAsia="Times New Roman" w:cs="Times New Roman"/>
          <w:szCs w:val="24"/>
          <w:lang w:eastAsia="es-CO"/>
        </w:rPr>
      </w:pPr>
      <w:r w:rsidRPr="00AB56FE">
        <w:rPr>
          <w:rFonts w:eastAsia="Times New Roman" w:cs="Times New Roman"/>
          <w:b/>
          <w:bCs/>
          <w:szCs w:val="24"/>
          <w:lang w:eastAsia="es-CO"/>
        </w:rPr>
        <w:t>12-03-2019</w:t>
      </w:r>
    </w:p>
    <w:p w14:paraId="73E99D0E" w14:textId="77777777" w:rsidR="00AB56FE" w:rsidRPr="00AB56FE" w:rsidRDefault="00AB56FE" w:rsidP="00085288">
      <w:pPr>
        <w:spacing w:after="0" w:line="360" w:lineRule="auto"/>
        <w:jc w:val="center"/>
        <w:rPr>
          <w:rFonts w:eastAsia="Times New Roman" w:cs="Times New Roman"/>
          <w:szCs w:val="24"/>
          <w:lang w:eastAsia="es-CO"/>
        </w:rPr>
      </w:pPr>
      <w:r w:rsidRPr="00AB56FE">
        <w:rPr>
          <w:rFonts w:eastAsia="Times New Roman" w:cs="Times New Roman"/>
          <w:b/>
          <w:bCs/>
          <w:szCs w:val="24"/>
          <w:lang w:eastAsia="es-CO"/>
        </w:rPr>
        <w:t>DIAN</w:t>
      </w:r>
    </w:p>
    <w:p w14:paraId="643B1699"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 </w:t>
      </w:r>
    </w:p>
    <w:p w14:paraId="49DED6CE"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 </w:t>
      </w:r>
    </w:p>
    <w:p w14:paraId="04E373E8"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Dirección de Gestión Jurídica</w:t>
      </w:r>
    </w:p>
    <w:p w14:paraId="24E2414E"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Bogotá, D. C.</w:t>
      </w:r>
    </w:p>
    <w:p w14:paraId="16F025C1"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100202208 - 0250</w:t>
      </w:r>
    </w:p>
    <w:p w14:paraId="15E51D7B"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11A8AC49"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Referencia:</w:t>
      </w:r>
      <w:r w:rsidRPr="00AB56FE">
        <w:rPr>
          <w:rFonts w:eastAsia="Times New Roman" w:cs="Times New Roman"/>
          <w:szCs w:val="24"/>
          <w:lang w:eastAsia="es-CO"/>
        </w:rPr>
        <w:t> Radicado 100008932 del 08/02/2019</w:t>
      </w:r>
    </w:p>
    <w:p w14:paraId="0EE633A1"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5668"/>
      </w:tblGrid>
      <w:tr w:rsidR="00AB56FE" w:rsidRPr="00AB56FE" w14:paraId="1CF228B5" w14:textId="77777777" w:rsidTr="00AB56FE">
        <w:tc>
          <w:tcPr>
            <w:tcW w:w="0" w:type="auto"/>
            <w:tcBorders>
              <w:top w:val="nil"/>
              <w:left w:val="nil"/>
              <w:bottom w:val="nil"/>
              <w:right w:val="nil"/>
            </w:tcBorders>
            <w:shd w:val="clear" w:color="auto" w:fill="auto"/>
            <w:tcMar>
              <w:top w:w="0" w:type="dxa"/>
              <w:left w:w="108" w:type="dxa"/>
              <w:bottom w:w="0" w:type="dxa"/>
              <w:right w:w="108" w:type="dxa"/>
            </w:tcMar>
            <w:hideMark/>
          </w:tcPr>
          <w:p w14:paraId="3057696D"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744E72"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Impuesto sobre la Renta y Complementarios</w:t>
            </w:r>
          </w:p>
        </w:tc>
      </w:tr>
      <w:tr w:rsidR="00AB56FE" w:rsidRPr="00AB56FE" w14:paraId="3F3B782D" w14:textId="77777777" w:rsidTr="00AB56FE">
        <w:tc>
          <w:tcPr>
            <w:tcW w:w="0" w:type="auto"/>
            <w:tcBorders>
              <w:top w:val="nil"/>
              <w:left w:val="nil"/>
              <w:bottom w:val="nil"/>
              <w:right w:val="nil"/>
            </w:tcBorders>
            <w:shd w:val="clear" w:color="auto" w:fill="auto"/>
            <w:tcMar>
              <w:top w:w="0" w:type="dxa"/>
              <w:left w:w="108" w:type="dxa"/>
              <w:bottom w:w="0" w:type="dxa"/>
              <w:right w:w="108" w:type="dxa"/>
            </w:tcMar>
            <w:hideMark/>
          </w:tcPr>
          <w:p w14:paraId="11107190"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E15191"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Ganancia Ocasional</w:t>
            </w:r>
          </w:p>
          <w:p w14:paraId="6503009D"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Actos que Implican Transferencia de Dominio Donación</w:t>
            </w:r>
          </w:p>
        </w:tc>
      </w:tr>
      <w:tr w:rsidR="00AB56FE" w:rsidRPr="00AB56FE" w14:paraId="505A8F09" w14:textId="77777777" w:rsidTr="00AB56FE">
        <w:tc>
          <w:tcPr>
            <w:tcW w:w="0" w:type="auto"/>
            <w:tcBorders>
              <w:top w:val="nil"/>
              <w:left w:val="nil"/>
              <w:bottom w:val="nil"/>
              <w:right w:val="nil"/>
            </w:tcBorders>
            <w:shd w:val="clear" w:color="auto" w:fill="auto"/>
            <w:tcMar>
              <w:top w:w="0" w:type="dxa"/>
              <w:left w:w="108" w:type="dxa"/>
              <w:bottom w:w="0" w:type="dxa"/>
              <w:right w:w="108" w:type="dxa"/>
            </w:tcMar>
            <w:hideMark/>
          </w:tcPr>
          <w:p w14:paraId="677E3AD3"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0A3A0BE"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Artículos </w:t>
            </w:r>
            <w:hyperlink r:id="rId4" w:tooltip="Estatuto Tributario CETA" w:history="1">
              <w:r w:rsidRPr="00AB56FE">
                <w:rPr>
                  <w:rFonts w:eastAsia="Times New Roman" w:cs="Times New Roman"/>
                  <w:szCs w:val="24"/>
                  <w:u w:val="single"/>
                  <w:lang w:eastAsia="es-CO"/>
                </w:rPr>
                <w:t>90</w:t>
              </w:r>
            </w:hyperlink>
            <w:r w:rsidRPr="00AB56FE">
              <w:rPr>
                <w:rFonts w:eastAsia="Times New Roman" w:cs="Times New Roman"/>
                <w:szCs w:val="24"/>
                <w:lang w:eastAsia="es-CO"/>
              </w:rPr>
              <w:t>, </w:t>
            </w:r>
            <w:hyperlink r:id="rId5" w:tooltip="Estatuto Tributario CETA" w:history="1">
              <w:r w:rsidRPr="00AB56FE">
                <w:rPr>
                  <w:rFonts w:eastAsia="Times New Roman" w:cs="Times New Roman"/>
                  <w:szCs w:val="24"/>
                  <w:u w:val="single"/>
                  <w:lang w:eastAsia="es-CO"/>
                </w:rPr>
                <w:t>302</w:t>
              </w:r>
            </w:hyperlink>
            <w:r w:rsidRPr="00AB56FE">
              <w:rPr>
                <w:rFonts w:eastAsia="Times New Roman" w:cs="Times New Roman"/>
                <w:szCs w:val="24"/>
                <w:lang w:eastAsia="es-CO"/>
              </w:rPr>
              <w:t> y </w:t>
            </w:r>
            <w:hyperlink r:id="rId6" w:tooltip="Estatuto Tributario CETA" w:history="1">
              <w:r w:rsidRPr="00AB56FE">
                <w:rPr>
                  <w:rFonts w:eastAsia="Times New Roman" w:cs="Times New Roman"/>
                  <w:szCs w:val="24"/>
                  <w:u w:val="single"/>
                  <w:lang w:eastAsia="es-CO"/>
                </w:rPr>
                <w:t>303</w:t>
              </w:r>
            </w:hyperlink>
            <w:r w:rsidRPr="00AB56FE">
              <w:rPr>
                <w:rFonts w:eastAsia="Times New Roman" w:cs="Times New Roman"/>
                <w:szCs w:val="24"/>
                <w:lang w:eastAsia="es-CO"/>
              </w:rPr>
              <w:t> del Estatuto Tributario</w:t>
            </w:r>
          </w:p>
        </w:tc>
      </w:tr>
    </w:tbl>
    <w:p w14:paraId="3D2E2968"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2EF74C28"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6031580C"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Cordial saludo, señor Ortiz:</w:t>
      </w:r>
    </w:p>
    <w:p w14:paraId="600BA311"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397BB3CB"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De conformidad con el artículo 19 del Decreto número 4048 de 2008 es función de esta Dirección absolver de modo general las consultas escritas que se formulen sobre interpretación y aplicación de las normas tributarias de carácter nacional, aduaneras y cambiarias en lo de competencia de esta entidad.</w:t>
      </w:r>
    </w:p>
    <w:p w14:paraId="59AD4CCF"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686887C6"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0D2DAA53"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2BEBDB24"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14:paraId="1242B545"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lastRenderedPageBreak/>
        <w:t> </w:t>
      </w:r>
    </w:p>
    <w:p w14:paraId="2430CC98"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En este contexto se atenderán las solicitudes en sentido general para señalar las normas que regulan las ganancias ocasionales. En complemento, se indicará la normatividad relacionada con la enajenación de bienes inmuebles contenida en la Ley 1943 de 2018.</w:t>
      </w:r>
    </w:p>
    <w:p w14:paraId="7F25A35B"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61F8C67A"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Establecido lo anterior, corresponde al contribuyente revisar las normas aplicables de acuerdo con el negocio u operación que esté celebrando y valorar los bienes de acuerdo con las reglas contenidas en las disposiciones; habida cuenta que no es posible señalar en forma particular el procedimiento que le corresponde seguir para los casos hipotéticos planteados en la consulta; en tanto, una actuación de esta naturaleza constituye una asesoría de tipo particular que no es de competencia de esta entidad.</w:t>
      </w:r>
    </w:p>
    <w:p w14:paraId="1FE3303B"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69BE0F36"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De acuerdo con lo explicado se atenderán los diferentes temas en forma general y en lo de nuestras competencias tributarias, sobre ganancias ocasionales de acuerdo con las normas del Estatuto Tributario.</w:t>
      </w:r>
    </w:p>
    <w:p w14:paraId="3B5A8B45"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1B9DAB30"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1. En la liquidación de la sociedad conyugal se debe identificar la renuncia a gananciales como una operación que al ser gratuita genera ingresos por ganancias ocasionales obtenidos con motivo de la liquidación de la sociedad conyugal, la cual es una actuación que es de la esfera de responsabilidad de las partes intervinientes.</w:t>
      </w:r>
    </w:p>
    <w:p w14:paraId="0ABD111B"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1245E2EC"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Las normas pertinentes del Estatuto Tributario disponen:</w:t>
      </w:r>
    </w:p>
    <w:p w14:paraId="1E1F2E5C"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2D4242DC" w14:textId="77777777" w:rsidR="00AB56FE" w:rsidRPr="00AB56FE" w:rsidRDefault="00000000" w:rsidP="00085288">
      <w:pPr>
        <w:spacing w:after="0" w:line="360" w:lineRule="auto"/>
        <w:ind w:left="180"/>
        <w:jc w:val="both"/>
        <w:rPr>
          <w:rFonts w:eastAsia="Times New Roman" w:cs="Times New Roman"/>
          <w:szCs w:val="24"/>
          <w:lang w:eastAsia="es-CO"/>
        </w:rPr>
      </w:pPr>
      <w:hyperlink r:id="rId7" w:tooltip="Estatuto Tributario CETA" w:history="1">
        <w:r w:rsidR="00AB56FE" w:rsidRPr="00AB56FE">
          <w:rPr>
            <w:rFonts w:eastAsia="Times New Roman" w:cs="Times New Roman"/>
            <w:b/>
            <w:bCs/>
            <w:szCs w:val="24"/>
            <w:u w:val="single"/>
            <w:lang w:eastAsia="es-CO"/>
          </w:rPr>
          <w:t>Artículo 302</w:t>
        </w:r>
      </w:hyperlink>
      <w:r w:rsidR="00AB56FE" w:rsidRPr="00AB56FE">
        <w:rPr>
          <w:rFonts w:eastAsia="Times New Roman" w:cs="Times New Roman"/>
          <w:b/>
          <w:bCs/>
          <w:szCs w:val="24"/>
          <w:lang w:eastAsia="es-CO"/>
        </w:rPr>
        <w:t>. </w:t>
      </w:r>
      <w:r w:rsidR="00AB56FE" w:rsidRPr="00AB56FE">
        <w:rPr>
          <w:rFonts w:eastAsia="Times New Roman" w:cs="Times New Roman"/>
          <w:b/>
          <w:bCs/>
          <w:i/>
          <w:iCs/>
          <w:szCs w:val="24"/>
          <w:lang w:eastAsia="es-CO"/>
        </w:rPr>
        <w:t>Origen</w:t>
      </w:r>
      <w:r w:rsidR="00AB56FE" w:rsidRPr="00AB56FE">
        <w:rPr>
          <w:rFonts w:eastAsia="Times New Roman" w:cs="Times New Roman"/>
          <w:b/>
          <w:bCs/>
          <w:szCs w:val="24"/>
          <w:lang w:eastAsia="es-CO"/>
        </w:rPr>
        <w:t>.</w:t>
      </w:r>
      <w:r w:rsidR="00AB56FE" w:rsidRPr="00AB56FE">
        <w:rPr>
          <w:rFonts w:eastAsia="Times New Roman" w:cs="Times New Roman"/>
          <w:szCs w:val="24"/>
          <w:lang w:eastAsia="es-CO"/>
        </w:rPr>
        <w:t> &lt;Artículo modificado por el artículo 102 de la Ley 1607 de 2012. El nuevo texto es el siguiente:&gt; </w:t>
      </w:r>
      <w:r w:rsidR="00AB56FE" w:rsidRPr="00AB56FE">
        <w:rPr>
          <w:rFonts w:eastAsia="Times New Roman" w:cs="Times New Roman"/>
          <w:szCs w:val="24"/>
          <w:u w:val="single"/>
          <w:lang w:eastAsia="es-CO"/>
        </w:rPr>
        <w:t>Se consideran ganancias ocasionales para los contribuyentes sometidos a este impuesto, las provenientes de herencias, legados, donaciones, o cualquier otro acto jurídico celebrado inter vivos a título gratuito</w:t>
      </w:r>
      <w:r w:rsidR="00AB56FE" w:rsidRPr="00AB56FE">
        <w:rPr>
          <w:rFonts w:eastAsia="Times New Roman" w:cs="Times New Roman"/>
          <w:szCs w:val="24"/>
          <w:lang w:eastAsia="es-CO"/>
        </w:rPr>
        <w:t>, y lo percibido como porción conyugal.</w:t>
      </w:r>
    </w:p>
    <w:p w14:paraId="620BB7AE"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76926C2B" w14:textId="77777777" w:rsidR="00AB56FE" w:rsidRPr="00AB56FE" w:rsidRDefault="00000000" w:rsidP="00085288">
      <w:pPr>
        <w:spacing w:after="0" w:line="360" w:lineRule="auto"/>
        <w:ind w:left="180"/>
        <w:jc w:val="both"/>
        <w:rPr>
          <w:rFonts w:eastAsia="Times New Roman" w:cs="Times New Roman"/>
          <w:szCs w:val="24"/>
          <w:lang w:eastAsia="es-CO"/>
        </w:rPr>
      </w:pPr>
      <w:hyperlink r:id="rId8" w:tooltip="Estatuto Tributario CETA" w:history="1">
        <w:r w:rsidR="00AB56FE" w:rsidRPr="00AB56FE">
          <w:rPr>
            <w:rFonts w:eastAsia="Times New Roman" w:cs="Times New Roman"/>
            <w:b/>
            <w:bCs/>
            <w:szCs w:val="24"/>
            <w:u w:val="single"/>
            <w:lang w:eastAsia="es-CO"/>
          </w:rPr>
          <w:t>Artículo 303</w:t>
        </w:r>
      </w:hyperlink>
      <w:r w:rsidR="00AB56FE" w:rsidRPr="00AB56FE">
        <w:rPr>
          <w:rFonts w:eastAsia="Times New Roman" w:cs="Times New Roman"/>
          <w:b/>
          <w:bCs/>
          <w:szCs w:val="24"/>
          <w:lang w:eastAsia="es-CO"/>
        </w:rPr>
        <w:t>. </w:t>
      </w:r>
      <w:r w:rsidR="00AB56FE" w:rsidRPr="00AB56FE">
        <w:rPr>
          <w:rFonts w:eastAsia="Times New Roman" w:cs="Times New Roman"/>
          <w:b/>
          <w:bCs/>
          <w:i/>
          <w:iCs/>
          <w:szCs w:val="24"/>
          <w:lang w:eastAsia="es-CO"/>
        </w:rPr>
        <w:t>Cómo se determina su valor</w:t>
      </w:r>
      <w:r w:rsidR="00AB56FE" w:rsidRPr="00AB56FE">
        <w:rPr>
          <w:rFonts w:eastAsia="Times New Roman" w:cs="Times New Roman"/>
          <w:b/>
          <w:bCs/>
          <w:szCs w:val="24"/>
          <w:lang w:eastAsia="es-CO"/>
        </w:rPr>
        <w:t>.</w:t>
      </w:r>
      <w:r w:rsidR="00AB56FE" w:rsidRPr="00AB56FE">
        <w:rPr>
          <w:rFonts w:eastAsia="Times New Roman" w:cs="Times New Roman"/>
          <w:szCs w:val="24"/>
          <w:lang w:eastAsia="es-CO"/>
        </w:rPr>
        <w:t> &lt;Artículo modificado por el artículo 103 de la Ley 1607 de 2012. El nuevo texto es el siguiente:&gt; El valor de los bienes y derechos que se tendrá en cuenta para efectos de determinar la base gravable del impuesto a las ganancias ocasionales a las que se refiere el </w:t>
      </w:r>
      <w:hyperlink r:id="rId9" w:tooltip="Estatuto Tributario CETA" w:history="1">
        <w:r w:rsidR="00AB56FE" w:rsidRPr="00AB56FE">
          <w:rPr>
            <w:rFonts w:eastAsia="Times New Roman" w:cs="Times New Roman"/>
            <w:szCs w:val="24"/>
            <w:u w:val="single"/>
            <w:lang w:eastAsia="es-CO"/>
          </w:rPr>
          <w:t>artículo 302</w:t>
        </w:r>
      </w:hyperlink>
      <w:r w:rsidR="00AB56FE" w:rsidRPr="00AB56FE">
        <w:rPr>
          <w:rFonts w:eastAsia="Times New Roman" w:cs="Times New Roman"/>
          <w:szCs w:val="24"/>
          <w:lang w:eastAsia="es-CO"/>
        </w:rPr>
        <w:t> de este Estatuto </w:t>
      </w:r>
      <w:r w:rsidR="00AB56FE" w:rsidRPr="00AB56FE">
        <w:rPr>
          <w:rFonts w:eastAsia="Times New Roman" w:cs="Times New Roman"/>
          <w:szCs w:val="24"/>
          <w:u w:val="single"/>
          <w:lang w:eastAsia="es-CO"/>
        </w:rPr>
        <w:t>será el valor que tengan dichos bienes y derechos a 31 de diciembre del año inmediatamente anterior a la fecha de la liquidación de la sucesión o del perfeccionamiento del acto de donación o del acto jurídico inter vivos celebrado a título gratuito, según el caso</w:t>
      </w:r>
      <w:r w:rsidR="00AB56FE" w:rsidRPr="00AB56FE">
        <w:rPr>
          <w:rFonts w:eastAsia="Times New Roman" w:cs="Times New Roman"/>
          <w:szCs w:val="24"/>
          <w:lang w:eastAsia="es-CO"/>
        </w:rPr>
        <w:t>. En el caso de los bienes y derechos que se relacionan a continuación, el valor se determinará de conformidad con las siguientes reglas:</w:t>
      </w:r>
    </w:p>
    <w:p w14:paraId="6A4CA548"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lastRenderedPageBreak/>
        <w:t> </w:t>
      </w:r>
    </w:p>
    <w:p w14:paraId="196D9825"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1. El valor de las sumas dinerarias será el de su valor nominal.</w:t>
      </w:r>
    </w:p>
    <w:p w14:paraId="1C7286E1"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2. El valor del oro y demás metales preciosos será al valor comercial de tales bienes.</w:t>
      </w:r>
    </w:p>
    <w:p w14:paraId="70AD2B7E"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3. El valor de los vehículos automotores será el del avalúo comercial que fije anualmente el Ministerio de Transporte mediante resolución.</w:t>
      </w:r>
    </w:p>
    <w:p w14:paraId="3E6A8519"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4. El valor de las acciones, aportes y demás derechos en sociedades será el determinado de conformidad con lo establecido en el </w:t>
      </w:r>
      <w:hyperlink r:id="rId10" w:tooltip="Estatuto Tributario CETA" w:history="1">
        <w:r w:rsidRPr="00AB56FE">
          <w:rPr>
            <w:rFonts w:eastAsia="Times New Roman" w:cs="Times New Roman"/>
            <w:szCs w:val="24"/>
            <w:u w:val="single"/>
            <w:lang w:eastAsia="es-CO"/>
          </w:rPr>
          <w:t>artículo 272</w:t>
        </w:r>
      </w:hyperlink>
      <w:r w:rsidRPr="00AB56FE">
        <w:rPr>
          <w:rFonts w:eastAsia="Times New Roman" w:cs="Times New Roman"/>
          <w:szCs w:val="24"/>
          <w:lang w:eastAsia="es-CO"/>
        </w:rPr>
        <w:t> de este Estatuto.</w:t>
      </w:r>
    </w:p>
    <w:p w14:paraId="1780E188"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5. </w:t>
      </w:r>
      <w:r w:rsidRPr="00AB56FE">
        <w:rPr>
          <w:rFonts w:eastAsia="Times New Roman" w:cs="Times New Roman"/>
          <w:szCs w:val="24"/>
          <w:u w:val="single"/>
          <w:lang w:eastAsia="es-CO"/>
        </w:rPr>
        <w:t>El valor de los créditos será el determinado de conformidad con lo establecido en el </w:t>
      </w:r>
      <w:hyperlink r:id="rId11" w:tooltip="Estatuto Tributario CETA" w:history="1">
        <w:r w:rsidRPr="00AB56FE">
          <w:rPr>
            <w:rFonts w:eastAsia="Times New Roman" w:cs="Times New Roman"/>
            <w:szCs w:val="24"/>
            <w:u w:val="single"/>
            <w:lang w:eastAsia="es-CO"/>
          </w:rPr>
          <w:t>artículo 270</w:t>
        </w:r>
      </w:hyperlink>
      <w:r w:rsidRPr="00AB56FE">
        <w:rPr>
          <w:rFonts w:eastAsia="Times New Roman" w:cs="Times New Roman"/>
          <w:szCs w:val="24"/>
          <w:u w:val="single"/>
          <w:lang w:eastAsia="es-CO"/>
        </w:rPr>
        <w:t> de este Estatuto</w:t>
      </w:r>
      <w:r w:rsidRPr="00AB56FE">
        <w:rPr>
          <w:rFonts w:eastAsia="Times New Roman" w:cs="Times New Roman"/>
          <w:szCs w:val="24"/>
          <w:lang w:eastAsia="es-CO"/>
        </w:rPr>
        <w:t>.</w:t>
      </w:r>
    </w:p>
    <w:p w14:paraId="4658E2E4"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6. El valor de los bienes y créditos en monedas extranjeras será su valor comercial, expresado en moneda nacional, de acuerdo con la tasa oficial de cambio que haya regido el último día hábil del año inmediatamente anterior al de liquidación de la sucesión o al de perfeccionamiento del acto de donación o del acto jurídico inter vivos celebrado a título gratuito, según el caso.</w:t>
      </w:r>
    </w:p>
    <w:p w14:paraId="5B051F6A"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7. El valor de los títulos, bonos, certificados y otros documentos negociables que generan intereses y rendimientos financieros será el determinado de conformidad con el </w:t>
      </w:r>
      <w:hyperlink r:id="rId12" w:tooltip="Estatuto Tributario CETA" w:history="1">
        <w:r w:rsidRPr="00AB56FE">
          <w:rPr>
            <w:rFonts w:eastAsia="Times New Roman" w:cs="Times New Roman"/>
            <w:szCs w:val="24"/>
            <w:u w:val="single"/>
            <w:lang w:eastAsia="es-CO"/>
          </w:rPr>
          <w:t>artículo 271</w:t>
        </w:r>
      </w:hyperlink>
      <w:r w:rsidRPr="00AB56FE">
        <w:rPr>
          <w:rFonts w:eastAsia="Times New Roman" w:cs="Times New Roman"/>
          <w:szCs w:val="24"/>
          <w:lang w:eastAsia="es-CO"/>
        </w:rPr>
        <w:t> de este Estatuto.</w:t>
      </w:r>
    </w:p>
    <w:p w14:paraId="6E93167F"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8. El valor de los derechos fiduciarios será el 80% del valor determinado de acuerdo con lo dispuesto en el </w:t>
      </w:r>
      <w:hyperlink r:id="rId13" w:tooltip="Estatuto Tributario CETA" w:history="1">
        <w:r w:rsidRPr="00AB56FE">
          <w:rPr>
            <w:rFonts w:eastAsia="Times New Roman" w:cs="Times New Roman"/>
            <w:szCs w:val="24"/>
            <w:u w:val="single"/>
            <w:lang w:eastAsia="es-CO"/>
          </w:rPr>
          <w:t>artículo 271-1</w:t>
        </w:r>
      </w:hyperlink>
      <w:r w:rsidRPr="00AB56FE">
        <w:rPr>
          <w:rFonts w:eastAsia="Times New Roman" w:cs="Times New Roman"/>
          <w:szCs w:val="24"/>
          <w:lang w:eastAsia="es-CO"/>
        </w:rPr>
        <w:t> de este Estatuto.</w:t>
      </w:r>
    </w:p>
    <w:p w14:paraId="1BD3030B"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9. </w:t>
      </w:r>
      <w:r w:rsidRPr="00AB56FE">
        <w:rPr>
          <w:rFonts w:eastAsia="Times New Roman" w:cs="Times New Roman"/>
          <w:szCs w:val="24"/>
          <w:u w:val="single"/>
          <w:lang w:eastAsia="es-CO"/>
        </w:rPr>
        <w:t>El valor de los inmuebles será el determinado de conformidad con el </w:t>
      </w:r>
      <w:hyperlink r:id="rId14" w:tooltip="Estatuto Tributario CETA" w:history="1">
        <w:r w:rsidRPr="00AB56FE">
          <w:rPr>
            <w:rFonts w:eastAsia="Times New Roman" w:cs="Times New Roman"/>
            <w:szCs w:val="24"/>
            <w:u w:val="single"/>
            <w:lang w:eastAsia="es-CO"/>
          </w:rPr>
          <w:t>artículo 277</w:t>
        </w:r>
      </w:hyperlink>
      <w:r w:rsidRPr="00AB56FE">
        <w:rPr>
          <w:rFonts w:eastAsia="Times New Roman" w:cs="Times New Roman"/>
          <w:szCs w:val="24"/>
          <w:u w:val="single"/>
          <w:lang w:eastAsia="es-CO"/>
        </w:rPr>
        <w:t> de este Estatuto.</w:t>
      </w:r>
    </w:p>
    <w:p w14:paraId="09288F0C"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10. El valor de las rentas o pagos periódicos que provengan de fideicomisos, trusts, fundaciones de interés privado y otros vehículos semejantes o asimilables, establecidos en Colombia o en el exterior, a favor de personas naturales residentes en el país será el valor total de las respectivas rentas o pagos periódicos.</w:t>
      </w:r>
    </w:p>
    <w:p w14:paraId="74046EDC"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11. El valor del derecho de usufructo temporal se determinará en proporción al valor total de los bienes entregados en usufructo, establecido de acuerdo con las disposiciones consagradas en este artículo, a razón de un 5 % de dicho valor por cada año de duración del usufructo, sin exceder del 70% del total del valor del bien. El valor del derecho de usufructo vitalicio será igual al 70% del valor total de los bienes entregados en usufructo, determinado de acuerdo con las disposiciones consagradas en este artículo. El valor del derecho de nuda propiedad será la diferencia entre el valor del derecho de usufructo y el valor total de los bienes, determinado de acuerdo con las disposiciones consagradas en este artículo.</w:t>
      </w:r>
    </w:p>
    <w:p w14:paraId="691DF444"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3D30C8C4"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b/>
          <w:bCs/>
          <w:szCs w:val="24"/>
          <w:lang w:eastAsia="es-CO"/>
        </w:rPr>
        <w:t>Parágrafo 1°.</w:t>
      </w:r>
      <w:r w:rsidRPr="00AB56FE">
        <w:rPr>
          <w:rFonts w:eastAsia="Times New Roman" w:cs="Times New Roman"/>
          <w:szCs w:val="24"/>
          <w:lang w:eastAsia="es-CO"/>
        </w:rPr>
        <w:t xml:space="preserve"> En el caso de las rentas y pagos periódicos a los que se refiere el numeral 11 del presente artículo, el impuesto a las ganancias ocasionales se causará el último día </w:t>
      </w:r>
      <w:r w:rsidRPr="00AB56FE">
        <w:rPr>
          <w:rFonts w:eastAsia="Times New Roman" w:cs="Times New Roman"/>
          <w:szCs w:val="24"/>
          <w:lang w:eastAsia="es-CO"/>
        </w:rPr>
        <w:lastRenderedPageBreak/>
        <w:t>del año o período gravable en el que dichas rentas sean exigibles por parte del contribuyente.</w:t>
      </w:r>
    </w:p>
    <w:p w14:paraId="1392EEE8"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06E3FCBF"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b/>
          <w:bCs/>
          <w:szCs w:val="24"/>
          <w:lang w:eastAsia="es-CO"/>
        </w:rPr>
        <w:t>Parágrafo 2°.</w:t>
      </w:r>
      <w:r w:rsidRPr="00AB56FE">
        <w:rPr>
          <w:rFonts w:eastAsia="Times New Roman" w:cs="Times New Roman"/>
          <w:szCs w:val="24"/>
          <w:lang w:eastAsia="es-CO"/>
        </w:rPr>
        <w:t> En el caso del derecho de usufructo temporal al que se refiere el numeral 12 del presente artículo, el impuesto a las ganancias ocasionales se causará el último día del año o período gravable, sobre el 5% del valor del bien entregado en usufructo, de acuerdo con lo consagrado en el mencionado numeral.</w:t>
      </w:r>
    </w:p>
    <w:p w14:paraId="7363E348"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5A132E53"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b/>
          <w:bCs/>
          <w:szCs w:val="24"/>
          <w:lang w:eastAsia="es-CO"/>
        </w:rPr>
        <w:t>Parágrafo 3°.</w:t>
      </w:r>
      <w:r w:rsidRPr="00AB56FE">
        <w:rPr>
          <w:rFonts w:eastAsia="Times New Roman" w:cs="Times New Roman"/>
          <w:szCs w:val="24"/>
          <w:lang w:eastAsia="es-CO"/>
        </w:rPr>
        <w:t> No se generarán ganancias ocasionales con ocasión de la consolidación del usufructo en el nudo propietario.</w:t>
      </w:r>
    </w:p>
    <w:p w14:paraId="2CE51905"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6BFD99C0"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b/>
          <w:bCs/>
          <w:szCs w:val="24"/>
          <w:lang w:eastAsia="es-CO"/>
        </w:rPr>
        <w:t>Parágrafo 4°.</w:t>
      </w:r>
      <w:r w:rsidRPr="00AB56FE">
        <w:rPr>
          <w:rFonts w:eastAsia="Times New Roman" w:cs="Times New Roman"/>
          <w:szCs w:val="24"/>
          <w:lang w:eastAsia="es-CO"/>
        </w:rPr>
        <w:t> </w:t>
      </w:r>
      <w:r w:rsidRPr="00AB56FE">
        <w:rPr>
          <w:rFonts w:eastAsia="Times New Roman" w:cs="Times New Roman"/>
          <w:szCs w:val="24"/>
          <w:u w:val="single"/>
          <w:lang w:eastAsia="es-CO"/>
        </w:rPr>
        <w:t>El valor de los bienes y derechos que el causante, donante o transferente, según el caso haya adquirido durante el mismo año o período gravable en el que se liquida la sucesión o se perfecciona el acto de donación o el acto jurídico inter vivos celebrado a título gratuito, según el caso, será su valor de adquisición</w:t>
      </w:r>
      <w:r w:rsidRPr="00AB56FE">
        <w:rPr>
          <w:rFonts w:eastAsia="Times New Roman" w:cs="Times New Roman"/>
          <w:szCs w:val="24"/>
          <w:lang w:eastAsia="es-CO"/>
        </w:rPr>
        <w:t>. (Subrayados fuera de texto).</w:t>
      </w:r>
    </w:p>
    <w:p w14:paraId="7B0038C8"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528F4F5C"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2. En lo relacionado con la Ley de Financiamiento, última reforma al Estatuto Tributario resulta pertinente señalar que el artículo 53 de la Ley 1943 de 2018 modificó el </w:t>
      </w:r>
      <w:hyperlink r:id="rId15" w:tooltip="Estatuto Tributario CETA" w:history="1">
        <w:r w:rsidRPr="00AB56FE">
          <w:rPr>
            <w:rFonts w:eastAsia="Times New Roman" w:cs="Times New Roman"/>
            <w:szCs w:val="24"/>
            <w:u w:val="single"/>
            <w:lang w:eastAsia="es-CO"/>
          </w:rPr>
          <w:t>artículo 90</w:t>
        </w:r>
      </w:hyperlink>
      <w:r w:rsidRPr="00AB56FE">
        <w:rPr>
          <w:rFonts w:eastAsia="Times New Roman" w:cs="Times New Roman"/>
          <w:szCs w:val="24"/>
          <w:lang w:eastAsia="es-CO"/>
        </w:rPr>
        <w:t> del Estatuto Tributario y dispuso:</w:t>
      </w:r>
    </w:p>
    <w:p w14:paraId="5EE45C41"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79B40FAA"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b/>
          <w:bCs/>
          <w:szCs w:val="24"/>
          <w:lang w:eastAsia="es-CO"/>
        </w:rPr>
        <w:t>Artículo 53.</w:t>
      </w:r>
      <w:r w:rsidRPr="00AB56FE">
        <w:rPr>
          <w:rFonts w:eastAsia="Times New Roman" w:cs="Times New Roman"/>
          <w:szCs w:val="24"/>
          <w:lang w:eastAsia="es-CO"/>
        </w:rPr>
        <w:t> Modifíquese el </w:t>
      </w:r>
      <w:hyperlink r:id="rId16" w:tooltip="Estatuto Tributario CETA" w:history="1">
        <w:r w:rsidRPr="00AB56FE">
          <w:rPr>
            <w:rFonts w:eastAsia="Times New Roman" w:cs="Times New Roman"/>
            <w:szCs w:val="24"/>
            <w:u w:val="single"/>
            <w:lang w:eastAsia="es-CO"/>
          </w:rPr>
          <w:t>artículo 90</w:t>
        </w:r>
      </w:hyperlink>
      <w:r w:rsidRPr="00AB56FE">
        <w:rPr>
          <w:rFonts w:eastAsia="Times New Roman" w:cs="Times New Roman"/>
          <w:szCs w:val="24"/>
          <w:lang w:eastAsia="es-CO"/>
        </w:rPr>
        <w:t> del Estatuto Tributario, el cual quedará así:</w:t>
      </w:r>
    </w:p>
    <w:p w14:paraId="0BC9D5BC"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b/>
          <w:bCs/>
          <w:szCs w:val="24"/>
          <w:lang w:eastAsia="es-CO"/>
        </w:rPr>
        <w:t> </w:t>
      </w:r>
    </w:p>
    <w:p w14:paraId="59195334" w14:textId="77777777" w:rsidR="00AB56FE" w:rsidRPr="00AB56FE" w:rsidRDefault="00000000" w:rsidP="00085288">
      <w:pPr>
        <w:spacing w:after="0" w:line="360" w:lineRule="auto"/>
        <w:ind w:left="180"/>
        <w:jc w:val="both"/>
        <w:rPr>
          <w:rFonts w:eastAsia="Times New Roman" w:cs="Times New Roman"/>
          <w:szCs w:val="24"/>
          <w:lang w:eastAsia="es-CO"/>
        </w:rPr>
      </w:pPr>
      <w:hyperlink r:id="rId17" w:tooltip="Estatuto Tributario CETA" w:history="1">
        <w:r w:rsidR="00AB56FE" w:rsidRPr="00AB56FE">
          <w:rPr>
            <w:rFonts w:eastAsia="Times New Roman" w:cs="Times New Roman"/>
            <w:b/>
            <w:bCs/>
            <w:szCs w:val="24"/>
            <w:u w:val="single"/>
            <w:lang w:eastAsia="es-CO"/>
          </w:rPr>
          <w:t>Artículo 90</w:t>
        </w:r>
      </w:hyperlink>
      <w:r w:rsidR="00AB56FE" w:rsidRPr="00AB56FE">
        <w:rPr>
          <w:rFonts w:eastAsia="Times New Roman" w:cs="Times New Roman"/>
          <w:b/>
          <w:bCs/>
          <w:szCs w:val="24"/>
          <w:lang w:eastAsia="es-CO"/>
        </w:rPr>
        <w:t>. </w:t>
      </w:r>
      <w:r w:rsidR="00AB56FE" w:rsidRPr="00AB56FE">
        <w:rPr>
          <w:rFonts w:eastAsia="Times New Roman" w:cs="Times New Roman"/>
          <w:b/>
          <w:bCs/>
          <w:i/>
          <w:iCs/>
          <w:szCs w:val="24"/>
          <w:lang w:eastAsia="es-CO"/>
        </w:rPr>
        <w:t>Determinación de la renta bruta en la enajenación de activos y valor comercial en operaciones sobre bienes y servicios. </w:t>
      </w:r>
      <w:r w:rsidR="00AB56FE" w:rsidRPr="00AB56FE">
        <w:rPr>
          <w:rFonts w:eastAsia="Times New Roman" w:cs="Times New Roman"/>
          <w:szCs w:val="24"/>
          <w:lang w:eastAsia="es-CO"/>
        </w:rPr>
        <w:t>La renta bruta o la pérdida </w:t>
      </w:r>
      <w:r w:rsidR="00AB56FE" w:rsidRPr="00AB56FE">
        <w:rPr>
          <w:rFonts w:eastAsia="Times New Roman" w:cs="Times New Roman"/>
          <w:szCs w:val="24"/>
          <w:u w:val="single"/>
          <w:lang w:eastAsia="es-CO"/>
        </w:rPr>
        <w:t>proveniente de la enajenación de activos a cualquier título</w:t>
      </w:r>
      <w:r w:rsidR="00AB56FE" w:rsidRPr="00AB56FE">
        <w:rPr>
          <w:rFonts w:eastAsia="Times New Roman" w:cs="Times New Roman"/>
          <w:szCs w:val="24"/>
          <w:lang w:eastAsia="es-CO"/>
        </w:rPr>
        <w:t>, está constituida por la diferencia entre el precio de la enajenación y el costo del activo o activos enajenados.</w:t>
      </w:r>
    </w:p>
    <w:p w14:paraId="3B99DDCA"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18DE5771"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14:paraId="24CD415A"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7150CF1E"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El precio de la enajenación es el valor comercial realizado en dinero o en especie. Para estos efectos será parte del precio el valor comercial de las especies recibidas.</w:t>
      </w:r>
    </w:p>
    <w:p w14:paraId="44269F4B"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18B9E195"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Se tiene por valor comercial el señalado por las partes, el cual deberá corresponder al precio comercial promedio para bienes de la misma especie, en la fecha de su enajenación. Esta previsión también resulta aplicable a los servicios.</w:t>
      </w:r>
    </w:p>
    <w:p w14:paraId="2E0FC2BC"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lastRenderedPageBreak/>
        <w:t> </w:t>
      </w:r>
    </w:p>
    <w:p w14:paraId="2DAE6337"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u w:val="single"/>
          <w:lang w:eastAsia="es-CO"/>
        </w:rPr>
        <w:t>En el caso de bienes raíces, además de lo previsto en esta disposición, no se aceptará un precio inferior al costo, al avalúo catastral ni al autoavalúo, sin perjuicio de la posibilidad de un valor comercial superior</w:t>
      </w:r>
      <w:r w:rsidRPr="00AB56FE">
        <w:rPr>
          <w:rFonts w:eastAsia="Times New Roman" w:cs="Times New Roman"/>
          <w:szCs w:val="24"/>
          <w:lang w:eastAsia="es-CO"/>
        </w:rPr>
        <w:t>.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14:paraId="1621024F"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0B625590"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14:paraId="56792604"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00B443D8"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14:paraId="1E9B6786"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4ADF400B" w14:textId="77777777" w:rsidR="00AB56FE" w:rsidRPr="00AB56FE" w:rsidRDefault="00AB56FE" w:rsidP="00085288">
      <w:pPr>
        <w:spacing w:after="0" w:line="360" w:lineRule="auto"/>
        <w:ind w:left="180"/>
        <w:jc w:val="both"/>
        <w:rPr>
          <w:rFonts w:eastAsia="Times New Roman" w:cs="Times New Roman"/>
          <w:szCs w:val="24"/>
          <w:lang w:eastAsia="es-CO"/>
        </w:rPr>
      </w:pPr>
      <w:r w:rsidRPr="00801FAD">
        <w:rPr>
          <w:rFonts w:eastAsia="Times New Roman" w:cs="Times New Roman"/>
          <w:szCs w:val="24"/>
          <w:highlight w:val="yellow"/>
          <w:lang w:eastAsia="es-CO"/>
        </w:rPr>
        <w:t>A partir del 1° de enero de 2019, no serán constitutivos de costo de los bienes raíces aquellas sumas que no se hayan desembolsado a través de entidades financieras.</w:t>
      </w:r>
    </w:p>
    <w:p w14:paraId="71A8CC75"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73B8A095"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u w:val="single"/>
          <w:lang w:eastAsia="es-CO"/>
        </w:rPr>
        <w:t>Cuando el valor asignado por las partes difiera notoriamente del valor comercial de los bienes o servicios en la fecha de su enajenación</w:t>
      </w:r>
      <w:r w:rsidRPr="00AB56FE">
        <w:rPr>
          <w:rFonts w:eastAsia="Times New Roman" w:cs="Times New Roman"/>
          <w:szCs w:val="24"/>
          <w:lang w:eastAsia="es-CO"/>
        </w:rPr>
        <w:t xml:space="preserve"> o prestación, conforme a lo dispuesto en este artículo, el funcionario que esté adelantando el proceso de fiscalización respectivo, podrá rechazarlo para los efectos impositivos y señalar un precio de enajenación acorde con la naturaleza, condiciones y estado de los activos; atendiendo a los datos estadísticos </w:t>
      </w:r>
      <w:r w:rsidRPr="00AB56FE">
        <w:rPr>
          <w:rFonts w:eastAsia="Times New Roman" w:cs="Times New Roman"/>
          <w:szCs w:val="24"/>
          <w:lang w:eastAsia="es-CO"/>
        </w:rPr>
        <w:lastRenderedPageBreak/>
        <w:t>producidos por la Dirección General de Impuestos Nacionales, por el Departamento Nacional de Estadística, por el Banco de la República u otras entidades afines. Su aplicación y discusión se hará dentro del mismo proceso.</w:t>
      </w:r>
    </w:p>
    <w:p w14:paraId="0CF56C8B"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3E51C013"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14:paraId="61427FDA"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4F2FBE10"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Sin perjuicio de lo previsto en este artículo, cuando el activo enajenado sean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14:paraId="759B4CEB"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61E2BCCB"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 (Subrayados fuera de texto).</w:t>
      </w:r>
    </w:p>
    <w:p w14:paraId="5271A777"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6D325366"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Como se observa en la parte inicial de la norma transcrita se está regulando la renta bruta o la pérdida proveniente de la enajenación de activos a cualquier título, inciso en el cual se debe entender el término enajenación en su sentido natural y obvio; es decir, como aquella actuación por medio de la cual se transfiere la propiedad de un bien sin importar el modo o si es a título oneroso o gratuito.</w:t>
      </w:r>
    </w:p>
    <w:p w14:paraId="3EB661B9"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75CFBECF"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Debe tenerse en cuenta que la renuncia a gananciales para su asignación al otro cónyuge es un acto de transferencia de bienes y/o derechos y, por ende, un modo de adquirir la propiedad; es decir, por medio de esta figura se transfiere la propiedad.</w:t>
      </w:r>
    </w:p>
    <w:p w14:paraId="3DD80BC7"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24489F72"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lastRenderedPageBreak/>
        <w:t>3. En forma particular y teniendo en cuenta la pregunta realizada en la consulta, corresponde precisar que de acuerdo con el diseño del formato para la declaración de renta según la reforma tributaria contenida en la Ley 1819 de 2016, y la siguiente Ley de financiamiento Ley 1943 de 2018, las ganancias ocasionales recibidas con ocasión de la renuncia de gananciales del otro cónyuge en la liquidación de la sociedad conyugal, no se incluyen en ninguna cédula, sino en la sección correspondiente a ganancias ocasionales. Toda vez que esta clase de ingresos no fueron incluidos en ninguna de las cédulas y tienen su agregado en particular en los respectivos formatos.</w:t>
      </w:r>
    </w:p>
    <w:p w14:paraId="26AEF53A" w14:textId="77777777" w:rsidR="00085288" w:rsidRDefault="00085288" w:rsidP="00085288">
      <w:pPr>
        <w:spacing w:after="0" w:line="360" w:lineRule="auto"/>
        <w:jc w:val="both"/>
        <w:rPr>
          <w:rFonts w:eastAsia="Times New Roman" w:cs="Times New Roman"/>
          <w:szCs w:val="24"/>
          <w:lang w:eastAsia="es-CO"/>
        </w:rPr>
      </w:pPr>
    </w:p>
    <w:p w14:paraId="11199D34" w14:textId="191A72B3"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4. Por otra parte, revisada la doctrina anterior en lo relacionado con el tema se encontró que se presentó una imprecisión en el Oficio 0128286 de 6 abril de 2001; en el cual se señaló como tesis que: “en el evento de renuncia a gananciales en favor de otro cónyuge se tratará como un ingreso constitutivo de renta el valor patrimonial neto recibido”.</w:t>
      </w:r>
    </w:p>
    <w:p w14:paraId="1EB07DA1"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73D043A1" w14:textId="77777777" w:rsidR="00AB56FE" w:rsidRPr="00801FAD" w:rsidRDefault="00AB56FE" w:rsidP="00085288">
      <w:pPr>
        <w:spacing w:after="0" w:line="360" w:lineRule="auto"/>
        <w:jc w:val="both"/>
        <w:rPr>
          <w:rFonts w:eastAsia="Times New Roman" w:cs="Times New Roman"/>
          <w:b/>
          <w:bCs/>
          <w:sz w:val="32"/>
          <w:szCs w:val="32"/>
          <w:lang w:eastAsia="es-CO"/>
        </w:rPr>
      </w:pPr>
      <w:r w:rsidRPr="00801FAD">
        <w:rPr>
          <w:rFonts w:eastAsia="Times New Roman" w:cs="Times New Roman"/>
          <w:b/>
          <w:bCs/>
          <w:sz w:val="32"/>
          <w:szCs w:val="32"/>
          <w:highlight w:val="cyan"/>
          <w:lang w:eastAsia="es-CO"/>
        </w:rPr>
        <w:t>Lo anterior, se explica porque la afirmación contenida en el oficio referido no tuvo en cuenta que la renuncia es un acto jurídico inter vivos de disposición de bienes o derechos y tiene naturaleza similar a la de una donación de acuerdo con la definición de donación del Código Civil Colombiano.</w:t>
      </w:r>
    </w:p>
    <w:p w14:paraId="17BF75E5" w14:textId="77777777" w:rsidR="00AB56FE" w:rsidRPr="00AB56FE" w:rsidRDefault="00AB56FE" w:rsidP="00085288">
      <w:pPr>
        <w:spacing w:after="0" w:line="360" w:lineRule="auto"/>
        <w:ind w:left="180"/>
        <w:jc w:val="both"/>
        <w:rPr>
          <w:rFonts w:eastAsia="Times New Roman" w:cs="Times New Roman"/>
          <w:szCs w:val="24"/>
          <w:lang w:eastAsia="es-CO"/>
        </w:rPr>
      </w:pPr>
      <w:r w:rsidRPr="00AB56FE">
        <w:rPr>
          <w:rFonts w:eastAsia="Times New Roman" w:cs="Times New Roman"/>
          <w:szCs w:val="24"/>
          <w:lang w:eastAsia="es-CO"/>
        </w:rPr>
        <w:t> </w:t>
      </w:r>
    </w:p>
    <w:p w14:paraId="271A9627" w14:textId="77777777" w:rsidR="00AB56FE" w:rsidRPr="00801FAD" w:rsidRDefault="00AB56FE" w:rsidP="00085288">
      <w:pPr>
        <w:spacing w:after="0" w:line="360" w:lineRule="auto"/>
        <w:ind w:left="180"/>
        <w:jc w:val="both"/>
        <w:rPr>
          <w:rFonts w:eastAsia="Times New Roman" w:cs="Times New Roman"/>
          <w:sz w:val="32"/>
          <w:szCs w:val="32"/>
          <w:lang w:eastAsia="es-CO"/>
        </w:rPr>
      </w:pPr>
      <w:r w:rsidRPr="00801FAD">
        <w:rPr>
          <w:rFonts w:eastAsia="Times New Roman" w:cs="Times New Roman"/>
          <w:b/>
          <w:bCs/>
          <w:sz w:val="32"/>
          <w:szCs w:val="32"/>
          <w:highlight w:val="yellow"/>
          <w:lang w:eastAsia="es-CO"/>
        </w:rPr>
        <w:t>Artículo 1443. </w:t>
      </w:r>
      <w:r w:rsidRPr="00801FAD">
        <w:rPr>
          <w:rFonts w:eastAsia="Times New Roman" w:cs="Times New Roman"/>
          <w:b/>
          <w:bCs/>
          <w:i/>
          <w:iCs/>
          <w:sz w:val="32"/>
          <w:szCs w:val="32"/>
          <w:highlight w:val="yellow"/>
          <w:lang w:eastAsia="es-CO"/>
        </w:rPr>
        <w:t>Definición de donación entre vivos</w:t>
      </w:r>
      <w:r w:rsidRPr="00801FAD">
        <w:rPr>
          <w:rFonts w:eastAsia="Times New Roman" w:cs="Times New Roman"/>
          <w:b/>
          <w:bCs/>
          <w:sz w:val="32"/>
          <w:szCs w:val="32"/>
          <w:highlight w:val="yellow"/>
          <w:lang w:eastAsia="es-CO"/>
        </w:rPr>
        <w:t>&gt;.</w:t>
      </w:r>
      <w:r w:rsidRPr="00801FAD">
        <w:rPr>
          <w:rFonts w:eastAsia="Times New Roman" w:cs="Times New Roman"/>
          <w:sz w:val="32"/>
          <w:szCs w:val="32"/>
          <w:highlight w:val="yellow"/>
          <w:lang w:eastAsia="es-CO"/>
        </w:rPr>
        <w:t> La donación entre vivos es un acto por el cual una persona transfiere, gratuita e irrevocablemente, una parte de sus bienes a otra persona que la acepta.</w:t>
      </w:r>
    </w:p>
    <w:p w14:paraId="41FF2657"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746EBF14" w14:textId="77777777" w:rsidR="00AB56FE" w:rsidRPr="00801FAD" w:rsidRDefault="00AB56FE" w:rsidP="00085288">
      <w:pPr>
        <w:spacing w:after="0" w:line="360" w:lineRule="auto"/>
        <w:jc w:val="both"/>
        <w:rPr>
          <w:rFonts w:eastAsia="Times New Roman" w:cs="Times New Roman"/>
          <w:b/>
          <w:bCs/>
          <w:sz w:val="32"/>
          <w:szCs w:val="32"/>
          <w:lang w:eastAsia="es-CO"/>
        </w:rPr>
      </w:pPr>
      <w:r w:rsidRPr="00801FAD">
        <w:rPr>
          <w:rFonts w:eastAsia="Times New Roman" w:cs="Times New Roman"/>
          <w:b/>
          <w:bCs/>
          <w:sz w:val="32"/>
          <w:szCs w:val="32"/>
          <w:highlight w:val="cyan"/>
          <w:u w:val="single"/>
          <w:lang w:eastAsia="es-CO"/>
        </w:rPr>
        <w:t>En consecuencia, al entenderse la renuncia de gananciales como una donación o en su defecto como un acto jurídico inter vivos de disposición de bienes o derechos a título gratuito, los ingresos que perciba el donatario o la parte beneficiaria del acto celebrado se consideran ganancia ocasional de acuerdo con el </w:t>
      </w:r>
      <w:hyperlink r:id="rId18" w:tooltip="Estatuto Tributario CETA" w:history="1">
        <w:r w:rsidRPr="00801FAD">
          <w:rPr>
            <w:rFonts w:eastAsia="Times New Roman" w:cs="Times New Roman"/>
            <w:b/>
            <w:bCs/>
            <w:sz w:val="32"/>
            <w:szCs w:val="32"/>
            <w:highlight w:val="cyan"/>
            <w:u w:val="single"/>
            <w:lang w:eastAsia="es-CO"/>
          </w:rPr>
          <w:t>artículo 302</w:t>
        </w:r>
      </w:hyperlink>
      <w:r w:rsidRPr="00801FAD">
        <w:rPr>
          <w:rFonts w:eastAsia="Times New Roman" w:cs="Times New Roman"/>
          <w:b/>
          <w:bCs/>
          <w:sz w:val="32"/>
          <w:szCs w:val="32"/>
          <w:highlight w:val="cyan"/>
          <w:lang w:eastAsia="es-CO"/>
        </w:rPr>
        <w:t> del Estatuto Tributario y se encuentran gravadas con el impuesto a las ganancias ocasionales.</w:t>
      </w:r>
    </w:p>
    <w:p w14:paraId="57A55C8C" w14:textId="77777777" w:rsidR="00AB56FE" w:rsidRPr="00801FAD" w:rsidRDefault="00AB56FE" w:rsidP="00085288">
      <w:pPr>
        <w:spacing w:after="0" w:line="360" w:lineRule="auto"/>
        <w:jc w:val="both"/>
        <w:rPr>
          <w:rFonts w:eastAsia="Times New Roman" w:cs="Times New Roman"/>
          <w:b/>
          <w:bCs/>
          <w:sz w:val="32"/>
          <w:szCs w:val="32"/>
          <w:lang w:eastAsia="es-CO"/>
        </w:rPr>
      </w:pPr>
      <w:r w:rsidRPr="00801FAD">
        <w:rPr>
          <w:rFonts w:eastAsia="Times New Roman" w:cs="Times New Roman"/>
          <w:b/>
          <w:bCs/>
          <w:sz w:val="32"/>
          <w:szCs w:val="32"/>
          <w:lang w:eastAsia="es-CO"/>
        </w:rPr>
        <w:t> </w:t>
      </w:r>
    </w:p>
    <w:p w14:paraId="7DDC517B"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lastRenderedPageBreak/>
        <w:t>Por lo explicado se revoca el Concepto 028286 de 6 de abril de 2001 y se ordena la publicación del presente concepto.</w:t>
      </w:r>
    </w:p>
    <w:p w14:paraId="082EC7BC"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 </w:t>
      </w:r>
    </w:p>
    <w:p w14:paraId="05B12814"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Atentamente,</w:t>
      </w:r>
    </w:p>
    <w:p w14:paraId="6E847A3D" w14:textId="7D32F0DF"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La Directora de Gestión Jurídica,</w:t>
      </w:r>
    </w:p>
    <w:p w14:paraId="5642F791" w14:textId="57475B9F"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i/>
          <w:iCs/>
          <w:szCs w:val="24"/>
          <w:lang w:eastAsia="es-CO"/>
        </w:rPr>
        <w:t>Liliana Andrea Forero Gómez,</w:t>
      </w:r>
    </w:p>
    <w:p w14:paraId="6220604C" w14:textId="77777777" w:rsidR="00AB56FE" w:rsidRPr="00AB56FE" w:rsidRDefault="00AB56FE" w:rsidP="00085288">
      <w:pPr>
        <w:spacing w:after="0" w:line="360" w:lineRule="auto"/>
        <w:jc w:val="both"/>
        <w:rPr>
          <w:rFonts w:eastAsia="Times New Roman" w:cs="Times New Roman"/>
          <w:szCs w:val="24"/>
          <w:lang w:eastAsia="es-CO"/>
        </w:rPr>
      </w:pPr>
      <w:r w:rsidRPr="00AB56FE">
        <w:rPr>
          <w:rFonts w:eastAsia="Times New Roman" w:cs="Times New Roman"/>
          <w:szCs w:val="24"/>
          <w:lang w:eastAsia="es-CO"/>
        </w:rPr>
        <w:t>Dirección de Gestión Jurídica UAE – DIAN</w:t>
      </w:r>
    </w:p>
    <w:p w14:paraId="1B80169A" w14:textId="11A4280D" w:rsidR="00AB56FE" w:rsidRPr="00AB56FE" w:rsidRDefault="00AB56FE" w:rsidP="00801FAD">
      <w:pPr>
        <w:spacing w:after="0" w:line="360" w:lineRule="auto"/>
        <w:jc w:val="both"/>
        <w:rPr>
          <w:rFonts w:eastAsia="Times New Roman" w:cs="Times New Roman"/>
          <w:szCs w:val="24"/>
          <w:lang w:eastAsia="es-CO"/>
        </w:rPr>
      </w:pPr>
      <w:r w:rsidRPr="00AB56FE">
        <w:rPr>
          <w:rFonts w:eastAsia="Times New Roman" w:cs="Times New Roman"/>
          <w:b/>
          <w:bCs/>
          <w:szCs w:val="24"/>
          <w:lang w:eastAsia="es-CO"/>
        </w:rPr>
        <w:t>Publicado en D.O. 50.927 del 15 de abril de 2019.</w:t>
      </w:r>
    </w:p>
    <w:p w14:paraId="1BEFC81F" w14:textId="77777777" w:rsidR="00730617" w:rsidRPr="00AB56FE" w:rsidRDefault="00730617" w:rsidP="00085288">
      <w:pPr>
        <w:spacing w:line="360" w:lineRule="auto"/>
        <w:jc w:val="both"/>
        <w:rPr>
          <w:rFonts w:cs="Times New Roman"/>
          <w:szCs w:val="24"/>
        </w:rPr>
      </w:pPr>
    </w:p>
    <w:sectPr w:rsidR="00730617" w:rsidRPr="00AB56F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FE"/>
    <w:rsid w:val="00085288"/>
    <w:rsid w:val="00730617"/>
    <w:rsid w:val="00801FAD"/>
    <w:rsid w:val="00A45230"/>
    <w:rsid w:val="00AB56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2EBC"/>
  <w15:chartTrackingRefBased/>
  <w15:docId w15:val="{95BFCF12-7019-4F87-91D5-DCA7EA2E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80" TargetMode="External"/><Relationship Id="rId13" Type="http://schemas.openxmlformats.org/officeDocument/2006/relationships/hyperlink" Target="https://www.ceta.org.co/html/vista_de_un_articulo.asp?Norma=348" TargetMode="External"/><Relationship Id="rId18" Type="http://schemas.openxmlformats.org/officeDocument/2006/relationships/hyperlink" Target="https://www.ceta.org.co/html/vista_de_un_articulo.asp?Norma=37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79" TargetMode="External"/><Relationship Id="rId12" Type="http://schemas.openxmlformats.org/officeDocument/2006/relationships/hyperlink" Target="https://www.ceta.org.co/html/vista_de_un_articulo.asp?Norma=347" TargetMode="External"/><Relationship Id="rId17" Type="http://schemas.openxmlformats.org/officeDocument/2006/relationships/hyperlink" Target="https://www.ceta.org.co/html/vista_de_un_articulo.asp?Norma=134" TargetMode="External"/><Relationship Id="rId2" Type="http://schemas.openxmlformats.org/officeDocument/2006/relationships/settings" Target="settings.xml"/><Relationship Id="rId16" Type="http://schemas.openxmlformats.org/officeDocument/2006/relationships/hyperlink" Target="https://www.ceta.org.co/html/vista_de_un_articulo.asp?Norma=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380" TargetMode="External"/><Relationship Id="rId11" Type="http://schemas.openxmlformats.org/officeDocument/2006/relationships/hyperlink" Target="https://www.ceta.org.co/html/vista_de_un_articulo.asp?Norma=346" TargetMode="External"/><Relationship Id="rId5" Type="http://schemas.openxmlformats.org/officeDocument/2006/relationships/hyperlink" Target="https://www.ceta.org.co/html/vista_de_un_articulo.asp?Norma=379" TargetMode="External"/><Relationship Id="rId15" Type="http://schemas.openxmlformats.org/officeDocument/2006/relationships/hyperlink" Target="https://www.ceta.org.co/html/vista_de_un_articulo.asp?Norma=134" TargetMode="External"/><Relationship Id="rId10" Type="http://schemas.openxmlformats.org/officeDocument/2006/relationships/hyperlink" Target="https://www.ceta.org.co/html/vista_de_un_articulo.asp?Norma=349" TargetMode="External"/><Relationship Id="rId19" Type="http://schemas.openxmlformats.org/officeDocument/2006/relationships/fontTable" Target="fontTable.xml"/><Relationship Id="rId4" Type="http://schemas.openxmlformats.org/officeDocument/2006/relationships/hyperlink" Target="https://www.ceta.org.co/html/vista_de_un_articulo.asp?Norma=134" TargetMode="External"/><Relationship Id="rId9" Type="http://schemas.openxmlformats.org/officeDocument/2006/relationships/hyperlink" Target="https://www.ceta.org.co/html/vista_de_un_articulo.asp?Norma=379" TargetMode="External"/><Relationship Id="rId14" Type="http://schemas.openxmlformats.org/officeDocument/2006/relationships/hyperlink" Target="https://www.ceta.org.co/html/vista_de_un_articulo.asp?Norma=3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2766</Words>
  <Characters>15217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3</cp:revision>
  <dcterms:created xsi:type="dcterms:W3CDTF">2023-04-03T15:09:00Z</dcterms:created>
  <dcterms:modified xsi:type="dcterms:W3CDTF">2023-04-03T15:12:00Z</dcterms:modified>
</cp:coreProperties>
</file>