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Spacing w:w="0" w:type="dxa"/>
        <w:tblCellMar>
          <w:left w:w="0" w:type="dxa"/>
          <w:right w:w="0" w:type="dxa"/>
        </w:tblCellMar>
        <w:tblLook w:val="04A0" w:firstRow="1" w:lastRow="0" w:firstColumn="1" w:lastColumn="0" w:noHBand="0" w:noVBand="1"/>
      </w:tblPr>
      <w:tblGrid>
        <w:gridCol w:w="9356"/>
      </w:tblGrid>
      <w:tr w:rsidR="00595427" w:rsidRPr="00595427" w14:paraId="68045520" w14:textId="77777777" w:rsidTr="00595427">
        <w:trPr>
          <w:tblCellSpacing w:w="0" w:type="dxa"/>
        </w:trPr>
        <w:tc>
          <w:tcPr>
            <w:tcW w:w="14355" w:type="dxa"/>
            <w:hideMark/>
          </w:tcPr>
          <w:tbl>
            <w:tblPr>
              <w:tblW w:w="14355" w:type="dxa"/>
              <w:tblCellSpacing w:w="0" w:type="dxa"/>
              <w:tblCellMar>
                <w:left w:w="0" w:type="dxa"/>
                <w:right w:w="0" w:type="dxa"/>
              </w:tblCellMar>
              <w:tblLook w:val="04A0" w:firstRow="1" w:lastRow="0" w:firstColumn="1" w:lastColumn="0" w:noHBand="0" w:noVBand="1"/>
            </w:tblPr>
            <w:tblGrid>
              <w:gridCol w:w="9356"/>
            </w:tblGrid>
            <w:tr w:rsidR="00595427" w:rsidRPr="00595427" w14:paraId="731FD65A" w14:textId="77777777">
              <w:trPr>
                <w:tblCellSpacing w:w="0" w:type="dxa"/>
              </w:trPr>
              <w:tc>
                <w:tcPr>
                  <w:tcW w:w="0" w:type="auto"/>
                  <w:tcMar>
                    <w:top w:w="0" w:type="dxa"/>
                    <w:left w:w="600" w:type="dxa"/>
                    <w:bottom w:w="0" w:type="dxa"/>
                    <w:right w:w="0" w:type="dxa"/>
                  </w:tcMar>
                  <w:vAlign w:val="center"/>
                  <w:hideMark/>
                </w:tcPr>
                <w:p w14:paraId="0BE5349B" w14:textId="2F828976" w:rsidR="00595427" w:rsidRPr="00595427" w:rsidRDefault="00595427" w:rsidP="00595427">
                  <w:pPr>
                    <w:spacing w:after="0" w:line="360" w:lineRule="auto"/>
                    <w:jc w:val="both"/>
                    <w:rPr>
                      <w:rFonts w:eastAsia="Times New Roman" w:cs="Times New Roman"/>
                      <w:szCs w:val="24"/>
                      <w:lang w:eastAsia="es-CO"/>
                    </w:rPr>
                  </w:pPr>
                </w:p>
              </w:tc>
            </w:tr>
            <w:tr w:rsidR="00595427" w:rsidRPr="00595427" w14:paraId="453D939F" w14:textId="77777777">
              <w:trPr>
                <w:tblCellSpacing w:w="0" w:type="dxa"/>
              </w:trPr>
              <w:tc>
                <w:tcPr>
                  <w:tcW w:w="0" w:type="auto"/>
                  <w:tcMar>
                    <w:top w:w="30" w:type="dxa"/>
                    <w:left w:w="30" w:type="dxa"/>
                    <w:bottom w:w="30" w:type="dxa"/>
                    <w:right w:w="30" w:type="dxa"/>
                  </w:tcMar>
                  <w:vAlign w:val="center"/>
                  <w:hideMark/>
                </w:tcPr>
                <w:p w14:paraId="490C9D59" w14:textId="77777777" w:rsidR="00595427" w:rsidRDefault="00595427" w:rsidP="00595427">
                  <w:pPr>
                    <w:pStyle w:val="NormalWeb"/>
                    <w:spacing w:before="0" w:beforeAutospacing="0" w:after="0" w:afterAutospacing="0" w:line="360" w:lineRule="auto"/>
                    <w:jc w:val="center"/>
                    <w:rPr>
                      <w:rFonts w:ascii="Segoe UI" w:hAnsi="Segoe UI" w:cs="Segoe UI"/>
                      <w:sz w:val="21"/>
                      <w:szCs w:val="21"/>
                    </w:rPr>
                  </w:pPr>
                  <w:r>
                    <w:rPr>
                      <w:rFonts w:ascii="Segoe UI" w:hAnsi="Segoe UI" w:cs="Segoe UI"/>
                      <w:b/>
                      <w:bCs/>
                      <w:sz w:val="21"/>
                      <w:szCs w:val="21"/>
                    </w:rPr>
                    <w:br/>
                    <w:t xml:space="preserve">OFICIO </w:t>
                  </w:r>
                  <w:proofErr w:type="spellStart"/>
                  <w:r>
                    <w:rPr>
                      <w:rFonts w:ascii="Segoe UI" w:hAnsi="Segoe UI" w:cs="Segoe UI"/>
                      <w:b/>
                      <w:bCs/>
                      <w:sz w:val="21"/>
                      <w:szCs w:val="21"/>
                    </w:rPr>
                    <w:t>Nº</w:t>
                  </w:r>
                  <w:proofErr w:type="spellEnd"/>
                  <w:r>
                    <w:rPr>
                      <w:rFonts w:ascii="Segoe UI" w:hAnsi="Segoe UI" w:cs="Segoe UI"/>
                      <w:b/>
                      <w:bCs/>
                      <w:sz w:val="21"/>
                      <w:szCs w:val="21"/>
                    </w:rPr>
                    <w:t xml:space="preserve"> 50 [000082]</w:t>
                  </w:r>
                </w:p>
                <w:p w14:paraId="03FD36A1" w14:textId="77777777" w:rsidR="00595427" w:rsidRDefault="00595427" w:rsidP="00595427">
                  <w:pPr>
                    <w:pStyle w:val="NormalWeb"/>
                    <w:spacing w:before="0" w:beforeAutospacing="0" w:after="0" w:afterAutospacing="0" w:line="360" w:lineRule="auto"/>
                    <w:jc w:val="center"/>
                    <w:rPr>
                      <w:rFonts w:ascii="Segoe UI" w:hAnsi="Segoe UI" w:cs="Segoe UI"/>
                      <w:sz w:val="21"/>
                      <w:szCs w:val="21"/>
                    </w:rPr>
                  </w:pPr>
                  <w:r>
                    <w:rPr>
                      <w:rFonts w:ascii="Segoe UI" w:hAnsi="Segoe UI" w:cs="Segoe UI"/>
                      <w:b/>
                      <w:bCs/>
                      <w:sz w:val="21"/>
                      <w:szCs w:val="21"/>
                    </w:rPr>
                    <w:t>10-01-2023</w:t>
                  </w:r>
                </w:p>
                <w:p w14:paraId="2425630E" w14:textId="77777777" w:rsidR="00595427" w:rsidRDefault="00595427" w:rsidP="00595427">
                  <w:pPr>
                    <w:pStyle w:val="NormalWeb"/>
                    <w:spacing w:before="0" w:beforeAutospacing="0" w:after="0" w:afterAutospacing="0" w:line="360" w:lineRule="auto"/>
                    <w:jc w:val="center"/>
                    <w:rPr>
                      <w:rFonts w:ascii="Segoe UI" w:hAnsi="Segoe UI" w:cs="Segoe UI"/>
                      <w:sz w:val="21"/>
                      <w:szCs w:val="21"/>
                    </w:rPr>
                  </w:pPr>
                  <w:r>
                    <w:rPr>
                      <w:rFonts w:ascii="Segoe UI" w:hAnsi="Segoe UI" w:cs="Segoe UI"/>
                      <w:b/>
                      <w:bCs/>
                      <w:sz w:val="21"/>
                      <w:szCs w:val="21"/>
                    </w:rPr>
                    <w:t>DIAN</w:t>
                  </w:r>
                </w:p>
                <w:p w14:paraId="4955DC23"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7DEB1290"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3E341513"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100208192-50</w:t>
                  </w:r>
                </w:p>
                <w:p w14:paraId="6F194FFE"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Bogotá, D.C.,</w:t>
                  </w:r>
                </w:p>
                <w:p w14:paraId="391EB82A"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6A8BE485"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b/>
                      <w:bCs/>
                      <w:sz w:val="21"/>
                      <w:szCs w:val="21"/>
                    </w:rPr>
                    <w:t>Ref.:</w:t>
                  </w:r>
                  <w:r>
                    <w:rPr>
                      <w:rFonts w:ascii="Segoe UI" w:hAnsi="Segoe UI" w:cs="Segoe UI"/>
                      <w:sz w:val="21"/>
                      <w:szCs w:val="21"/>
                    </w:rPr>
                    <w:t xml:space="preserve"> Radicado </w:t>
                  </w:r>
                  <w:proofErr w:type="spellStart"/>
                  <w:r>
                    <w:rPr>
                      <w:rFonts w:ascii="Segoe UI" w:hAnsi="Segoe UI" w:cs="Segoe UI"/>
                      <w:sz w:val="21"/>
                      <w:szCs w:val="21"/>
                    </w:rPr>
                    <w:t>N°</w:t>
                  </w:r>
                  <w:proofErr w:type="spellEnd"/>
                  <w:r>
                    <w:rPr>
                      <w:rFonts w:ascii="Segoe UI" w:hAnsi="Segoe UI" w:cs="Segoe UI"/>
                      <w:sz w:val="21"/>
                      <w:szCs w:val="21"/>
                    </w:rPr>
                    <w:t xml:space="preserve"> 001055-100083637 del 25/07/2022</w:t>
                  </w:r>
                </w:p>
                <w:p w14:paraId="13CAA42D"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60090E5D"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b/>
                      <w:bCs/>
                      <w:sz w:val="21"/>
                      <w:szCs w:val="21"/>
                    </w:rPr>
                    <w:t>Tema:</w:t>
                  </w:r>
                  <w:r>
                    <w:rPr>
                      <w:rFonts w:ascii="Segoe UI" w:hAnsi="Segoe UI" w:cs="Segoe UI"/>
                      <w:sz w:val="21"/>
                      <w:szCs w:val="21"/>
                    </w:rPr>
                    <w:t> Retención en la fuente</w:t>
                  </w:r>
                </w:p>
                <w:p w14:paraId="5678F294"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b/>
                      <w:bCs/>
                      <w:sz w:val="21"/>
                      <w:szCs w:val="21"/>
                    </w:rPr>
                    <w:t>Descriptores:</w:t>
                  </w:r>
                  <w:r>
                    <w:rPr>
                      <w:rFonts w:ascii="Segoe UI" w:hAnsi="Segoe UI" w:cs="Segoe UI"/>
                      <w:sz w:val="21"/>
                      <w:szCs w:val="21"/>
                    </w:rPr>
                    <w:t> Retención en la fuente sobre ingresos de tarjetas de crédito y/o débito</w:t>
                  </w:r>
                </w:p>
                <w:p w14:paraId="78FF0E13"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b/>
                      <w:bCs/>
                      <w:sz w:val="21"/>
                      <w:szCs w:val="21"/>
                    </w:rPr>
                    <w:t>Fuentes formales:</w:t>
                  </w:r>
                  <w:r>
                    <w:rPr>
                      <w:rFonts w:ascii="Segoe UI" w:hAnsi="Segoe UI" w:cs="Segoe UI"/>
                      <w:sz w:val="21"/>
                      <w:szCs w:val="21"/>
                    </w:rPr>
                    <w:t> Artículos 1.3.2.1.2. y 1.3.2.1.8. del Decreto 1625 de 2016</w:t>
                  </w:r>
                </w:p>
                <w:p w14:paraId="6BCBE7D6"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0889DD2E"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Cordial saludo,</w:t>
                  </w:r>
                </w:p>
                <w:p w14:paraId="2BF6D87F"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37DC4F1D"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De conformidad con el artículo 56 del Decreto 1742 de 2020, este Despacho está facultado para absolver las consultas escritas generales que se formulen sobre la interpretación y aplicación de las normas tributarias, aduaneras y de fiscalización cambiaria,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19D3D03F"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6DE8CA04"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Mediante el radicado de la referencia, el peticionario consulta si la retención en la fuente sobre ingresos de tarjetas de crédito y/o débito de que tratan los artículos 1.3.2.1.2. y 1.3.2.1.8. del Decreto 1625 de 2016 son aplicables igualmente a las operaciones pagadas por medio de tarjetas débito virtuales.</w:t>
                  </w:r>
                </w:p>
                <w:p w14:paraId="169AE016"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4E935D5F"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Sobre el particular, las consideraciones de este Despacho son las siguientes:</w:t>
                  </w:r>
                </w:p>
                <w:p w14:paraId="0671D3E4"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57DA8527"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El artículo 1.3.2.1.2. del Decreto 1625 de 2016 establece:</w:t>
                  </w:r>
                </w:p>
                <w:p w14:paraId="75331343"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4376F956"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“Artículo 1.3.2.1.2. Otros agentes de retención en la fuente sobre ingresos de tarjetas de crédito y/o débito. Cuando los pagos o abonos en cuenta susceptibles de constituir ingreso tributario </w:t>
                  </w:r>
                  <w:r>
                    <w:rPr>
                      <w:rFonts w:ascii="Segoe UI" w:hAnsi="Segoe UI" w:cs="Segoe UI"/>
                      <w:i/>
                      <w:iCs/>
                      <w:sz w:val="21"/>
                      <w:szCs w:val="21"/>
                      <w:u w:val="single"/>
                    </w:rPr>
                    <w:t xml:space="preserve">a favor de las personas o establecimientos afiliados a los sistemas de tarjetas de crédito o </w:t>
                  </w:r>
                  <w:proofErr w:type="gramStart"/>
                  <w:r>
                    <w:rPr>
                      <w:rFonts w:ascii="Segoe UI" w:hAnsi="Segoe UI" w:cs="Segoe UI"/>
                      <w:i/>
                      <w:iCs/>
                      <w:sz w:val="21"/>
                      <w:szCs w:val="21"/>
                      <w:u w:val="single"/>
                    </w:rPr>
                    <w:t>débito,</w:t>
                  </w:r>
                  <w:proofErr w:type="gramEnd"/>
                  <w:r>
                    <w:rPr>
                      <w:rFonts w:ascii="Segoe UI" w:hAnsi="Segoe UI" w:cs="Segoe UI"/>
                      <w:i/>
                      <w:iCs/>
                      <w:sz w:val="21"/>
                      <w:szCs w:val="21"/>
                      <w:u w:val="single"/>
                    </w:rPr>
                    <w:t xml:space="preserve"> se realicen por intermedio de las entidades adquirentes o pagadoras,</w:t>
                  </w:r>
                  <w:r>
                    <w:rPr>
                      <w:rFonts w:ascii="Segoe UI" w:hAnsi="Segoe UI" w:cs="Segoe UI"/>
                      <w:i/>
                      <w:iCs/>
                      <w:sz w:val="21"/>
                      <w:szCs w:val="21"/>
                    </w:rPr>
                    <w:t xml:space="preserve"> la retención en la fuente deberá ser practicada </w:t>
                  </w:r>
                  <w:r>
                    <w:rPr>
                      <w:rFonts w:ascii="Segoe UI" w:hAnsi="Segoe UI" w:cs="Segoe UI"/>
                      <w:i/>
                      <w:iCs/>
                      <w:sz w:val="21"/>
                      <w:szCs w:val="21"/>
                    </w:rPr>
                    <w:lastRenderedPageBreak/>
                    <w:t>por dichas entidades conforme a la tarifa, base, y demás condiciones previstas por el artículo 1.3.2.1.8. del presente decreto.” </w:t>
                  </w:r>
                  <w:r>
                    <w:rPr>
                      <w:rFonts w:ascii="Segoe UI" w:hAnsi="Segoe UI" w:cs="Segoe UI"/>
                      <w:sz w:val="21"/>
                      <w:szCs w:val="21"/>
                    </w:rPr>
                    <w:t>(subrayado fuera de texto)</w:t>
                  </w:r>
                </w:p>
                <w:p w14:paraId="464825CB"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58DEB682"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En concordancia con lo anterior, el artículo 1.3.2.1.8. </w:t>
                  </w:r>
                  <w:r>
                    <w:rPr>
                      <w:rFonts w:ascii="Segoe UI" w:hAnsi="Segoe UI" w:cs="Segoe UI"/>
                      <w:i/>
                      <w:iCs/>
                      <w:sz w:val="21"/>
                      <w:szCs w:val="21"/>
                    </w:rPr>
                    <w:t>ibidem</w:t>
                  </w:r>
                  <w:r>
                    <w:rPr>
                      <w:rFonts w:ascii="Segoe UI" w:hAnsi="Segoe UI" w:cs="Segoe UI"/>
                      <w:sz w:val="21"/>
                      <w:szCs w:val="21"/>
                    </w:rPr>
                    <w:t> señala:</w:t>
                  </w:r>
                </w:p>
                <w:p w14:paraId="730C8A4A"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43223CC2"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“Artículo 1.3.2.1.8. Retención en la fuente sobre ingresos de tarjetas de crédito y/o débito. Los pagos o abonos en cuenta susceptibles de constituir ingreso tributario para los contribuyentes del impuesto sobre la renta, por concepto de ventas de bienes o servicios </w:t>
                  </w:r>
                  <w:r>
                    <w:rPr>
                      <w:rFonts w:ascii="Segoe UI" w:hAnsi="Segoe UI" w:cs="Segoe UI"/>
                      <w:i/>
                      <w:iCs/>
                      <w:sz w:val="21"/>
                      <w:szCs w:val="21"/>
                      <w:u w:val="single"/>
                    </w:rPr>
                    <w:t>realizadas a través de los sistemas de tarjetas de crédito y/o débito,</w:t>
                  </w:r>
                  <w:r>
                    <w:rPr>
                      <w:rFonts w:ascii="Segoe UI" w:hAnsi="Segoe UI" w:cs="Segoe UI"/>
                      <w:i/>
                      <w:iCs/>
                      <w:sz w:val="21"/>
                      <w:szCs w:val="21"/>
                    </w:rPr>
                    <w:t> están sometidos a retención en la fuente a la tarifa del uno punto cinco por ciento (1.5%).</w:t>
                  </w:r>
                </w:p>
                <w:p w14:paraId="1381AC55"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sz w:val="21"/>
                      <w:szCs w:val="21"/>
                    </w:rPr>
                    <w:t> </w:t>
                  </w:r>
                </w:p>
                <w:p w14:paraId="70BCE1CA"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w:t>
                  </w:r>
                  <w:r>
                    <w:rPr>
                      <w:rFonts w:ascii="Segoe UI" w:hAnsi="Segoe UI" w:cs="Segoe UI"/>
                      <w:sz w:val="21"/>
                      <w:szCs w:val="21"/>
                    </w:rPr>
                    <w:t> (subrayado fuera de texto)</w:t>
                  </w:r>
                </w:p>
                <w:p w14:paraId="192EE2F8"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36C5FCD1"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Ahora bien, esta Subdirección elevó consulta a la Superintendencia Financiera de Colombia respecto de la definición, tratamiento y modalidades de las tarjetas débito virtuales, la cual, mediante Oficio No. 2022161183-004-000 del 7 de diciembre de 2022, indicó:</w:t>
                  </w:r>
                </w:p>
                <w:p w14:paraId="6480A4A8"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3639ACDB"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 las expresiones “tarjeta débito”, “tarjeta débito virtual” y “tarjeta débito digital” no se encuentran definidas en la normatividad financiera. Es de anotar que, estas corresponden a instrumentos asociados a un producto de depósito a la vista, que bien puede ser una cuenta de ahorros, una cuenta corriente, o un depósito de bajo monto u ordinario, mediante los cuales los titulares imparten órdenes de pago para disponer de sus recursos a través de los sistemas electrónicos de cajeros automáticos o por vía de las redes de pago del comercio para la adquisición de bienes o servicios.</w:t>
                  </w:r>
                </w:p>
                <w:p w14:paraId="5DA90FA5"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sz w:val="21"/>
                      <w:szCs w:val="21"/>
                    </w:rPr>
                    <w:t> </w:t>
                  </w:r>
                </w:p>
                <w:p w14:paraId="39CA0EB9"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w:t>
                  </w:r>
                </w:p>
                <w:p w14:paraId="17A3AA9F"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sz w:val="21"/>
                      <w:szCs w:val="21"/>
                    </w:rPr>
                    <w:t> </w:t>
                  </w:r>
                </w:p>
                <w:p w14:paraId="7CD56050"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Según se reporta en informes de la industria de medios de pago, </w:t>
                  </w:r>
                  <w:r>
                    <w:rPr>
                      <w:rFonts w:ascii="Segoe UI" w:hAnsi="Segoe UI" w:cs="Segoe UI"/>
                      <w:i/>
                      <w:iCs/>
                      <w:sz w:val="21"/>
                      <w:szCs w:val="21"/>
                      <w:u w:val="single"/>
                    </w:rPr>
                    <w:t>ante el surgimiento de las nuevas tecnologías, los instrumentos de pago, incluidas las tarjetas, han estado sometidos a un proceso de desmaterialización, en el cual se “abandona gradualmente el uso de medios físicos</w:t>
                  </w:r>
                  <w:r>
                    <w:rPr>
                      <w:rFonts w:ascii="Segoe UI" w:hAnsi="Segoe UI" w:cs="Segoe UI"/>
                      <w:i/>
                      <w:iCs/>
                      <w:sz w:val="21"/>
                      <w:szCs w:val="21"/>
                    </w:rPr>
                    <w:t> (</w:t>
                  </w:r>
                  <w:proofErr w:type="spellStart"/>
                  <w:r>
                    <w:rPr>
                      <w:rFonts w:ascii="Segoe UI" w:hAnsi="Segoe UI" w:cs="Segoe UI"/>
                      <w:i/>
                      <w:iCs/>
                      <w:sz w:val="21"/>
                      <w:szCs w:val="21"/>
                    </w:rPr>
                    <w:t>p.e</w:t>
                  </w:r>
                  <w:proofErr w:type="spellEnd"/>
                  <w:r>
                    <w:rPr>
                      <w:rFonts w:ascii="Segoe UI" w:hAnsi="Segoe UI" w:cs="Segoe UI"/>
                      <w:i/>
                      <w:iCs/>
                      <w:sz w:val="21"/>
                      <w:szCs w:val="21"/>
                    </w:rPr>
                    <w:t>. billetes y monedas, cheques y tarjeta) hacia otros soportes, el más inmediato el Smartphone, pero en un futuro cualquier dispositivo conectado podrá iniciar pagos de forma remota e incluso autónoma.</w:t>
                  </w:r>
                </w:p>
                <w:p w14:paraId="20DCD300"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sz w:val="21"/>
                      <w:szCs w:val="21"/>
                    </w:rPr>
                    <w:t> </w:t>
                  </w:r>
                </w:p>
                <w:p w14:paraId="52977D3E"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w:t>
                  </w:r>
                </w:p>
                <w:p w14:paraId="18AC8FFD"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sz w:val="21"/>
                      <w:szCs w:val="21"/>
                    </w:rPr>
                    <w:t> </w:t>
                  </w:r>
                </w:p>
                <w:p w14:paraId="2F1C95EF"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En línea con lo expuesto, se tiene que las tarjetas débito virtuales hoy en día son ofrecidas a sus titulares como instrumentos para el manejo de los depósitos a la vista con la particular de </w:t>
                  </w:r>
                  <w:r>
                    <w:rPr>
                      <w:rFonts w:ascii="Segoe UI" w:hAnsi="Segoe UI" w:cs="Segoe UI"/>
                      <w:i/>
                      <w:iCs/>
                      <w:sz w:val="21"/>
                      <w:szCs w:val="21"/>
                      <w:u w:val="single"/>
                    </w:rPr>
                    <w:t>no encontrarse soportadas en un medio físico como el plástico, sino en un mecanismo virtual,</w:t>
                  </w:r>
                  <w:r>
                    <w:rPr>
                      <w:rFonts w:ascii="Segoe UI" w:hAnsi="Segoe UI" w:cs="Segoe UI"/>
                      <w:i/>
                      <w:iCs/>
                      <w:sz w:val="21"/>
                      <w:szCs w:val="21"/>
                    </w:rPr>
                    <w:t> como por ejemplo aplicaciones móviles, o cualquier otro según el que disponga la entidad emisora de estas.</w:t>
                  </w:r>
                </w:p>
                <w:p w14:paraId="76B0AE10"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sz w:val="21"/>
                      <w:szCs w:val="21"/>
                    </w:rPr>
                    <w:t> </w:t>
                  </w:r>
                </w:p>
                <w:p w14:paraId="73129D83"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lastRenderedPageBreak/>
                    <w:t>De tal manera, </w:t>
                  </w:r>
                  <w:r>
                    <w:rPr>
                      <w:rFonts w:ascii="Segoe UI" w:hAnsi="Segoe UI" w:cs="Segoe UI"/>
                      <w:i/>
                      <w:iCs/>
                      <w:sz w:val="21"/>
                      <w:szCs w:val="21"/>
                      <w:u w:val="single"/>
                    </w:rPr>
                    <w:t>la tarjeta débito, sea que se encuentre en forma virtual o en plástico, permite la disposición de los recursos a través de su retiro o mediante la satisfacción de una obligación económica de pago</w:t>
                  </w:r>
                  <w:r>
                    <w:rPr>
                      <w:rFonts w:ascii="Segoe UI" w:hAnsi="Segoe UI" w:cs="Segoe UI"/>
                      <w:i/>
                      <w:iCs/>
                      <w:sz w:val="21"/>
                      <w:szCs w:val="21"/>
                    </w:rPr>
                    <w:t> que surge como contraprestación en los negocios de cambio de cosas por dinero.”</w:t>
                  </w:r>
                  <w:r>
                    <w:rPr>
                      <w:rFonts w:ascii="Segoe UI" w:hAnsi="Segoe UI" w:cs="Segoe UI"/>
                      <w:sz w:val="21"/>
                      <w:szCs w:val="21"/>
                    </w:rPr>
                    <w:t> (subrayado fuera de texto)</w:t>
                  </w:r>
                </w:p>
                <w:p w14:paraId="2C31949D"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051F25C7"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De lo anterior, se encuentra que el concepto de “tarjetas débito” -de que tratan los artículos 1.3.2.1.2, y 1.3.2.1.8. del Decreto 1625 de 2016- debe ser interpretado en un </w:t>
                  </w:r>
                  <w:r>
                    <w:rPr>
                      <w:rFonts w:ascii="Segoe UI" w:hAnsi="Segoe UI" w:cs="Segoe UI"/>
                      <w:sz w:val="21"/>
                      <w:szCs w:val="21"/>
                      <w:u w:val="single"/>
                    </w:rPr>
                    <w:t>sentido amplio</w:t>
                  </w:r>
                  <w:r>
                    <w:rPr>
                      <w:rFonts w:ascii="Segoe UI" w:hAnsi="Segoe UI" w:cs="Segoe UI"/>
                      <w:sz w:val="21"/>
                      <w:szCs w:val="21"/>
                    </w:rPr>
                    <w:t>, toda vez que, producto de las nuevas tecnologías y la desmaterialización de los medios de pago (como lo señala la propia Superintendencia Financiera de Colombia) este ahora comprende tanto las tarjetas débito físicas (plástico) como las virtuales. Así, cualquiera que sea su modalidad, se entiende que, las tarjetas débito son instrumentos de pago asociados a un producto de depósito a la vista, mediante los cuales los titulares disponen de sus recursos para la adquisición de bienes o servicios.</w:t>
                  </w:r>
                </w:p>
                <w:p w14:paraId="16F8F57F"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67EED76F"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Por ende, para efectos de lo consultado, la retención de que tratan las referidas disposiciones también es exigible cuando se efectúen pagos o abonos en cuenta a través de tarjetas débito virtuales.</w:t>
                  </w:r>
                </w:p>
                <w:p w14:paraId="50CBB668"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3221A200"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Finalmente, se pone de presente lo señalado en el Oficio No. 025079 del 10 de septiembre de 2018:</w:t>
                  </w:r>
                </w:p>
                <w:p w14:paraId="4F50BB42"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672CA3F9" w14:textId="77777777" w:rsidR="00595427" w:rsidRDefault="00595427" w:rsidP="00595427">
                  <w:pPr>
                    <w:pStyle w:val="NormalWeb"/>
                    <w:spacing w:before="0" w:beforeAutospacing="0" w:after="0" w:afterAutospacing="0" w:line="360" w:lineRule="auto"/>
                    <w:ind w:left="284"/>
                    <w:jc w:val="both"/>
                    <w:rPr>
                      <w:rFonts w:ascii="Segoe UI" w:hAnsi="Segoe UI" w:cs="Segoe UI"/>
                      <w:sz w:val="21"/>
                      <w:szCs w:val="21"/>
                    </w:rPr>
                  </w:pPr>
                  <w:r>
                    <w:rPr>
                      <w:rFonts w:ascii="Segoe UI" w:hAnsi="Segoe UI" w:cs="Segoe UI"/>
                      <w:i/>
                      <w:iCs/>
                      <w:sz w:val="21"/>
                      <w:szCs w:val="21"/>
                    </w:rPr>
                    <w:t>“(...) teniendo en cuenta que la normativa vigente y los decretos reglamentarios no establecen un tratamiento diferenciado, los pagos o abonos en cuenta por concepto de ventas de bienes o servicios realizadas a través de los sistemas de tarjetas crédito y/o débito, están sometidos a retención en la fuente a la tarifa del 1.5%, </w:t>
                  </w:r>
                  <w:r>
                    <w:rPr>
                      <w:rFonts w:ascii="Segoe UI" w:hAnsi="Segoe UI" w:cs="Segoe UI"/>
                      <w:i/>
                      <w:iCs/>
                      <w:sz w:val="21"/>
                      <w:szCs w:val="21"/>
                      <w:u w:val="single"/>
                    </w:rPr>
                    <w:t>aun cuando se hagan a través de plataformas de pago</w:t>
                  </w:r>
                  <w:r>
                    <w:rPr>
                      <w:rFonts w:ascii="Segoe UI" w:hAnsi="Segoe UI" w:cs="Segoe UI"/>
                      <w:i/>
                      <w:iCs/>
                      <w:sz w:val="21"/>
                      <w:szCs w:val="21"/>
                    </w:rPr>
                    <w:t xml:space="preserve">. De igual manera, la retención aplicable a esta </w:t>
                  </w:r>
                  <w:proofErr w:type="gramStart"/>
                  <w:r>
                    <w:rPr>
                      <w:rFonts w:ascii="Segoe UI" w:hAnsi="Segoe UI" w:cs="Segoe UI"/>
                      <w:i/>
                      <w:iCs/>
                      <w:sz w:val="21"/>
                      <w:szCs w:val="21"/>
                    </w:rPr>
                    <w:t>operación,</w:t>
                  </w:r>
                  <w:proofErr w:type="gramEnd"/>
                  <w:r>
                    <w:rPr>
                      <w:rFonts w:ascii="Segoe UI" w:hAnsi="Segoe UI" w:cs="Segoe UI"/>
                      <w:i/>
                      <w:iCs/>
                      <w:sz w:val="21"/>
                      <w:szCs w:val="21"/>
                    </w:rPr>
                    <w:t> </w:t>
                  </w:r>
                  <w:r>
                    <w:rPr>
                      <w:rFonts w:ascii="Segoe UI" w:hAnsi="Segoe UI" w:cs="Segoe UI"/>
                      <w:i/>
                      <w:iCs/>
                      <w:sz w:val="21"/>
                      <w:szCs w:val="21"/>
                      <w:u w:val="single"/>
                    </w:rPr>
                    <w:t>tampoco exime de retención en la fuente que debe realizar el pagador en los términos del </w:t>
                  </w:r>
                  <w:hyperlink r:id="rId4" w:tooltip="Estatuto Tributario CETA" w:history="1">
                    <w:r>
                      <w:rPr>
                        <w:rStyle w:val="Hipervnculo"/>
                        <w:rFonts w:ascii="Segoe UI" w:hAnsi="Segoe UI" w:cs="Segoe UI"/>
                        <w:i/>
                        <w:iCs/>
                        <w:color w:val="0645AD"/>
                        <w:sz w:val="21"/>
                        <w:szCs w:val="21"/>
                      </w:rPr>
                      <w:t>artículo 368</w:t>
                    </w:r>
                  </w:hyperlink>
                  <w:r>
                    <w:rPr>
                      <w:rFonts w:ascii="Segoe UI" w:hAnsi="Segoe UI" w:cs="Segoe UI"/>
                      <w:i/>
                      <w:iCs/>
                      <w:sz w:val="21"/>
                      <w:szCs w:val="21"/>
                      <w:u w:val="single"/>
                    </w:rPr>
                    <w:t> del Estatuto Tributario</w:t>
                  </w:r>
                  <w:r>
                    <w:rPr>
                      <w:rFonts w:ascii="Segoe UI" w:hAnsi="Segoe UI" w:cs="Segoe UI"/>
                      <w:i/>
                      <w:iCs/>
                      <w:sz w:val="21"/>
                      <w:szCs w:val="21"/>
                    </w:rPr>
                    <w:t>. Esto, teniendo en cuenta que no existe una norma que establezca que aplica una u otra retención y, adicionalmente, son hechos distintos sobre los cuales aplica la retención en la fuente respectiva en cada uno.”</w:t>
                  </w:r>
                  <w:r>
                    <w:rPr>
                      <w:rFonts w:ascii="Segoe UI" w:hAnsi="Segoe UI" w:cs="Segoe UI"/>
                      <w:sz w:val="21"/>
                      <w:szCs w:val="21"/>
                    </w:rPr>
                    <w:t> (subrayado fuera de texto)</w:t>
                  </w:r>
                </w:p>
                <w:p w14:paraId="369B6EDC" w14:textId="77777777" w:rsidR="00595427" w:rsidRDefault="00595427" w:rsidP="00595427">
                  <w:pPr>
                    <w:pStyle w:val="NormalWeb"/>
                    <w:spacing w:before="0" w:beforeAutospacing="0" w:after="0" w:afterAutospacing="0" w:line="360" w:lineRule="auto"/>
                    <w:jc w:val="both"/>
                    <w:rPr>
                      <w:rFonts w:ascii="Segoe UI" w:hAnsi="Segoe UI" w:cs="Segoe UI"/>
                      <w:sz w:val="21"/>
                      <w:szCs w:val="21"/>
                    </w:rPr>
                  </w:pPr>
                  <w:r>
                    <w:rPr>
                      <w:rFonts w:ascii="Segoe UI" w:hAnsi="Segoe UI" w:cs="Segoe UI"/>
                      <w:sz w:val="21"/>
                      <w:szCs w:val="21"/>
                    </w:rPr>
                    <w:t> </w:t>
                  </w:r>
                </w:p>
                <w:p w14:paraId="4BFA74CC" w14:textId="77777777" w:rsidR="00595427" w:rsidRDefault="00595427" w:rsidP="00595427">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Atentamente,</w:t>
                  </w:r>
                </w:p>
                <w:p w14:paraId="625F88E7" w14:textId="77777777" w:rsidR="00595427" w:rsidRDefault="00595427" w:rsidP="00595427">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0613FB1C" w14:textId="77777777" w:rsidR="00595427" w:rsidRDefault="00595427" w:rsidP="00595427">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 </w:t>
                  </w:r>
                </w:p>
                <w:p w14:paraId="479517F2" w14:textId="77777777" w:rsidR="00595427" w:rsidRDefault="00595427" w:rsidP="00595427">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b/>
                      <w:bCs/>
                      <w:color w:val="000000"/>
                      <w:sz w:val="21"/>
                      <w:szCs w:val="21"/>
                    </w:rPr>
                    <w:t>ALFREDO RAMÍREZ CASTAÑEDA</w:t>
                  </w:r>
                </w:p>
                <w:p w14:paraId="3DC47049" w14:textId="77777777" w:rsidR="00595427" w:rsidRDefault="00595427" w:rsidP="00595427">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Subdirector de Normativa y Doctrina (E)</w:t>
                  </w:r>
                </w:p>
                <w:p w14:paraId="34148466" w14:textId="77777777" w:rsidR="00595427" w:rsidRDefault="00595427" w:rsidP="00595427">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Dirección de Gestión Jurídica</w:t>
                  </w:r>
                </w:p>
                <w:p w14:paraId="12281BC4" w14:textId="77777777" w:rsidR="00595427" w:rsidRDefault="00595427" w:rsidP="00595427">
                  <w:pPr>
                    <w:pStyle w:val="NormalWeb"/>
                    <w:spacing w:before="0" w:beforeAutospacing="0" w:after="0" w:afterAutospacing="0" w:line="360" w:lineRule="auto"/>
                    <w:jc w:val="both"/>
                    <w:rPr>
                      <w:rFonts w:ascii="Segoe UI" w:hAnsi="Segoe UI" w:cs="Segoe UI"/>
                      <w:color w:val="000000"/>
                      <w:sz w:val="21"/>
                      <w:szCs w:val="21"/>
                    </w:rPr>
                  </w:pPr>
                  <w:r>
                    <w:rPr>
                      <w:rFonts w:ascii="Segoe UI" w:hAnsi="Segoe UI" w:cs="Segoe UI"/>
                      <w:color w:val="000000"/>
                      <w:sz w:val="21"/>
                      <w:szCs w:val="21"/>
                    </w:rPr>
                    <w:t>UAE-Dirección de Impuestos y Aduanas Nacionales</w:t>
                  </w:r>
                </w:p>
                <w:p w14:paraId="0EC7AD60" w14:textId="77777777" w:rsidR="00595427" w:rsidRDefault="00595427" w:rsidP="00595427">
                  <w:pPr>
                    <w:spacing w:line="360" w:lineRule="auto"/>
                    <w:jc w:val="both"/>
                  </w:pPr>
                </w:p>
                <w:tbl>
                  <w:tblPr>
                    <w:tblpPr w:leftFromText="45" w:rightFromText="45" w:vertAnchor="text"/>
                    <w:tblW w:w="14355" w:type="dxa"/>
                    <w:tblCellSpacing w:w="0" w:type="dxa"/>
                    <w:tblCellMar>
                      <w:left w:w="0" w:type="dxa"/>
                      <w:right w:w="0" w:type="dxa"/>
                    </w:tblCellMar>
                    <w:tblLook w:val="04A0" w:firstRow="1" w:lastRow="0" w:firstColumn="1" w:lastColumn="0" w:noHBand="0" w:noVBand="1"/>
                  </w:tblPr>
                  <w:tblGrid>
                    <w:gridCol w:w="14355"/>
                  </w:tblGrid>
                  <w:tr w:rsidR="00595427" w:rsidRPr="00595427" w14:paraId="6CECBCC2" w14:textId="77777777">
                    <w:trPr>
                      <w:tblCellSpacing w:w="0" w:type="dxa"/>
                    </w:trPr>
                    <w:tc>
                      <w:tcPr>
                        <w:tcW w:w="0" w:type="auto"/>
                        <w:vAlign w:val="center"/>
                        <w:hideMark/>
                      </w:tcPr>
                      <w:p w14:paraId="48703D5F" w14:textId="77777777" w:rsidR="00595427" w:rsidRDefault="00595427" w:rsidP="00595427">
                        <w:pPr>
                          <w:spacing w:line="360" w:lineRule="auto"/>
                          <w:jc w:val="both"/>
                        </w:pPr>
                      </w:p>
                      <w:tbl>
                        <w:tblPr>
                          <w:tblW w:w="5000" w:type="pct"/>
                          <w:tblCellSpacing w:w="0" w:type="dxa"/>
                          <w:tblCellMar>
                            <w:top w:w="24" w:type="dxa"/>
                            <w:left w:w="24" w:type="dxa"/>
                            <w:bottom w:w="24" w:type="dxa"/>
                            <w:right w:w="24" w:type="dxa"/>
                          </w:tblCellMar>
                          <w:tblLook w:val="04A0" w:firstRow="1" w:lastRow="0" w:firstColumn="1" w:lastColumn="0" w:noHBand="0" w:noVBand="1"/>
                        </w:tblPr>
                        <w:tblGrid>
                          <w:gridCol w:w="3931"/>
                          <w:gridCol w:w="7864"/>
                          <w:gridCol w:w="2560"/>
                        </w:tblGrid>
                        <w:tr w:rsidR="00595427" w:rsidRPr="00595427" w14:paraId="62F02E58" w14:textId="77777777">
                          <w:trPr>
                            <w:tblCellSpacing w:w="0" w:type="dxa"/>
                          </w:trPr>
                          <w:tc>
                            <w:tcPr>
                              <w:tcW w:w="0" w:type="auto"/>
                              <w:tcBorders>
                                <w:bottom w:val="dotted" w:sz="6" w:space="0" w:color="C0C0C0"/>
                              </w:tcBorders>
                              <w:tcMar>
                                <w:top w:w="30" w:type="dxa"/>
                                <w:left w:w="30" w:type="dxa"/>
                                <w:bottom w:w="30" w:type="dxa"/>
                                <w:right w:w="30" w:type="dxa"/>
                              </w:tcMar>
                              <w:vAlign w:val="center"/>
                              <w:hideMark/>
                            </w:tcPr>
                            <w:p w14:paraId="276F35CE" w14:textId="77777777" w:rsidR="00595427" w:rsidRPr="00595427" w:rsidRDefault="00595427" w:rsidP="00595427">
                              <w:pPr>
                                <w:spacing w:after="0" w:line="360" w:lineRule="auto"/>
                                <w:jc w:val="both"/>
                                <w:rPr>
                                  <w:rFonts w:ascii="Segoe UI" w:eastAsia="Times New Roman" w:hAnsi="Segoe UI" w:cs="Segoe UI"/>
                                  <w:sz w:val="21"/>
                                  <w:szCs w:val="21"/>
                                  <w:lang w:eastAsia="es-CO"/>
                                </w:rPr>
                              </w:pPr>
                              <w:r w:rsidRPr="00595427">
                                <w:rPr>
                                  <w:rFonts w:ascii="Segoe UI" w:eastAsia="Times New Roman" w:hAnsi="Segoe UI" w:cs="Segoe UI"/>
                                  <w:b/>
                                  <w:bCs/>
                                  <w:sz w:val="21"/>
                                  <w:szCs w:val="21"/>
                                  <w:lang w:eastAsia="es-CO"/>
                                </w:rPr>
                                <w:lastRenderedPageBreak/>
                                <w:t>Todo el Documento </w:t>
                              </w:r>
                              <w:r w:rsidRPr="00595427">
                                <w:rPr>
                                  <w:rFonts w:ascii="Segoe UI" w:eastAsia="Times New Roman" w:hAnsi="Segoe UI" w:cs="Segoe UI"/>
                                  <w:sz w:val="21"/>
                                  <w:szCs w:val="21"/>
                                  <w:lang w:eastAsia="es-CO"/>
                                </w:rPr>
                                <w:t> </w:t>
                              </w:r>
                            </w:p>
                          </w:tc>
                          <w:tc>
                            <w:tcPr>
                              <w:tcW w:w="0" w:type="auto"/>
                              <w:tcBorders>
                                <w:bottom w:val="dotted" w:sz="6" w:space="0" w:color="C0C0C0"/>
                              </w:tcBorders>
                              <w:tcMar>
                                <w:top w:w="30" w:type="dxa"/>
                                <w:left w:w="30" w:type="dxa"/>
                                <w:bottom w:w="30" w:type="dxa"/>
                                <w:right w:w="30" w:type="dxa"/>
                              </w:tcMar>
                              <w:vAlign w:val="center"/>
                              <w:hideMark/>
                            </w:tcPr>
                            <w:p w14:paraId="706FE418" w14:textId="77777777" w:rsidR="00595427" w:rsidRPr="00595427" w:rsidRDefault="00595427" w:rsidP="00595427">
                              <w:pPr>
                                <w:spacing w:after="0" w:line="360" w:lineRule="auto"/>
                                <w:jc w:val="both"/>
                                <w:rPr>
                                  <w:rFonts w:ascii="Segoe UI" w:eastAsia="Times New Roman" w:hAnsi="Segoe UI" w:cs="Segoe UI"/>
                                  <w:sz w:val="21"/>
                                  <w:szCs w:val="21"/>
                                  <w:lang w:eastAsia="es-CO"/>
                                </w:rPr>
                              </w:pPr>
                              <w:hyperlink r:id="rId5" w:history="1">
                                <w:r w:rsidRPr="00595427">
                                  <w:rPr>
                                    <w:rFonts w:ascii="Segoe UI" w:eastAsia="Times New Roman" w:hAnsi="Segoe UI" w:cs="Segoe UI"/>
                                    <w:b/>
                                    <w:bCs/>
                                    <w:color w:val="FF0000"/>
                                    <w:sz w:val="21"/>
                                    <w:szCs w:val="21"/>
                                    <w:u w:val="single"/>
                                    <w:lang w:eastAsia="es-CO"/>
                                  </w:rPr>
                                  <w:t>DECRETO ÚNICO TRIBUTARIO 1625</w:t>
                                </w:r>
                              </w:hyperlink>
                              <w:r w:rsidRPr="00595427">
                                <w:rPr>
                                  <w:rFonts w:ascii="Segoe UI" w:eastAsia="Times New Roman" w:hAnsi="Segoe UI" w:cs="Segoe UI"/>
                                  <w:b/>
                                  <w:bCs/>
                                  <w:sz w:val="21"/>
                                  <w:szCs w:val="21"/>
                                  <w:lang w:eastAsia="es-CO"/>
                                </w:rPr>
                                <w:t> / 2016</w:t>
                              </w:r>
                              <w:r w:rsidRPr="00595427">
                                <w:rPr>
                                  <w:rFonts w:ascii="Segoe UI" w:eastAsia="Times New Roman" w:hAnsi="Segoe UI" w:cs="Segoe UI"/>
                                  <w:b/>
                                  <w:bCs/>
                                  <w:sz w:val="21"/>
                                  <w:szCs w:val="21"/>
                                  <w:lang w:eastAsia="es-CO"/>
                                </w:rPr>
                                <w:br/>
                              </w:r>
                              <w:r w:rsidRPr="00595427">
                                <w:rPr>
                                  <w:rFonts w:ascii="Segoe UI" w:eastAsia="Times New Roman" w:hAnsi="Segoe UI" w:cs="Segoe UI"/>
                                  <w:sz w:val="21"/>
                                  <w:szCs w:val="21"/>
                                  <w:lang w:eastAsia="es-CO"/>
                                </w:rPr>
                                <w:t>Art. 1.3.2.1.8 </w:t>
                              </w:r>
                            </w:p>
                          </w:tc>
                          <w:tc>
                            <w:tcPr>
                              <w:tcW w:w="0" w:type="auto"/>
                              <w:tcBorders>
                                <w:bottom w:val="dotted" w:sz="6" w:space="0" w:color="C0C0C0"/>
                              </w:tcBorders>
                              <w:tcMar>
                                <w:top w:w="30" w:type="dxa"/>
                                <w:left w:w="30" w:type="dxa"/>
                                <w:bottom w:w="30" w:type="dxa"/>
                                <w:right w:w="30" w:type="dxa"/>
                              </w:tcMar>
                              <w:vAlign w:val="center"/>
                              <w:hideMark/>
                            </w:tcPr>
                            <w:p w14:paraId="0F8E58C5" w14:textId="77777777" w:rsidR="00595427" w:rsidRPr="00595427" w:rsidRDefault="00595427" w:rsidP="00595427">
                              <w:pPr>
                                <w:spacing w:after="0" w:line="360" w:lineRule="auto"/>
                                <w:jc w:val="both"/>
                                <w:rPr>
                                  <w:rFonts w:ascii="Segoe UI" w:eastAsia="Times New Roman" w:hAnsi="Segoe UI" w:cs="Segoe UI"/>
                                  <w:sz w:val="21"/>
                                  <w:szCs w:val="21"/>
                                  <w:lang w:eastAsia="es-CO"/>
                                </w:rPr>
                              </w:pPr>
                              <w:r w:rsidRPr="00595427">
                                <w:rPr>
                                  <w:rFonts w:ascii="Segoe UI" w:eastAsia="Times New Roman" w:hAnsi="Segoe UI" w:cs="Segoe UI"/>
                                  <w:sz w:val="21"/>
                                  <w:szCs w:val="21"/>
                                  <w:lang w:eastAsia="es-CO"/>
                                </w:rPr>
                                <w:t>Concordancia </w:t>
                              </w:r>
                            </w:p>
                          </w:tc>
                        </w:tr>
                        <w:tr w:rsidR="00595427" w:rsidRPr="00595427" w14:paraId="4A697C65" w14:textId="77777777">
                          <w:trPr>
                            <w:tblCellSpacing w:w="0" w:type="dxa"/>
                          </w:trPr>
                          <w:tc>
                            <w:tcPr>
                              <w:tcW w:w="0" w:type="auto"/>
                              <w:tcBorders>
                                <w:bottom w:val="dotted" w:sz="6" w:space="0" w:color="C0C0C0"/>
                              </w:tcBorders>
                              <w:tcMar>
                                <w:top w:w="30" w:type="dxa"/>
                                <w:left w:w="30" w:type="dxa"/>
                                <w:bottom w:w="30" w:type="dxa"/>
                                <w:right w:w="30" w:type="dxa"/>
                              </w:tcMar>
                              <w:vAlign w:val="center"/>
                              <w:hideMark/>
                            </w:tcPr>
                            <w:p w14:paraId="332EC953" w14:textId="77777777" w:rsidR="00595427" w:rsidRPr="00595427" w:rsidRDefault="00595427" w:rsidP="00595427">
                              <w:pPr>
                                <w:spacing w:after="0" w:line="360" w:lineRule="auto"/>
                                <w:jc w:val="both"/>
                                <w:rPr>
                                  <w:rFonts w:ascii="Segoe UI" w:eastAsia="Times New Roman" w:hAnsi="Segoe UI" w:cs="Segoe UI"/>
                                  <w:sz w:val="21"/>
                                  <w:szCs w:val="21"/>
                                  <w:lang w:eastAsia="es-CO"/>
                                </w:rPr>
                              </w:pPr>
                              <w:r w:rsidRPr="00595427">
                                <w:rPr>
                                  <w:rFonts w:ascii="Segoe UI" w:eastAsia="Times New Roman" w:hAnsi="Segoe UI" w:cs="Segoe UI"/>
                                  <w:b/>
                                  <w:bCs/>
                                  <w:sz w:val="21"/>
                                  <w:szCs w:val="21"/>
                                  <w:lang w:eastAsia="es-CO"/>
                                </w:rPr>
                                <w:t>Todo el Documento </w:t>
                              </w:r>
                              <w:r w:rsidRPr="00595427">
                                <w:rPr>
                                  <w:rFonts w:ascii="Segoe UI" w:eastAsia="Times New Roman" w:hAnsi="Segoe UI" w:cs="Segoe UI"/>
                                  <w:sz w:val="21"/>
                                  <w:szCs w:val="21"/>
                                  <w:lang w:eastAsia="es-CO"/>
                                </w:rPr>
                                <w:t> </w:t>
                              </w:r>
                            </w:p>
                          </w:tc>
                          <w:tc>
                            <w:tcPr>
                              <w:tcW w:w="0" w:type="auto"/>
                              <w:tcBorders>
                                <w:bottom w:val="dotted" w:sz="6" w:space="0" w:color="C0C0C0"/>
                              </w:tcBorders>
                              <w:tcMar>
                                <w:top w:w="30" w:type="dxa"/>
                                <w:left w:w="30" w:type="dxa"/>
                                <w:bottom w:w="30" w:type="dxa"/>
                                <w:right w:w="30" w:type="dxa"/>
                              </w:tcMar>
                              <w:vAlign w:val="center"/>
                              <w:hideMark/>
                            </w:tcPr>
                            <w:p w14:paraId="24EE4973" w14:textId="77777777" w:rsidR="00595427" w:rsidRPr="00595427" w:rsidRDefault="00595427" w:rsidP="00595427">
                              <w:pPr>
                                <w:spacing w:after="0" w:line="360" w:lineRule="auto"/>
                                <w:jc w:val="both"/>
                                <w:rPr>
                                  <w:rFonts w:ascii="Segoe UI" w:eastAsia="Times New Roman" w:hAnsi="Segoe UI" w:cs="Segoe UI"/>
                                  <w:sz w:val="21"/>
                                  <w:szCs w:val="21"/>
                                  <w:lang w:eastAsia="es-CO"/>
                                </w:rPr>
                              </w:pPr>
                              <w:hyperlink r:id="rId6" w:tooltip="Relator&amp;iacute;a CETA: DECRETO ÚNICO TRIBUTARIO 1625 / 2016" w:history="1">
                                <w:r w:rsidRPr="00595427">
                                  <w:rPr>
                                    <w:rFonts w:ascii="Segoe UI" w:eastAsia="Times New Roman" w:hAnsi="Segoe UI" w:cs="Segoe UI"/>
                                    <w:b/>
                                    <w:bCs/>
                                    <w:color w:val="0645AD"/>
                                    <w:sz w:val="21"/>
                                    <w:szCs w:val="21"/>
                                    <w:u w:val="single"/>
                                    <w:lang w:eastAsia="es-CO"/>
                                  </w:rPr>
                                  <w:t>DECRETO ÚNICO TRIBUTARIO 1625</w:t>
                                </w:r>
                              </w:hyperlink>
                              <w:r w:rsidRPr="00595427">
                                <w:rPr>
                                  <w:rFonts w:ascii="Segoe UI" w:eastAsia="Times New Roman" w:hAnsi="Segoe UI" w:cs="Segoe UI"/>
                                  <w:b/>
                                  <w:bCs/>
                                  <w:sz w:val="21"/>
                                  <w:szCs w:val="21"/>
                                  <w:lang w:eastAsia="es-CO"/>
                                </w:rPr>
                                <w:t> / 2016</w:t>
                              </w:r>
                              <w:r w:rsidRPr="00595427">
                                <w:rPr>
                                  <w:rFonts w:ascii="Segoe UI" w:eastAsia="Times New Roman" w:hAnsi="Segoe UI" w:cs="Segoe UI"/>
                                  <w:b/>
                                  <w:bCs/>
                                  <w:sz w:val="21"/>
                                  <w:szCs w:val="21"/>
                                  <w:lang w:eastAsia="es-CO"/>
                                </w:rPr>
                                <w:br/>
                              </w:r>
                              <w:r w:rsidRPr="00595427">
                                <w:rPr>
                                  <w:rFonts w:ascii="Segoe UI" w:eastAsia="Times New Roman" w:hAnsi="Segoe UI" w:cs="Segoe UI"/>
                                  <w:sz w:val="21"/>
                                  <w:szCs w:val="21"/>
                                  <w:lang w:eastAsia="es-CO"/>
                                </w:rPr>
                                <w:t>Art. 1.3.2.1.2 </w:t>
                              </w:r>
                            </w:p>
                          </w:tc>
                          <w:tc>
                            <w:tcPr>
                              <w:tcW w:w="0" w:type="auto"/>
                              <w:tcBorders>
                                <w:bottom w:val="dotted" w:sz="6" w:space="0" w:color="C0C0C0"/>
                              </w:tcBorders>
                              <w:tcMar>
                                <w:top w:w="30" w:type="dxa"/>
                                <w:left w:w="30" w:type="dxa"/>
                                <w:bottom w:w="30" w:type="dxa"/>
                                <w:right w:w="30" w:type="dxa"/>
                              </w:tcMar>
                              <w:vAlign w:val="center"/>
                              <w:hideMark/>
                            </w:tcPr>
                            <w:p w14:paraId="64848183" w14:textId="77777777" w:rsidR="00595427" w:rsidRPr="00595427" w:rsidRDefault="00595427" w:rsidP="00595427">
                              <w:pPr>
                                <w:spacing w:after="0" w:line="360" w:lineRule="auto"/>
                                <w:jc w:val="both"/>
                                <w:rPr>
                                  <w:rFonts w:ascii="Segoe UI" w:eastAsia="Times New Roman" w:hAnsi="Segoe UI" w:cs="Segoe UI"/>
                                  <w:sz w:val="21"/>
                                  <w:szCs w:val="21"/>
                                  <w:lang w:eastAsia="es-CO"/>
                                </w:rPr>
                              </w:pPr>
                              <w:r w:rsidRPr="00595427">
                                <w:rPr>
                                  <w:rFonts w:ascii="Segoe UI" w:eastAsia="Times New Roman" w:hAnsi="Segoe UI" w:cs="Segoe UI"/>
                                  <w:sz w:val="21"/>
                                  <w:szCs w:val="21"/>
                                  <w:lang w:eastAsia="es-CO"/>
                                </w:rPr>
                                <w:t>Concordancia </w:t>
                              </w:r>
                            </w:p>
                          </w:tc>
                        </w:tr>
                      </w:tbl>
                      <w:p w14:paraId="4BD6078E" w14:textId="77777777" w:rsidR="00595427" w:rsidRPr="00595427" w:rsidRDefault="00595427" w:rsidP="00595427">
                        <w:pPr>
                          <w:spacing w:after="0" w:line="360" w:lineRule="auto"/>
                          <w:jc w:val="both"/>
                          <w:rPr>
                            <w:rFonts w:ascii="Segoe UI" w:eastAsia="Times New Roman" w:hAnsi="Segoe UI" w:cs="Segoe UI"/>
                            <w:sz w:val="21"/>
                            <w:szCs w:val="21"/>
                            <w:lang w:eastAsia="es-CO"/>
                          </w:rPr>
                        </w:pPr>
                      </w:p>
                    </w:tc>
                  </w:tr>
                </w:tbl>
                <w:p w14:paraId="51124713" w14:textId="77777777" w:rsidR="00595427" w:rsidRPr="00595427" w:rsidRDefault="00595427" w:rsidP="00595427">
                  <w:pPr>
                    <w:spacing w:after="0" w:line="360" w:lineRule="auto"/>
                    <w:jc w:val="both"/>
                    <w:rPr>
                      <w:rFonts w:eastAsia="Times New Roman" w:cs="Times New Roman"/>
                      <w:szCs w:val="24"/>
                      <w:lang w:eastAsia="es-CO"/>
                    </w:rPr>
                  </w:pPr>
                </w:p>
              </w:tc>
            </w:tr>
          </w:tbl>
          <w:p w14:paraId="66550DEE" w14:textId="77777777" w:rsidR="00595427" w:rsidRPr="00595427" w:rsidRDefault="00595427" w:rsidP="00595427">
            <w:pPr>
              <w:spacing w:after="0" w:line="360" w:lineRule="auto"/>
              <w:jc w:val="both"/>
              <w:rPr>
                <w:rFonts w:eastAsia="Times New Roman" w:cs="Times New Roman"/>
                <w:szCs w:val="24"/>
                <w:lang w:eastAsia="es-CO"/>
              </w:rPr>
            </w:pPr>
          </w:p>
        </w:tc>
      </w:tr>
    </w:tbl>
    <w:p w14:paraId="09429B86" w14:textId="77777777" w:rsidR="00595427" w:rsidRPr="00595427" w:rsidRDefault="00595427" w:rsidP="00595427">
      <w:pPr>
        <w:spacing w:after="0" w:line="360" w:lineRule="auto"/>
        <w:jc w:val="both"/>
        <w:rPr>
          <w:rFonts w:eastAsia="Times New Roman" w:cs="Times New Roman"/>
          <w:vanish/>
          <w:szCs w:val="24"/>
          <w:lang w:eastAsia="es-CO"/>
        </w:rPr>
      </w:pPr>
    </w:p>
    <w:tbl>
      <w:tblPr>
        <w:tblW w:w="0" w:type="auto"/>
        <w:tblCellSpacing w:w="0" w:type="dxa"/>
        <w:tblCellMar>
          <w:left w:w="0" w:type="dxa"/>
          <w:right w:w="0" w:type="dxa"/>
        </w:tblCellMar>
        <w:tblLook w:val="04A0" w:firstRow="1" w:lastRow="0" w:firstColumn="1" w:lastColumn="0" w:noHBand="0" w:noVBand="1"/>
      </w:tblPr>
      <w:tblGrid>
        <w:gridCol w:w="120"/>
      </w:tblGrid>
      <w:tr w:rsidR="00595427" w:rsidRPr="00595427" w14:paraId="045FDCE8" w14:textId="77777777" w:rsidTr="00595427">
        <w:trPr>
          <w:trHeight w:val="408"/>
          <w:tblCellSpacing w:w="0" w:type="dxa"/>
        </w:trPr>
        <w:tc>
          <w:tcPr>
            <w:tcW w:w="120" w:type="dxa"/>
            <w:shd w:val="clear" w:color="auto" w:fill="FFFFFF"/>
            <w:hideMark/>
          </w:tcPr>
          <w:p w14:paraId="5B55108F" w14:textId="77777777" w:rsidR="00595427" w:rsidRPr="00595427" w:rsidRDefault="00595427" w:rsidP="00595427">
            <w:pPr>
              <w:spacing w:after="0" w:line="360" w:lineRule="auto"/>
              <w:jc w:val="both"/>
              <w:rPr>
                <w:rFonts w:ascii="Segoe UI" w:eastAsia="Times New Roman" w:hAnsi="Segoe UI" w:cs="Segoe UI"/>
                <w:color w:val="000000"/>
                <w:sz w:val="27"/>
                <w:szCs w:val="27"/>
                <w:lang w:eastAsia="es-CO"/>
              </w:rPr>
            </w:pPr>
            <w:r w:rsidRPr="00595427">
              <w:rPr>
                <w:rFonts w:ascii="Segoe UI" w:eastAsia="Times New Roman" w:hAnsi="Segoe UI" w:cs="Segoe UI"/>
                <w:noProof/>
                <w:color w:val="000000"/>
                <w:sz w:val="27"/>
                <w:szCs w:val="27"/>
                <w:lang w:eastAsia="es-CO"/>
              </w:rPr>
              <w:drawing>
                <wp:inline distT="0" distB="0" distL="0" distR="0" wp14:anchorId="6A2CC557" wp14:editId="529B9D6E">
                  <wp:extent cx="76200" cy="7620"/>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200" cy="7620"/>
                          </a:xfrm>
                          <a:prstGeom prst="rect">
                            <a:avLst/>
                          </a:prstGeom>
                          <a:noFill/>
                          <a:ln>
                            <a:noFill/>
                          </a:ln>
                        </pic:spPr>
                      </pic:pic>
                    </a:graphicData>
                  </a:graphic>
                </wp:inline>
              </w:drawing>
            </w:r>
          </w:p>
          <w:p w14:paraId="69693695" w14:textId="77777777" w:rsidR="00595427" w:rsidRPr="00595427" w:rsidRDefault="00595427" w:rsidP="00595427">
            <w:pPr>
              <w:spacing w:after="0" w:line="360" w:lineRule="auto"/>
              <w:jc w:val="both"/>
              <w:rPr>
                <w:rFonts w:eastAsia="Times New Roman" w:cs="Times New Roman"/>
                <w:szCs w:val="24"/>
                <w:lang w:eastAsia="es-CO"/>
              </w:rPr>
            </w:pPr>
            <w:r w:rsidRPr="00595427">
              <w:rPr>
                <w:rFonts w:eastAsia="Times New Roman" w:cs="Times New Roman"/>
                <w:szCs w:val="24"/>
                <w:lang w:eastAsia="es-CO"/>
              </w:rPr>
              <w:br/>
            </w:r>
          </w:p>
        </w:tc>
      </w:tr>
    </w:tbl>
    <w:p w14:paraId="76950A41" w14:textId="77777777" w:rsidR="007F5CC8" w:rsidRDefault="007F5CC8" w:rsidP="00595427">
      <w:pPr>
        <w:spacing w:line="360" w:lineRule="auto"/>
        <w:jc w:val="both"/>
      </w:pPr>
    </w:p>
    <w:sectPr w:rsidR="007F5CC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5427"/>
    <w:rsid w:val="000F3837"/>
    <w:rsid w:val="001E311E"/>
    <w:rsid w:val="00434AE6"/>
    <w:rsid w:val="00595427"/>
    <w:rsid w:val="007F5CC8"/>
    <w:rsid w:val="008779BE"/>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454B6"/>
  <w15:chartTrackingRefBased/>
  <w15:docId w15:val="{9F9135EE-5214-4198-A989-9EDD0FAC4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595427"/>
    <w:pPr>
      <w:spacing w:before="100" w:beforeAutospacing="1" w:after="100" w:afterAutospacing="1" w:line="240" w:lineRule="auto"/>
    </w:pPr>
    <w:rPr>
      <w:rFonts w:eastAsia="Times New Roman" w:cs="Times New Roman"/>
      <w:szCs w:val="24"/>
      <w:lang w:eastAsia="es-CO"/>
    </w:rPr>
  </w:style>
  <w:style w:type="character" w:styleId="Hipervnculo">
    <w:name w:val="Hyperlink"/>
    <w:basedOn w:val="Fuentedeprrafopredeter"/>
    <w:uiPriority w:val="99"/>
    <w:semiHidden/>
    <w:unhideWhenUsed/>
    <w:rsid w:val="0059542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72441">
      <w:bodyDiv w:val="1"/>
      <w:marLeft w:val="0"/>
      <w:marRight w:val="0"/>
      <w:marTop w:val="0"/>
      <w:marBottom w:val="0"/>
      <w:divBdr>
        <w:top w:val="none" w:sz="0" w:space="0" w:color="auto"/>
        <w:left w:val="none" w:sz="0" w:space="0" w:color="auto"/>
        <w:bottom w:val="none" w:sz="0" w:space="0" w:color="auto"/>
        <w:right w:val="none" w:sz="0" w:space="0" w:color="auto"/>
      </w:divBdr>
    </w:div>
    <w:div w:id="208424330">
      <w:bodyDiv w:val="1"/>
      <w:marLeft w:val="0"/>
      <w:marRight w:val="0"/>
      <w:marTop w:val="0"/>
      <w:marBottom w:val="0"/>
      <w:divBdr>
        <w:top w:val="none" w:sz="0" w:space="0" w:color="auto"/>
        <w:left w:val="none" w:sz="0" w:space="0" w:color="auto"/>
        <w:bottom w:val="none" w:sz="0" w:space="0" w:color="auto"/>
        <w:right w:val="none" w:sz="0" w:space="0" w:color="auto"/>
      </w:divBdr>
    </w:div>
    <w:div w:id="643629378">
      <w:bodyDiv w:val="1"/>
      <w:marLeft w:val="0"/>
      <w:marRight w:val="0"/>
      <w:marTop w:val="0"/>
      <w:marBottom w:val="0"/>
      <w:divBdr>
        <w:top w:val="none" w:sz="0" w:space="0" w:color="auto"/>
        <w:left w:val="none" w:sz="0" w:space="0" w:color="auto"/>
        <w:bottom w:val="none" w:sz="0" w:space="0" w:color="auto"/>
        <w:right w:val="none" w:sz="0" w:space="0" w:color="auto"/>
      </w:divBdr>
    </w:div>
    <w:div w:id="1094858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g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documento.asp?DocumentoID=30071" TargetMode="External"/><Relationship Id="rId5" Type="http://schemas.openxmlformats.org/officeDocument/2006/relationships/hyperlink" Target="https://www.ceta.org.co/html/vista_de_un_documento.asp?DocumentoID=30071" TargetMode="External"/><Relationship Id="rId4" Type="http://schemas.openxmlformats.org/officeDocument/2006/relationships/hyperlink" Target="https://www.ceta.org.co/html/vista_de_un_articulo.asp?Norma=459" TargetMode="Externa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1087</Words>
  <Characters>5982</Characters>
  <Application>Microsoft Office Word</Application>
  <DocSecurity>0</DocSecurity>
  <Lines>49</Lines>
  <Paragraphs>14</Paragraphs>
  <ScaleCrop>false</ScaleCrop>
  <Company/>
  <LinksUpToDate>false</LinksUpToDate>
  <CharactersWithSpaces>7055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2023-02-10T23:43:00Z</dcterms:created>
  <dcterms:modified xsi:type="dcterms:W3CDTF">2023-02-10T23:47:00Z</dcterms:modified>
</cp:coreProperties>
</file>