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6D288" w14:textId="77777777" w:rsidR="005C2961" w:rsidRDefault="005C2961" w:rsidP="005C2961">
      <w:pPr>
        <w:pStyle w:val="NormalWeb"/>
        <w:spacing w:before="0" w:beforeAutospacing="0" w:after="0" w:afterAutospacing="0"/>
        <w:jc w:val="both"/>
        <w:rPr>
          <w:rFonts w:ascii="Segoe UI" w:hAnsi="Segoe UI" w:cs="Segoe UI"/>
          <w:b/>
          <w:bCs/>
          <w:color w:val="000000"/>
          <w:sz w:val="21"/>
          <w:szCs w:val="21"/>
        </w:rPr>
      </w:pPr>
      <w:r>
        <w:rPr>
          <w:rFonts w:ascii="Segoe UI" w:hAnsi="Segoe UI" w:cs="Segoe UI"/>
          <w:b/>
          <w:bCs/>
          <w:color w:val="000000"/>
          <w:sz w:val="21"/>
          <w:szCs w:val="21"/>
        </w:rPr>
        <w:br/>
      </w:r>
    </w:p>
    <w:p w14:paraId="1EDF5A10" w14:textId="77777777" w:rsidR="005C2961" w:rsidRDefault="005C2961" w:rsidP="005C2961">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 xml:space="preserve">CONCEPTO </w:t>
      </w:r>
      <w:proofErr w:type="spellStart"/>
      <w:r>
        <w:rPr>
          <w:rFonts w:ascii="Segoe UI" w:hAnsi="Segoe UI" w:cs="Segoe UI"/>
          <w:b/>
          <w:bCs/>
          <w:color w:val="000000"/>
          <w:sz w:val="21"/>
          <w:szCs w:val="21"/>
        </w:rPr>
        <w:t>Nº</w:t>
      </w:r>
      <w:proofErr w:type="spellEnd"/>
      <w:r>
        <w:rPr>
          <w:rFonts w:ascii="Segoe UI" w:hAnsi="Segoe UI" w:cs="Segoe UI"/>
          <w:b/>
          <w:bCs/>
          <w:color w:val="000000"/>
          <w:sz w:val="21"/>
          <w:szCs w:val="21"/>
        </w:rPr>
        <w:t xml:space="preserve"> 978 [005272]</w:t>
      </w:r>
    </w:p>
    <w:p w14:paraId="798EE55D" w14:textId="77777777" w:rsidR="005C2961" w:rsidRDefault="005C2961" w:rsidP="005C2961">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14-09-2023</w:t>
      </w:r>
    </w:p>
    <w:p w14:paraId="7A0208EF" w14:textId="77777777" w:rsidR="005C2961" w:rsidRDefault="005C2961" w:rsidP="005C2961">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DIAN</w:t>
      </w:r>
    </w:p>
    <w:p w14:paraId="3B1DA53F"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22E3165"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p>
    <w:p w14:paraId="291724BB" w14:textId="77777777" w:rsidR="005C2961" w:rsidRDefault="005C2961" w:rsidP="005C2961">
      <w:pPr>
        <w:spacing w:line="240" w:lineRule="auto"/>
        <w:rPr>
          <w:rFonts w:ascii="Segoe UI" w:eastAsia="Times New Roman" w:hAnsi="Segoe UI" w:cs="Segoe UI"/>
          <w:color w:val="000000"/>
          <w:kern w:val="0"/>
          <w:sz w:val="21"/>
          <w:szCs w:val="21"/>
          <w:lang w:eastAsia="es-419"/>
          <w14:ligatures w14:val="none"/>
        </w:rPr>
      </w:pPr>
      <w:r w:rsidRPr="005C2961">
        <w:rPr>
          <w:rFonts w:ascii="Segoe UI" w:eastAsia="Times New Roman" w:hAnsi="Segoe UI" w:cs="Segoe UI"/>
          <w:color w:val="000000"/>
          <w:kern w:val="0"/>
          <w:sz w:val="21"/>
          <w:szCs w:val="21"/>
          <w:lang w:eastAsia="es-419"/>
          <w14:ligatures w14:val="none"/>
        </w:rPr>
        <w:br/>
      </w:r>
    </w:p>
    <w:p w14:paraId="39F4B41F" w14:textId="77777777" w:rsidR="005C2961" w:rsidRDefault="005C2961" w:rsidP="005C2961">
      <w:pPr>
        <w:spacing w:line="240" w:lineRule="auto"/>
        <w:rPr>
          <w:rFonts w:ascii="Segoe UI" w:eastAsia="Times New Roman" w:hAnsi="Segoe UI" w:cs="Segoe UI"/>
          <w:color w:val="000000"/>
          <w:kern w:val="0"/>
          <w:sz w:val="21"/>
          <w:szCs w:val="21"/>
          <w:lang w:eastAsia="es-419"/>
          <w14:ligatures w14:val="none"/>
        </w:rPr>
      </w:pPr>
    </w:p>
    <w:p w14:paraId="7D8AC24A" w14:textId="77777777" w:rsidR="005C2961" w:rsidRDefault="005C2961" w:rsidP="005C2961">
      <w:pPr>
        <w:spacing w:line="240" w:lineRule="auto"/>
        <w:rPr>
          <w:rFonts w:ascii="Segoe UI" w:eastAsia="Times New Roman" w:hAnsi="Segoe UI" w:cs="Segoe UI"/>
          <w:color w:val="000000"/>
          <w:kern w:val="0"/>
          <w:sz w:val="21"/>
          <w:szCs w:val="21"/>
          <w:lang w:eastAsia="es-419"/>
          <w14:ligatures w14:val="none"/>
        </w:rPr>
      </w:pPr>
    </w:p>
    <w:p w14:paraId="15021444" w14:textId="7BAED769" w:rsidR="005C2961" w:rsidRPr="005C2961" w:rsidRDefault="005C2961" w:rsidP="005C2961">
      <w:pPr>
        <w:spacing w:line="240" w:lineRule="auto"/>
        <w:rPr>
          <w:rFonts w:ascii="Segoe UI" w:eastAsia="Times New Roman" w:hAnsi="Segoe UI" w:cs="Segoe UI"/>
          <w:color w:val="000000"/>
          <w:kern w:val="0"/>
          <w:sz w:val="21"/>
          <w:szCs w:val="21"/>
          <w:lang w:eastAsia="es-419"/>
          <w14:ligatures w14:val="none"/>
        </w:rPr>
      </w:pPr>
      <w:r w:rsidRPr="005C2961">
        <w:rPr>
          <w:rFonts w:ascii="Segoe UI" w:eastAsia="Times New Roman" w:hAnsi="Segoe UI" w:cs="Segoe UI"/>
          <w:color w:val="000000"/>
          <w:kern w:val="0"/>
          <w:sz w:val="21"/>
          <w:szCs w:val="21"/>
          <w:lang w:eastAsia="es-419"/>
          <w14:ligatures w14:val="none"/>
        </w:rPr>
        <w:t>100208192-978</w:t>
      </w:r>
    </w:p>
    <w:p w14:paraId="0BD02F13" w14:textId="77777777" w:rsidR="005C2961" w:rsidRPr="005C2961" w:rsidRDefault="005C2961" w:rsidP="005C2961">
      <w:pPr>
        <w:spacing w:line="240" w:lineRule="auto"/>
        <w:rPr>
          <w:rFonts w:ascii="Segoe UI" w:eastAsia="Times New Roman" w:hAnsi="Segoe UI" w:cs="Segoe UI"/>
          <w:color w:val="000000"/>
          <w:kern w:val="0"/>
          <w:sz w:val="21"/>
          <w:szCs w:val="21"/>
          <w:lang w:eastAsia="es-419"/>
          <w14:ligatures w14:val="none"/>
        </w:rPr>
      </w:pPr>
      <w:r w:rsidRPr="005C2961">
        <w:rPr>
          <w:rFonts w:ascii="Segoe UI" w:eastAsia="Times New Roman" w:hAnsi="Segoe UI" w:cs="Segoe UI"/>
          <w:color w:val="000000"/>
          <w:kern w:val="0"/>
          <w:sz w:val="21"/>
          <w:szCs w:val="21"/>
          <w:lang w:eastAsia="es-419"/>
          <w14:ligatures w14:val="none"/>
        </w:rPr>
        <w:t>Bogotá, D.C.</w:t>
      </w:r>
    </w:p>
    <w:p w14:paraId="4CAAB27C" w14:textId="77777777" w:rsidR="005C2961" w:rsidRPr="005C2961" w:rsidRDefault="005C2961" w:rsidP="005C2961">
      <w:pPr>
        <w:spacing w:line="240" w:lineRule="auto"/>
        <w:rPr>
          <w:rFonts w:ascii="Segoe UI" w:eastAsia="Times New Roman" w:hAnsi="Segoe UI" w:cs="Segoe UI"/>
          <w:color w:val="000000"/>
          <w:kern w:val="0"/>
          <w:sz w:val="21"/>
          <w:szCs w:val="21"/>
          <w:lang w:eastAsia="es-419"/>
          <w14:ligatures w14:val="none"/>
        </w:rPr>
      </w:pPr>
      <w:r w:rsidRPr="005C2961">
        <w:rPr>
          <w:rFonts w:ascii="Segoe UI" w:eastAsia="Times New Roman" w:hAnsi="Segoe UI" w:cs="Segoe UI"/>
          <w:color w:val="000000"/>
          <w:kern w:val="0"/>
          <w:sz w:val="21"/>
          <w:szCs w:val="21"/>
          <w:lang w:eastAsia="es-419"/>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285"/>
        <w:gridCol w:w="6609"/>
      </w:tblGrid>
      <w:tr w:rsidR="005C2961" w:rsidRPr="005C2961" w14:paraId="2C96FAFC" w14:textId="77777777" w:rsidTr="005C2961">
        <w:tc>
          <w:tcPr>
            <w:tcW w:w="2285" w:type="dxa"/>
            <w:tcBorders>
              <w:top w:val="nil"/>
              <w:left w:val="nil"/>
              <w:bottom w:val="nil"/>
              <w:right w:val="nil"/>
            </w:tcBorders>
            <w:tcMar>
              <w:top w:w="0" w:type="dxa"/>
              <w:left w:w="105" w:type="dxa"/>
              <w:bottom w:w="0" w:type="dxa"/>
              <w:right w:w="105" w:type="dxa"/>
            </w:tcMar>
            <w:hideMark/>
          </w:tcPr>
          <w:p w14:paraId="4B8E1CEF" w14:textId="77777777" w:rsidR="005C2961" w:rsidRPr="005C2961" w:rsidRDefault="005C2961" w:rsidP="005C2961">
            <w:pPr>
              <w:spacing w:line="240" w:lineRule="auto"/>
              <w:rPr>
                <w:rFonts w:ascii="Segoe UI" w:eastAsia="Times New Roman" w:hAnsi="Segoe UI" w:cs="Segoe UI"/>
                <w:kern w:val="0"/>
                <w:sz w:val="21"/>
                <w:szCs w:val="21"/>
                <w:lang w:eastAsia="es-419"/>
                <w14:ligatures w14:val="none"/>
              </w:rPr>
            </w:pPr>
            <w:r w:rsidRPr="005C2961">
              <w:rPr>
                <w:rFonts w:ascii="Segoe UI" w:eastAsia="Times New Roman" w:hAnsi="Segoe UI" w:cs="Segoe UI"/>
                <w:b/>
                <w:bCs/>
                <w:kern w:val="0"/>
                <w:sz w:val="21"/>
                <w:szCs w:val="21"/>
                <w:lang w:eastAsia="es-419"/>
                <w14:ligatures w14:val="none"/>
              </w:rPr>
              <w:t>Temas:</w:t>
            </w:r>
          </w:p>
        </w:tc>
        <w:tc>
          <w:tcPr>
            <w:tcW w:w="6609" w:type="dxa"/>
            <w:tcBorders>
              <w:top w:val="nil"/>
              <w:left w:val="nil"/>
              <w:bottom w:val="nil"/>
              <w:right w:val="nil"/>
            </w:tcBorders>
            <w:tcMar>
              <w:top w:w="0" w:type="dxa"/>
              <w:left w:w="105" w:type="dxa"/>
              <w:bottom w:w="0" w:type="dxa"/>
              <w:right w:w="105" w:type="dxa"/>
            </w:tcMar>
            <w:hideMark/>
          </w:tcPr>
          <w:p w14:paraId="25F8C728" w14:textId="77777777" w:rsidR="005C2961" w:rsidRPr="005C2961" w:rsidRDefault="005C2961" w:rsidP="005C2961">
            <w:pPr>
              <w:spacing w:line="240" w:lineRule="auto"/>
              <w:rPr>
                <w:rFonts w:ascii="Segoe UI" w:eastAsia="Times New Roman" w:hAnsi="Segoe UI" w:cs="Segoe UI"/>
                <w:kern w:val="0"/>
                <w:sz w:val="21"/>
                <w:szCs w:val="21"/>
                <w:lang w:eastAsia="es-419"/>
                <w14:ligatures w14:val="none"/>
              </w:rPr>
            </w:pPr>
            <w:r w:rsidRPr="005C2961">
              <w:rPr>
                <w:rFonts w:ascii="Segoe UI" w:eastAsia="Times New Roman" w:hAnsi="Segoe UI" w:cs="Segoe UI"/>
                <w:kern w:val="0"/>
                <w:sz w:val="21"/>
                <w:szCs w:val="21"/>
                <w:lang w:eastAsia="es-419"/>
                <w14:ligatures w14:val="none"/>
              </w:rPr>
              <w:t>Impuesto sobre la renta y complementarios</w:t>
            </w:r>
          </w:p>
          <w:p w14:paraId="53FD0433" w14:textId="77777777" w:rsidR="005C2961" w:rsidRPr="005C2961" w:rsidRDefault="005C2961" w:rsidP="005C2961">
            <w:pPr>
              <w:spacing w:line="240" w:lineRule="auto"/>
              <w:rPr>
                <w:rFonts w:ascii="Segoe UI" w:eastAsia="Times New Roman" w:hAnsi="Segoe UI" w:cs="Segoe UI"/>
                <w:kern w:val="0"/>
                <w:sz w:val="21"/>
                <w:szCs w:val="21"/>
                <w:lang w:eastAsia="es-419"/>
                <w14:ligatures w14:val="none"/>
              </w:rPr>
            </w:pPr>
            <w:r w:rsidRPr="005C2961">
              <w:rPr>
                <w:rFonts w:ascii="Segoe UI" w:eastAsia="Times New Roman" w:hAnsi="Segoe UI" w:cs="Segoe UI"/>
                <w:kern w:val="0"/>
                <w:sz w:val="21"/>
                <w:szCs w:val="21"/>
                <w:lang w:eastAsia="es-419"/>
                <w14:ligatures w14:val="none"/>
              </w:rPr>
              <w:t>Procedimiento Tributario</w:t>
            </w:r>
          </w:p>
        </w:tc>
      </w:tr>
      <w:tr w:rsidR="005C2961" w:rsidRPr="005C2961" w14:paraId="0814BEF4" w14:textId="77777777" w:rsidTr="005C2961">
        <w:tc>
          <w:tcPr>
            <w:tcW w:w="2285" w:type="dxa"/>
            <w:tcBorders>
              <w:top w:val="nil"/>
              <w:left w:val="nil"/>
              <w:bottom w:val="nil"/>
              <w:right w:val="nil"/>
            </w:tcBorders>
            <w:tcMar>
              <w:top w:w="0" w:type="dxa"/>
              <w:left w:w="105" w:type="dxa"/>
              <w:bottom w:w="0" w:type="dxa"/>
              <w:right w:w="105" w:type="dxa"/>
            </w:tcMar>
            <w:hideMark/>
          </w:tcPr>
          <w:p w14:paraId="372762F3" w14:textId="77777777" w:rsidR="005C2961" w:rsidRPr="005C2961" w:rsidRDefault="005C2961" w:rsidP="005C2961">
            <w:pPr>
              <w:spacing w:line="240" w:lineRule="auto"/>
              <w:rPr>
                <w:rFonts w:ascii="Segoe UI" w:eastAsia="Times New Roman" w:hAnsi="Segoe UI" w:cs="Segoe UI"/>
                <w:kern w:val="0"/>
                <w:sz w:val="21"/>
                <w:szCs w:val="21"/>
                <w:lang w:eastAsia="es-419"/>
                <w14:ligatures w14:val="none"/>
              </w:rPr>
            </w:pPr>
            <w:r w:rsidRPr="005C2961">
              <w:rPr>
                <w:rFonts w:ascii="Segoe UI" w:eastAsia="Times New Roman" w:hAnsi="Segoe UI" w:cs="Segoe UI"/>
                <w:b/>
                <w:bCs/>
                <w:kern w:val="0"/>
                <w:sz w:val="21"/>
                <w:szCs w:val="21"/>
                <w:lang w:eastAsia="es-419"/>
                <w14:ligatures w14:val="none"/>
              </w:rPr>
              <w:t>Descriptores:</w:t>
            </w:r>
          </w:p>
        </w:tc>
        <w:tc>
          <w:tcPr>
            <w:tcW w:w="6609" w:type="dxa"/>
            <w:tcBorders>
              <w:top w:val="nil"/>
              <w:left w:val="nil"/>
              <w:bottom w:val="nil"/>
              <w:right w:val="nil"/>
            </w:tcBorders>
            <w:tcMar>
              <w:top w:w="0" w:type="dxa"/>
              <w:left w:w="105" w:type="dxa"/>
              <w:bottom w:w="0" w:type="dxa"/>
              <w:right w:w="105" w:type="dxa"/>
            </w:tcMar>
            <w:hideMark/>
          </w:tcPr>
          <w:p w14:paraId="7D0BD01A" w14:textId="77777777" w:rsidR="005C2961" w:rsidRPr="005C2961" w:rsidRDefault="005C2961" w:rsidP="005C2961">
            <w:pPr>
              <w:spacing w:line="240" w:lineRule="auto"/>
              <w:rPr>
                <w:rFonts w:ascii="Segoe UI" w:eastAsia="Times New Roman" w:hAnsi="Segoe UI" w:cs="Segoe UI"/>
                <w:kern w:val="0"/>
                <w:sz w:val="21"/>
                <w:szCs w:val="21"/>
                <w:lang w:eastAsia="es-419"/>
                <w14:ligatures w14:val="none"/>
              </w:rPr>
            </w:pPr>
            <w:r w:rsidRPr="005C2961">
              <w:rPr>
                <w:rFonts w:ascii="Segoe UI" w:eastAsia="Times New Roman" w:hAnsi="Segoe UI" w:cs="Segoe UI"/>
                <w:kern w:val="0"/>
                <w:sz w:val="21"/>
                <w:szCs w:val="21"/>
                <w:lang w:eastAsia="es-419"/>
                <w14:ligatures w14:val="none"/>
              </w:rPr>
              <w:t>Ingreso por enajenación de acciones.</w:t>
            </w:r>
          </w:p>
          <w:p w14:paraId="493B6EC1" w14:textId="77777777" w:rsidR="005C2961" w:rsidRPr="005C2961" w:rsidRDefault="005C2961" w:rsidP="005C2961">
            <w:pPr>
              <w:spacing w:line="240" w:lineRule="auto"/>
              <w:rPr>
                <w:rFonts w:ascii="Segoe UI" w:eastAsia="Times New Roman" w:hAnsi="Segoe UI" w:cs="Segoe UI"/>
                <w:kern w:val="0"/>
                <w:sz w:val="21"/>
                <w:szCs w:val="21"/>
                <w:lang w:eastAsia="es-419"/>
                <w14:ligatures w14:val="none"/>
              </w:rPr>
            </w:pPr>
            <w:r w:rsidRPr="005C2961">
              <w:rPr>
                <w:rFonts w:ascii="Segoe UI" w:eastAsia="Times New Roman" w:hAnsi="Segoe UI" w:cs="Segoe UI"/>
                <w:kern w:val="0"/>
                <w:sz w:val="21"/>
                <w:szCs w:val="21"/>
                <w:lang w:eastAsia="es-419"/>
                <w14:ligatures w14:val="none"/>
              </w:rPr>
              <w:t>Información exógena.</w:t>
            </w:r>
          </w:p>
        </w:tc>
      </w:tr>
      <w:tr w:rsidR="005C2961" w:rsidRPr="005C2961" w14:paraId="0F740F7B" w14:textId="77777777" w:rsidTr="005C2961">
        <w:tc>
          <w:tcPr>
            <w:tcW w:w="2285" w:type="dxa"/>
            <w:tcBorders>
              <w:top w:val="nil"/>
              <w:left w:val="nil"/>
              <w:bottom w:val="nil"/>
              <w:right w:val="nil"/>
            </w:tcBorders>
            <w:tcMar>
              <w:top w:w="0" w:type="dxa"/>
              <w:left w:w="105" w:type="dxa"/>
              <w:bottom w:w="0" w:type="dxa"/>
              <w:right w:w="105" w:type="dxa"/>
            </w:tcMar>
            <w:hideMark/>
          </w:tcPr>
          <w:p w14:paraId="1EEE4C24" w14:textId="77777777" w:rsidR="005C2961" w:rsidRPr="005C2961" w:rsidRDefault="005C2961" w:rsidP="005C2961">
            <w:pPr>
              <w:spacing w:line="240" w:lineRule="auto"/>
              <w:rPr>
                <w:rFonts w:ascii="Segoe UI" w:eastAsia="Times New Roman" w:hAnsi="Segoe UI" w:cs="Segoe UI"/>
                <w:kern w:val="0"/>
                <w:sz w:val="21"/>
                <w:szCs w:val="21"/>
                <w:lang w:eastAsia="es-419"/>
                <w14:ligatures w14:val="none"/>
              </w:rPr>
            </w:pPr>
            <w:r w:rsidRPr="005C2961">
              <w:rPr>
                <w:rFonts w:ascii="Segoe UI" w:eastAsia="Times New Roman" w:hAnsi="Segoe UI" w:cs="Segoe UI"/>
                <w:b/>
                <w:bCs/>
                <w:kern w:val="0"/>
                <w:sz w:val="21"/>
                <w:szCs w:val="21"/>
                <w:lang w:eastAsia="es-419"/>
                <w14:ligatures w14:val="none"/>
              </w:rPr>
              <w:t>Fuentes formales:</w:t>
            </w:r>
          </w:p>
        </w:tc>
        <w:tc>
          <w:tcPr>
            <w:tcW w:w="6609" w:type="dxa"/>
            <w:tcBorders>
              <w:top w:val="nil"/>
              <w:left w:val="nil"/>
              <w:bottom w:val="nil"/>
              <w:right w:val="nil"/>
            </w:tcBorders>
            <w:tcMar>
              <w:top w:w="0" w:type="dxa"/>
              <w:left w:w="105" w:type="dxa"/>
              <w:bottom w:w="0" w:type="dxa"/>
              <w:right w:w="105" w:type="dxa"/>
            </w:tcMar>
            <w:hideMark/>
          </w:tcPr>
          <w:p w14:paraId="36EBCF14" w14:textId="77777777" w:rsidR="005C2961" w:rsidRPr="005C2961" w:rsidRDefault="005C2961" w:rsidP="005C2961">
            <w:pPr>
              <w:spacing w:line="240" w:lineRule="auto"/>
              <w:rPr>
                <w:rFonts w:ascii="Segoe UI" w:eastAsia="Times New Roman" w:hAnsi="Segoe UI" w:cs="Segoe UI"/>
                <w:kern w:val="0"/>
                <w:sz w:val="21"/>
                <w:szCs w:val="21"/>
                <w:lang w:eastAsia="es-419"/>
                <w14:ligatures w14:val="none"/>
              </w:rPr>
            </w:pPr>
            <w:r w:rsidRPr="005C2961">
              <w:rPr>
                <w:rFonts w:ascii="Segoe UI" w:eastAsia="Times New Roman" w:hAnsi="Segoe UI" w:cs="Segoe UI"/>
                <w:kern w:val="0"/>
                <w:sz w:val="21"/>
                <w:szCs w:val="21"/>
                <w:lang w:eastAsia="es-419"/>
                <w14:ligatures w14:val="none"/>
              </w:rPr>
              <w:t>Estatuto Tributario Artículos </w:t>
            </w:r>
            <w:hyperlink r:id="rId5" w:tooltip="Estatuto Tributario CETA" w:history="1">
              <w:r w:rsidRPr="005C2961">
                <w:rPr>
                  <w:rFonts w:ascii="Segoe UI" w:eastAsia="Times New Roman" w:hAnsi="Segoe UI" w:cs="Segoe UI"/>
                  <w:color w:val="0645AD"/>
                  <w:kern w:val="0"/>
                  <w:sz w:val="21"/>
                  <w:szCs w:val="21"/>
                  <w:u w:val="single"/>
                  <w:lang w:eastAsia="es-419"/>
                  <w14:ligatures w14:val="none"/>
                </w:rPr>
                <w:t>26</w:t>
              </w:r>
            </w:hyperlink>
            <w:r w:rsidRPr="005C2961">
              <w:rPr>
                <w:rFonts w:ascii="Segoe UI" w:eastAsia="Times New Roman" w:hAnsi="Segoe UI" w:cs="Segoe UI"/>
                <w:kern w:val="0"/>
                <w:sz w:val="21"/>
                <w:szCs w:val="21"/>
                <w:lang w:eastAsia="es-419"/>
                <w14:ligatures w14:val="none"/>
              </w:rPr>
              <w:t>, </w:t>
            </w:r>
            <w:hyperlink r:id="rId6" w:tooltip="Estatuto Tributario CETA" w:history="1">
              <w:r w:rsidRPr="005C2961">
                <w:rPr>
                  <w:rFonts w:ascii="Segoe UI" w:eastAsia="Times New Roman" w:hAnsi="Segoe UI" w:cs="Segoe UI"/>
                  <w:color w:val="0645AD"/>
                  <w:kern w:val="0"/>
                  <w:sz w:val="21"/>
                  <w:szCs w:val="21"/>
                  <w:u w:val="single"/>
                  <w:lang w:eastAsia="es-419"/>
                  <w14:ligatures w14:val="none"/>
                </w:rPr>
                <w:t>36-1</w:t>
              </w:r>
            </w:hyperlink>
            <w:r w:rsidRPr="005C2961">
              <w:rPr>
                <w:rFonts w:ascii="Segoe UI" w:eastAsia="Times New Roman" w:hAnsi="Segoe UI" w:cs="Segoe UI"/>
                <w:kern w:val="0"/>
                <w:sz w:val="21"/>
                <w:szCs w:val="21"/>
                <w:lang w:eastAsia="es-419"/>
                <w14:ligatures w14:val="none"/>
              </w:rPr>
              <w:t>, </w:t>
            </w:r>
            <w:hyperlink r:id="rId7" w:tooltip="Estatuto Tributario CETA" w:history="1">
              <w:r w:rsidRPr="005C2961">
                <w:rPr>
                  <w:rFonts w:ascii="Segoe UI" w:eastAsia="Times New Roman" w:hAnsi="Segoe UI" w:cs="Segoe UI"/>
                  <w:color w:val="0645AD"/>
                  <w:kern w:val="0"/>
                  <w:sz w:val="21"/>
                  <w:szCs w:val="21"/>
                  <w:u w:val="single"/>
                  <w:lang w:eastAsia="es-419"/>
                  <w14:ligatures w14:val="none"/>
                </w:rPr>
                <w:t>90</w:t>
              </w:r>
            </w:hyperlink>
            <w:r w:rsidRPr="005C2961">
              <w:rPr>
                <w:rFonts w:ascii="Segoe UI" w:eastAsia="Times New Roman" w:hAnsi="Segoe UI" w:cs="Segoe UI"/>
                <w:kern w:val="0"/>
                <w:sz w:val="21"/>
                <w:szCs w:val="21"/>
                <w:lang w:eastAsia="es-419"/>
                <w14:ligatures w14:val="none"/>
              </w:rPr>
              <w:t>, </w:t>
            </w:r>
            <w:hyperlink r:id="rId8" w:tooltip="Estatuto Tributario CETA" w:history="1">
              <w:r w:rsidRPr="005C2961">
                <w:rPr>
                  <w:rFonts w:ascii="Segoe UI" w:eastAsia="Times New Roman" w:hAnsi="Segoe UI" w:cs="Segoe UI"/>
                  <w:color w:val="0645AD"/>
                  <w:kern w:val="0"/>
                  <w:sz w:val="21"/>
                  <w:szCs w:val="21"/>
                  <w:u w:val="single"/>
                  <w:lang w:eastAsia="es-419"/>
                  <w14:ligatures w14:val="none"/>
                </w:rPr>
                <w:t>153</w:t>
              </w:r>
            </w:hyperlink>
            <w:r w:rsidRPr="005C2961">
              <w:rPr>
                <w:rFonts w:ascii="Segoe UI" w:eastAsia="Times New Roman" w:hAnsi="Segoe UI" w:cs="Segoe UI"/>
                <w:kern w:val="0"/>
                <w:sz w:val="21"/>
                <w:szCs w:val="21"/>
                <w:lang w:eastAsia="es-419"/>
                <w14:ligatures w14:val="none"/>
              </w:rPr>
              <w:t>, </w:t>
            </w:r>
            <w:hyperlink r:id="rId9" w:tooltip="Estatuto Tributario CETA" w:history="1">
              <w:r w:rsidRPr="005C2961">
                <w:rPr>
                  <w:rFonts w:ascii="Segoe UI" w:eastAsia="Times New Roman" w:hAnsi="Segoe UI" w:cs="Segoe UI"/>
                  <w:color w:val="0645AD"/>
                  <w:kern w:val="0"/>
                  <w:sz w:val="21"/>
                  <w:szCs w:val="21"/>
                  <w:u w:val="single"/>
                  <w:lang w:eastAsia="es-419"/>
                  <w14:ligatures w14:val="none"/>
                </w:rPr>
                <w:t>300</w:t>
              </w:r>
            </w:hyperlink>
            <w:r w:rsidRPr="005C2961">
              <w:rPr>
                <w:rFonts w:ascii="Segoe UI" w:eastAsia="Times New Roman" w:hAnsi="Segoe UI" w:cs="Segoe UI"/>
                <w:kern w:val="0"/>
                <w:sz w:val="21"/>
                <w:szCs w:val="21"/>
                <w:lang w:eastAsia="es-419"/>
                <w14:ligatures w14:val="none"/>
              </w:rPr>
              <w:t>, </w:t>
            </w:r>
            <w:hyperlink r:id="rId10" w:tooltip="Estatuto Tributario CETA" w:history="1">
              <w:r w:rsidRPr="005C2961">
                <w:rPr>
                  <w:rFonts w:ascii="Segoe UI" w:eastAsia="Times New Roman" w:hAnsi="Segoe UI" w:cs="Segoe UI"/>
                  <w:color w:val="0645AD"/>
                  <w:kern w:val="0"/>
                  <w:sz w:val="21"/>
                  <w:szCs w:val="21"/>
                  <w:u w:val="single"/>
                  <w:lang w:eastAsia="es-419"/>
                  <w14:ligatures w14:val="none"/>
                </w:rPr>
                <w:t>596</w:t>
              </w:r>
            </w:hyperlink>
            <w:r w:rsidRPr="005C2961">
              <w:rPr>
                <w:rFonts w:ascii="Segoe UI" w:eastAsia="Times New Roman" w:hAnsi="Segoe UI" w:cs="Segoe UI"/>
                <w:kern w:val="0"/>
                <w:sz w:val="21"/>
                <w:szCs w:val="21"/>
                <w:lang w:eastAsia="es-419"/>
                <w14:ligatures w14:val="none"/>
              </w:rPr>
              <w:t>; Resolución 000124 de 2021, artículos 17 y 19.</w:t>
            </w:r>
          </w:p>
        </w:tc>
      </w:tr>
    </w:tbl>
    <w:p w14:paraId="495084F9"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p>
    <w:p w14:paraId="5FFB09E3"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p>
    <w:p w14:paraId="057E2AF9" w14:textId="292AFF24"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Cordial saludo,</w:t>
      </w:r>
    </w:p>
    <w:p w14:paraId="5443500C"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562C20A"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6BDD1F6B"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p>
    <w:p w14:paraId="630A54B3" w14:textId="76159C8B"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PROBLEMA JURÍDICO 1.</w:t>
      </w:r>
    </w:p>
    <w:p w14:paraId="1E604E9E"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FB4B2FA"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persona natural que obtiene ingresos por la enajenación de acciones debe declarar la totalidad de los ingresos generados o solamente la ganancia neta sobre la inversión inicial? ¿Si el ejercicio genera pérdida como debe declarar?</w:t>
      </w:r>
    </w:p>
    <w:p w14:paraId="024307C7"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08E0095"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TESIS JURÍDICA 1.</w:t>
      </w:r>
    </w:p>
    <w:p w14:paraId="42B9432D"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852E72B"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Para efectos del impuesto de renta y tratándose de la enajenación de acciones, de acuerdo con el </w:t>
      </w:r>
      <w:hyperlink r:id="rId11" w:tooltip="Estatuto Tributario CETA" w:history="1">
        <w:r>
          <w:rPr>
            <w:rStyle w:val="Hipervnculo"/>
            <w:rFonts w:ascii="Segoe UI" w:eastAsiaTheme="majorEastAsia" w:hAnsi="Segoe UI" w:cs="Segoe UI"/>
            <w:color w:val="0645AD"/>
            <w:sz w:val="21"/>
            <w:szCs w:val="21"/>
          </w:rPr>
          <w:t>artículo 26</w:t>
        </w:r>
      </w:hyperlink>
      <w:r>
        <w:rPr>
          <w:rFonts w:ascii="Segoe UI" w:hAnsi="Segoe UI" w:cs="Segoe UI"/>
          <w:color w:val="000000"/>
          <w:sz w:val="21"/>
          <w:szCs w:val="21"/>
        </w:rPr>
        <w:t> del Estatuto Tributario debe declararse la totalidad de los ingresos, sean ordinarios o extraordinarios. Por disposición expresa del </w:t>
      </w:r>
      <w:hyperlink r:id="rId12" w:tooltip="Estatuto Tributario CETA" w:history="1">
        <w:r>
          <w:rPr>
            <w:rStyle w:val="Hipervnculo"/>
            <w:rFonts w:ascii="Segoe UI" w:eastAsiaTheme="majorEastAsia" w:hAnsi="Segoe UI" w:cs="Segoe UI"/>
            <w:color w:val="0645AD"/>
            <w:sz w:val="21"/>
            <w:szCs w:val="21"/>
          </w:rPr>
          <w:t>artículo 153</w:t>
        </w:r>
      </w:hyperlink>
      <w:r>
        <w:rPr>
          <w:rFonts w:ascii="Segoe UI" w:hAnsi="Segoe UI" w:cs="Segoe UI"/>
          <w:color w:val="000000"/>
          <w:sz w:val="21"/>
          <w:szCs w:val="21"/>
        </w:rPr>
        <w:t> del Estatuto Tributario la pérdida en la enajenación de acciones no es deducible.</w:t>
      </w:r>
    </w:p>
    <w:p w14:paraId="7F7B43F2"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21AAEFB" w14:textId="37AE47A0"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FUNDAMENTACIÓN.</w:t>
      </w:r>
    </w:p>
    <w:p w14:paraId="24B790A0"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13421DE"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Las acciones poseídas por el contribuyente </w:t>
      </w:r>
      <w:r>
        <w:rPr>
          <w:rFonts w:ascii="Segoe UI" w:hAnsi="Segoe UI" w:cs="Segoe UI"/>
          <w:color w:val="000000"/>
          <w:sz w:val="21"/>
          <w:szCs w:val="21"/>
          <w:u w:val="single"/>
        </w:rPr>
        <w:t>a 31 de diciembre del respectivo año gravable </w:t>
      </w:r>
      <w:r>
        <w:rPr>
          <w:rFonts w:ascii="Segoe UI" w:hAnsi="Segoe UI" w:cs="Segoe UI"/>
          <w:color w:val="000000"/>
          <w:sz w:val="21"/>
          <w:szCs w:val="21"/>
        </w:rPr>
        <w:t>forman parte del patrimonio bruto, por tanto deben ser declaradas. Para ello debe atenderse lo dispuesto, entre otros, en los artículos </w:t>
      </w:r>
      <w:hyperlink r:id="rId13" w:tooltip="Estatuto Tributario CETA" w:history="1">
        <w:r>
          <w:rPr>
            <w:rStyle w:val="Hipervnculo"/>
            <w:rFonts w:ascii="Segoe UI" w:eastAsiaTheme="majorEastAsia" w:hAnsi="Segoe UI" w:cs="Segoe UI"/>
            <w:color w:val="0645AD"/>
            <w:sz w:val="21"/>
            <w:szCs w:val="21"/>
          </w:rPr>
          <w:t>261</w:t>
        </w:r>
      </w:hyperlink>
      <w:r>
        <w:rPr>
          <w:rFonts w:ascii="Segoe UI" w:hAnsi="Segoe UI" w:cs="Segoe UI"/>
          <w:color w:val="000000"/>
          <w:sz w:val="21"/>
          <w:szCs w:val="21"/>
        </w:rPr>
        <w:t>, </w:t>
      </w:r>
      <w:hyperlink r:id="rId14" w:tooltip="Estatuto Tributario CETA" w:history="1">
        <w:r>
          <w:rPr>
            <w:rStyle w:val="Hipervnculo"/>
            <w:rFonts w:ascii="Segoe UI" w:eastAsiaTheme="majorEastAsia" w:hAnsi="Segoe UI" w:cs="Segoe UI"/>
            <w:color w:val="0645AD"/>
            <w:sz w:val="21"/>
            <w:szCs w:val="21"/>
          </w:rPr>
          <w:t>272</w:t>
        </w:r>
      </w:hyperlink>
      <w:r>
        <w:rPr>
          <w:rFonts w:ascii="Segoe UI" w:hAnsi="Segoe UI" w:cs="Segoe UI"/>
          <w:color w:val="000000"/>
          <w:sz w:val="21"/>
          <w:szCs w:val="21"/>
        </w:rPr>
        <w:t>, </w:t>
      </w:r>
      <w:hyperlink r:id="rId15" w:tooltip="Estatuto Tributario CETA" w:history="1">
        <w:r>
          <w:rPr>
            <w:rStyle w:val="Hipervnculo"/>
            <w:rFonts w:ascii="Segoe UI" w:eastAsiaTheme="majorEastAsia" w:hAnsi="Segoe UI" w:cs="Segoe UI"/>
            <w:color w:val="0645AD"/>
            <w:sz w:val="21"/>
            <w:szCs w:val="21"/>
          </w:rPr>
          <w:t>280</w:t>
        </w:r>
      </w:hyperlink>
      <w:r>
        <w:rPr>
          <w:rFonts w:ascii="Segoe UI" w:hAnsi="Segoe UI" w:cs="Segoe UI"/>
          <w:color w:val="000000"/>
          <w:sz w:val="21"/>
          <w:szCs w:val="21"/>
        </w:rPr>
        <w:t>, </w:t>
      </w:r>
      <w:hyperlink r:id="rId16" w:tooltip="Estatuto Tributario CETA" w:history="1">
        <w:r>
          <w:rPr>
            <w:rStyle w:val="Hipervnculo"/>
            <w:rFonts w:ascii="Segoe UI" w:eastAsiaTheme="majorEastAsia" w:hAnsi="Segoe UI" w:cs="Segoe UI"/>
            <w:color w:val="0645AD"/>
            <w:sz w:val="21"/>
            <w:szCs w:val="21"/>
          </w:rPr>
          <w:t>70</w:t>
        </w:r>
      </w:hyperlink>
      <w:r>
        <w:rPr>
          <w:rFonts w:ascii="Segoe UI" w:hAnsi="Segoe UI" w:cs="Segoe UI"/>
          <w:color w:val="000000"/>
          <w:sz w:val="21"/>
          <w:szCs w:val="21"/>
        </w:rPr>
        <w:t>, </w:t>
      </w:r>
      <w:hyperlink r:id="rId17" w:tooltip="Estatuto Tributario CETA" w:history="1">
        <w:r>
          <w:rPr>
            <w:rStyle w:val="Hipervnculo"/>
            <w:rFonts w:ascii="Segoe UI" w:eastAsiaTheme="majorEastAsia" w:hAnsi="Segoe UI" w:cs="Segoe UI"/>
            <w:color w:val="0645AD"/>
            <w:sz w:val="21"/>
            <w:szCs w:val="21"/>
          </w:rPr>
          <w:t>74-1</w:t>
        </w:r>
      </w:hyperlink>
      <w:r>
        <w:rPr>
          <w:rFonts w:ascii="Segoe UI" w:hAnsi="Segoe UI" w:cs="Segoe UI"/>
          <w:color w:val="000000"/>
          <w:sz w:val="21"/>
          <w:szCs w:val="21"/>
        </w:rPr>
        <w:t> del Estatuto Tributario y demás normas pertinentes.</w:t>
      </w:r>
    </w:p>
    <w:p w14:paraId="38041006"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EE78FDF"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Ahora bien, de acuerdo con el </w:t>
      </w:r>
      <w:hyperlink r:id="rId18" w:tooltip="Estatuto Tributario CETA" w:history="1">
        <w:r>
          <w:rPr>
            <w:rStyle w:val="Hipervnculo"/>
            <w:rFonts w:ascii="Segoe UI" w:eastAsiaTheme="majorEastAsia" w:hAnsi="Segoe UI" w:cs="Segoe UI"/>
            <w:color w:val="0645AD"/>
            <w:sz w:val="21"/>
            <w:szCs w:val="21"/>
          </w:rPr>
          <w:t>artículo 26</w:t>
        </w:r>
      </w:hyperlink>
      <w:r>
        <w:rPr>
          <w:rFonts w:ascii="Segoe UI" w:hAnsi="Segoe UI" w:cs="Segoe UI"/>
          <w:color w:val="000000"/>
          <w:sz w:val="21"/>
          <w:szCs w:val="21"/>
        </w:rPr>
        <w:t> del Estatuto Tributario:</w:t>
      </w:r>
    </w:p>
    <w:p w14:paraId="648721BF"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F267E05" w14:textId="77777777" w:rsidR="005C2961" w:rsidRDefault="005C2961" w:rsidP="005C2961">
      <w:pPr>
        <w:pStyle w:val="NormalWeb"/>
        <w:spacing w:before="0" w:beforeAutospacing="0" w:after="0" w:afterAutospacing="0"/>
        <w:ind w:left="284"/>
        <w:jc w:val="both"/>
        <w:rPr>
          <w:rFonts w:ascii="Segoe UI" w:hAnsi="Segoe UI" w:cs="Segoe UI"/>
          <w:color w:val="000000"/>
          <w:sz w:val="21"/>
          <w:szCs w:val="21"/>
        </w:rPr>
      </w:pPr>
      <w:hyperlink r:id="rId19" w:tooltip="Estatuto Tributario CETA" w:history="1">
        <w:r>
          <w:rPr>
            <w:rStyle w:val="Hipervnculo"/>
            <w:rFonts w:ascii="Segoe UI" w:eastAsiaTheme="majorEastAsia" w:hAnsi="Segoe UI" w:cs="Segoe UI"/>
            <w:b/>
            <w:bCs/>
            <w:color w:val="0645AD"/>
            <w:sz w:val="21"/>
            <w:szCs w:val="21"/>
          </w:rPr>
          <w:t>ARTÍCULO 26</w:t>
        </w:r>
      </w:hyperlink>
      <w:r>
        <w:rPr>
          <w:rFonts w:ascii="Segoe UI" w:hAnsi="Segoe UI" w:cs="Segoe UI"/>
          <w:b/>
          <w:bCs/>
          <w:color w:val="000000"/>
          <w:sz w:val="21"/>
          <w:szCs w:val="21"/>
        </w:rPr>
        <w:t>. LOS INGRESOS SON BASE DE LA RENTA LIQUIDA.</w:t>
      </w:r>
      <w:r>
        <w:rPr>
          <w:rFonts w:ascii="Segoe UI" w:hAnsi="Segoe UI" w:cs="Segoe UI"/>
          <w:color w:val="000000"/>
          <w:sz w:val="21"/>
          <w:szCs w:val="21"/>
        </w:rPr>
        <w:t> </w:t>
      </w:r>
      <w:r>
        <w:rPr>
          <w:rFonts w:ascii="Segoe UI" w:hAnsi="Segoe UI" w:cs="Segoe UI"/>
          <w:color w:val="000000"/>
          <w:sz w:val="21"/>
          <w:szCs w:val="21"/>
          <w:u w:val="single"/>
        </w:rPr>
        <w:t>La renta líquida gravable se determina así: de la suma de todos los ingresos ordinarios y extraordinarios realizados en el año o período gravable, que sean susceptibles de producir un incremento neto del patrimonio en el momento de su percepción, y que no hayan sido expresamente exceptuados</w:t>
      </w:r>
      <w:r>
        <w:rPr>
          <w:rFonts w:ascii="Segoe UI" w:hAnsi="Segoe UI" w:cs="Segoe UI"/>
          <w:color w:val="000000"/>
          <w:sz w:val="21"/>
          <w:szCs w:val="21"/>
        </w:rPr>
        <w:t>, se restan las devoluciones, rebajas y descuentos, con lo cual se obtienen los ingresos netos. De los ingresos netos se restan, cuando sea el caso, los costos realizados imputables a tales ingresos, con lo cual se obtiene la renta bruta. De la renta bruta se restan las deducciones realizadas, con lo cual se obtiene la renta líquida. Salvo las excepciones legales, la renta líquida es renta gravable y a ella se aplican las tarifas señaladas en la ley. (subrayado fuera de texto)</w:t>
      </w:r>
    </w:p>
    <w:p w14:paraId="72BD534A"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431370A"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consecuencia, el ingreso que se obtenga en razón a la enajenación de acciones, ordinario o extraordinario, que sea susceptible de producir un incremento neto del patrimonio al momento de su percepción y que no se encuentre expresamente exceptuado está gravado, previa la depuración indicada en la norma que se cita.</w:t>
      </w:r>
    </w:p>
    <w:p w14:paraId="4167B10E"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p>
    <w:p w14:paraId="1E114A93" w14:textId="4547C162"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oficio No. 033661 del 20 de noviembre de 2018, previa cita del </w:t>
      </w:r>
      <w:hyperlink r:id="rId20" w:tooltip="Estatuto Tributario CETA" w:history="1">
        <w:r>
          <w:rPr>
            <w:rStyle w:val="Hipervnculo"/>
            <w:rFonts w:ascii="Segoe UI" w:eastAsiaTheme="majorEastAsia" w:hAnsi="Segoe UI" w:cs="Segoe UI"/>
            <w:color w:val="0645AD"/>
            <w:sz w:val="21"/>
            <w:szCs w:val="21"/>
          </w:rPr>
          <w:t>artículo 26</w:t>
        </w:r>
      </w:hyperlink>
      <w:r>
        <w:rPr>
          <w:rFonts w:ascii="Segoe UI" w:hAnsi="Segoe UI" w:cs="Segoe UI"/>
          <w:color w:val="000000"/>
          <w:sz w:val="21"/>
          <w:szCs w:val="21"/>
        </w:rPr>
        <w:t> del Estatuto Tributario se indica:</w:t>
      </w:r>
    </w:p>
    <w:p w14:paraId="1866A68C"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51004BA" w14:textId="77777777" w:rsidR="005C2961" w:rsidRDefault="005C2961" w:rsidP="005C296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
    <w:p w14:paraId="4292326E" w14:textId="77777777" w:rsidR="005C2961" w:rsidRDefault="005C2961" w:rsidP="005C296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Una vez nace la obligación, el sujeto pasivo de la obligación, esto es sobre quien recae el impuesto, debe poner en conocimiento la obligación tributaria surgida de los hechos gravados al Estado (sujeto activo), mediante la declaración privada de ese impuesto. El </w:t>
      </w:r>
      <w:hyperlink r:id="rId21" w:tooltip="Estatuto Tributario CETA" w:history="1">
        <w:r>
          <w:rPr>
            <w:rStyle w:val="Hipervnculo"/>
            <w:rFonts w:ascii="Segoe UI" w:eastAsiaTheme="majorEastAsia" w:hAnsi="Segoe UI" w:cs="Segoe UI"/>
            <w:color w:val="0645AD"/>
            <w:sz w:val="21"/>
            <w:szCs w:val="21"/>
          </w:rPr>
          <w:t>artículo 596</w:t>
        </w:r>
      </w:hyperlink>
      <w:r>
        <w:rPr>
          <w:rFonts w:ascii="Segoe UI" w:hAnsi="Segoe UI" w:cs="Segoe UI"/>
          <w:color w:val="000000"/>
          <w:sz w:val="21"/>
          <w:szCs w:val="21"/>
        </w:rPr>
        <w:t> del Estatuto Tributario, </w:t>
      </w:r>
      <w:r>
        <w:rPr>
          <w:rFonts w:ascii="Segoe UI" w:hAnsi="Segoe UI" w:cs="Segoe UI"/>
          <w:color w:val="000000"/>
          <w:sz w:val="21"/>
          <w:szCs w:val="21"/>
          <w:u w:val="single"/>
        </w:rPr>
        <w:t>indican (sic) los elementos de la declaración privada</w:t>
      </w:r>
      <w:r>
        <w:rPr>
          <w:rFonts w:ascii="Segoe UI" w:hAnsi="Segoe UI" w:cs="Segoe UI"/>
          <w:color w:val="000000"/>
          <w:sz w:val="21"/>
          <w:szCs w:val="21"/>
        </w:rPr>
        <w:t>, es decir hecha por el contribuyente, de la forma de declarar el impuesto de renta.</w:t>
      </w:r>
    </w:p>
    <w:p w14:paraId="7DA57E26" w14:textId="77777777" w:rsidR="005C2961" w:rsidRDefault="005C2961" w:rsidP="005C296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0E56FFD" w14:textId="77777777" w:rsidR="005C2961" w:rsidRDefault="005C2961" w:rsidP="005C2961">
      <w:pPr>
        <w:pStyle w:val="NormalWeb"/>
        <w:spacing w:before="0" w:beforeAutospacing="0" w:after="0" w:afterAutospacing="0"/>
        <w:ind w:left="284"/>
        <w:jc w:val="both"/>
        <w:rPr>
          <w:rFonts w:ascii="Segoe UI" w:hAnsi="Segoe UI" w:cs="Segoe UI"/>
          <w:color w:val="000000"/>
          <w:sz w:val="21"/>
          <w:szCs w:val="21"/>
        </w:rPr>
      </w:pPr>
      <w:hyperlink r:id="rId22" w:tooltip="Estatuto Tributario CETA" w:history="1">
        <w:r>
          <w:rPr>
            <w:rStyle w:val="Hipervnculo"/>
            <w:rFonts w:ascii="Segoe UI" w:eastAsiaTheme="majorEastAsia" w:hAnsi="Segoe UI" w:cs="Segoe UI"/>
            <w:b/>
            <w:bCs/>
            <w:color w:val="0645AD"/>
            <w:sz w:val="21"/>
            <w:szCs w:val="21"/>
          </w:rPr>
          <w:t>ARTÍCULO 596</w:t>
        </w:r>
      </w:hyperlink>
      <w:r>
        <w:rPr>
          <w:rFonts w:ascii="Segoe UI" w:hAnsi="Segoe UI" w:cs="Segoe UI"/>
          <w:b/>
          <w:bCs/>
          <w:color w:val="000000"/>
          <w:sz w:val="21"/>
          <w:szCs w:val="21"/>
        </w:rPr>
        <w:t>. CONTENIDO DE LA DECLARACIÓN DE RENTA.</w:t>
      </w:r>
      <w:r>
        <w:rPr>
          <w:rFonts w:ascii="Segoe UI" w:hAnsi="Segoe UI" w:cs="Segoe UI"/>
          <w:color w:val="000000"/>
          <w:sz w:val="21"/>
          <w:szCs w:val="21"/>
        </w:rPr>
        <w:t> La declaración del impuesto sobre la renta y complementarios deberá presentarse en el formulario que para tal efecto señale la Dirección General de Impuestos Nacionales. Esta declaración deberá contener:</w:t>
      </w:r>
    </w:p>
    <w:p w14:paraId="0D06243D" w14:textId="77777777" w:rsidR="005C2961" w:rsidRDefault="005C2961" w:rsidP="005C296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 El formulario que para el efecto señale la Dirección General de Impuestos Nacionales debidamente diligenciado.</w:t>
      </w:r>
    </w:p>
    <w:p w14:paraId="3FA8FE25" w14:textId="77777777" w:rsidR="005C2961" w:rsidRDefault="005C2961" w:rsidP="005C296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 La información necesaria para la identificación y ubicación del contribuyente.</w:t>
      </w:r>
    </w:p>
    <w:p w14:paraId="512A9DF1" w14:textId="77777777" w:rsidR="005C2961" w:rsidRDefault="005C2961" w:rsidP="005C296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u w:val="single"/>
        </w:rPr>
        <w:t>3. La discriminación de los factores necesarios para determinar las bases gravables del impuesto sobre la renta y complementarios</w:t>
      </w:r>
      <w:r>
        <w:rPr>
          <w:rFonts w:ascii="Segoe UI" w:hAnsi="Segoe UI" w:cs="Segoe UI"/>
          <w:color w:val="000000"/>
          <w:sz w:val="21"/>
          <w:szCs w:val="21"/>
        </w:rPr>
        <w:t>.</w:t>
      </w:r>
    </w:p>
    <w:p w14:paraId="6AFA11D9" w14:textId="77777777" w:rsidR="005C2961" w:rsidRDefault="005C2961" w:rsidP="005C296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4. La liquidación privada del impuesto sobre la renta y complementarios, incluidos el anticipo y las sanciones, cuando fuere del caso.</w:t>
      </w:r>
    </w:p>
    <w:p w14:paraId="168B8FDF" w14:textId="77777777" w:rsidR="005C2961" w:rsidRDefault="005C2961" w:rsidP="005C296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31B0FFE" w14:textId="77777777" w:rsidR="005C2961" w:rsidRDefault="005C2961" w:rsidP="005C296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w:t>
      </w:r>
      <w:r>
        <w:rPr>
          <w:rFonts w:ascii="Segoe UI" w:hAnsi="Segoe UI" w:cs="Segoe UI"/>
          <w:color w:val="000000"/>
          <w:sz w:val="21"/>
          <w:szCs w:val="21"/>
        </w:rPr>
        <w:t> (Subrayado fuera de texto)</w:t>
      </w:r>
    </w:p>
    <w:p w14:paraId="64EF1710"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p>
    <w:p w14:paraId="341064FE" w14:textId="4E5045A3"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acuerdo con lo anterior, la totalidad de los ingresos generados por la enajenación de acciones, ordinarios y extraordinarios deben incluirse en la declaración tributaria, ésta permite disminuir aquellos expresamente exceptuados, teniendo en cuenta los costos y gastos atribuibles a los ingresos gravados, lo que permite una vez efectuada la depuración obtener la utilidad correspondiente. Estos factores se informan en las distintas secciones del formulario contentivo de la declaración tributaria, según corresponda.</w:t>
      </w:r>
    </w:p>
    <w:p w14:paraId="73FF21B6"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DBD4139"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En la enajenación de acciones, es necesario considerar, entre otros aspectos, si califican como activos fijos, caso en el cual puede generar una renta o una </w:t>
      </w:r>
      <w:proofErr w:type="spellStart"/>
      <w:r>
        <w:rPr>
          <w:rFonts w:ascii="Segoe UI" w:hAnsi="Segoe UI" w:cs="Segoe UI"/>
          <w:color w:val="000000"/>
          <w:sz w:val="21"/>
          <w:szCs w:val="21"/>
        </w:rPr>
        <w:t>gancia</w:t>
      </w:r>
      <w:proofErr w:type="spellEnd"/>
      <w:r>
        <w:rPr>
          <w:rFonts w:ascii="Segoe UI" w:hAnsi="Segoe UI" w:cs="Segoe UI"/>
          <w:color w:val="000000"/>
          <w:sz w:val="21"/>
          <w:szCs w:val="21"/>
        </w:rPr>
        <w:t xml:space="preserve"> (sic) ocasional, según el tiempo de posesión sea inferior a dos años o superior a este término respectivamente. (cfr. </w:t>
      </w:r>
      <w:hyperlink r:id="rId23" w:tooltip="Estatuto Tributario CETA" w:history="1">
        <w:r>
          <w:rPr>
            <w:rStyle w:val="Hipervnculo"/>
            <w:rFonts w:ascii="Segoe UI" w:eastAsiaTheme="majorEastAsia" w:hAnsi="Segoe UI" w:cs="Segoe UI"/>
            <w:color w:val="0645AD"/>
            <w:sz w:val="21"/>
            <w:szCs w:val="21"/>
          </w:rPr>
          <w:t>Artículo 300</w:t>
        </w:r>
      </w:hyperlink>
      <w:r>
        <w:rPr>
          <w:rFonts w:ascii="Segoe UI" w:hAnsi="Segoe UI" w:cs="Segoe UI"/>
          <w:color w:val="000000"/>
          <w:sz w:val="21"/>
          <w:szCs w:val="21"/>
        </w:rPr>
        <w:t> del Estatuto Tributario)</w:t>
      </w:r>
    </w:p>
    <w:p w14:paraId="007BF629"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A5799AB" w14:textId="161C31F4"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otra parte, para determinar la renta bruta en la venta de acciones debe atenderse las reglas del </w:t>
      </w:r>
      <w:hyperlink r:id="rId24" w:tooltip="Estatuto Tributario CETA" w:history="1">
        <w:r>
          <w:rPr>
            <w:rStyle w:val="Hipervnculo"/>
            <w:rFonts w:ascii="Segoe UI" w:eastAsiaTheme="majorEastAsia" w:hAnsi="Segoe UI" w:cs="Segoe UI"/>
            <w:color w:val="0645AD"/>
            <w:sz w:val="21"/>
            <w:szCs w:val="21"/>
          </w:rPr>
          <w:t>artículo 90</w:t>
        </w:r>
      </w:hyperlink>
      <w:r>
        <w:rPr>
          <w:rFonts w:ascii="Segoe UI" w:hAnsi="Segoe UI" w:cs="Segoe UI"/>
          <w:color w:val="000000"/>
          <w:sz w:val="21"/>
          <w:szCs w:val="21"/>
        </w:rPr>
        <w:t> del Estatuto Tributario, según el cual:</w:t>
      </w:r>
    </w:p>
    <w:p w14:paraId="5DAEDD0E"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8635B2C" w14:textId="77777777" w:rsidR="005C2961" w:rsidRDefault="005C2961" w:rsidP="005C296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La renta bruta o la pérdida proveniente de la enajenación de activos a cualquier título, </w:t>
      </w:r>
      <w:r>
        <w:rPr>
          <w:rFonts w:ascii="Segoe UI" w:hAnsi="Segoe UI" w:cs="Segoe UI"/>
          <w:color w:val="000000"/>
          <w:sz w:val="21"/>
          <w:szCs w:val="21"/>
          <w:u w:val="single"/>
        </w:rPr>
        <w:t>está constituida por la diferencia entre el precio de la enajenación y el costo del activo o activos enajenados</w:t>
      </w:r>
      <w:r>
        <w:rPr>
          <w:rFonts w:ascii="Segoe UI" w:hAnsi="Segoe UI" w:cs="Segoe UI"/>
          <w:color w:val="000000"/>
          <w:sz w:val="21"/>
          <w:szCs w:val="21"/>
        </w:rPr>
        <w:t>. (...)</w:t>
      </w:r>
    </w:p>
    <w:p w14:paraId="36AD6ED7"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6820F5D"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Esta misma norma señala las particularidades y límites para tener en cuenta, según se trate de acciones que cotizan o no cotizan en bolsa.</w:t>
      </w:r>
    </w:p>
    <w:p w14:paraId="369433C9"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E93670E"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Adicionalmente, frente a la enajenación de </w:t>
      </w:r>
      <w:r>
        <w:rPr>
          <w:rFonts w:ascii="Segoe UI" w:hAnsi="Segoe UI" w:cs="Segoe UI"/>
          <w:color w:val="000000"/>
          <w:sz w:val="21"/>
          <w:szCs w:val="21"/>
          <w:u w:val="single"/>
        </w:rPr>
        <w:t>acciones que cotizan en bolsa</w:t>
      </w:r>
      <w:r>
        <w:rPr>
          <w:rFonts w:ascii="Segoe UI" w:hAnsi="Segoe UI" w:cs="Segoe UI"/>
          <w:color w:val="000000"/>
          <w:sz w:val="21"/>
          <w:szCs w:val="21"/>
        </w:rPr>
        <w:t>, es pertinente considerar lo dispuesto en el </w:t>
      </w:r>
      <w:r>
        <w:rPr>
          <w:rFonts w:ascii="Segoe UI" w:hAnsi="Segoe UI" w:cs="Segoe UI"/>
          <w:color w:val="000000"/>
          <w:sz w:val="21"/>
          <w:szCs w:val="21"/>
          <w:u w:val="single"/>
        </w:rPr>
        <w:t>inciso segundo</w:t>
      </w:r>
      <w:r>
        <w:rPr>
          <w:rFonts w:ascii="Segoe UI" w:hAnsi="Segoe UI" w:cs="Segoe UI"/>
          <w:color w:val="000000"/>
          <w:sz w:val="21"/>
          <w:szCs w:val="21"/>
        </w:rPr>
        <w:t> del </w:t>
      </w:r>
      <w:hyperlink r:id="rId25" w:tooltip="Estatuto Tributario CETA" w:history="1">
        <w:r>
          <w:rPr>
            <w:rStyle w:val="Hipervnculo"/>
            <w:rFonts w:ascii="Segoe UI" w:eastAsiaTheme="majorEastAsia" w:hAnsi="Segoe UI" w:cs="Segoe UI"/>
            <w:color w:val="0645AD"/>
            <w:sz w:val="21"/>
            <w:szCs w:val="21"/>
          </w:rPr>
          <w:t>artículo 36-1</w:t>
        </w:r>
      </w:hyperlink>
      <w:r>
        <w:rPr>
          <w:rFonts w:ascii="Segoe UI" w:hAnsi="Segoe UI" w:cs="Segoe UI"/>
          <w:color w:val="000000"/>
          <w:sz w:val="21"/>
          <w:szCs w:val="21"/>
        </w:rPr>
        <w:t> del Estatuto Tributario, que dispone: </w:t>
      </w:r>
      <w:r>
        <w:rPr>
          <w:rFonts w:ascii="Segoe UI" w:hAnsi="Segoe UI" w:cs="Segoe UI"/>
          <w:i/>
          <w:iCs/>
          <w:color w:val="000000"/>
          <w:sz w:val="21"/>
          <w:szCs w:val="21"/>
        </w:rPr>
        <w:t>“No constituyen renta ni ganancia ocasional las utilidades provenientes de la enajenación de acciones inscritas en una Bolsa de Valores Colombiana, de las cuales sea titular un mismo beneficiario real, cuando dicha enajenación no supere el tres por ciento (3%) de las acciones en circulación de la respectiva sociedad, durante un mismo año gravable.”</w:t>
      </w:r>
    </w:p>
    <w:p w14:paraId="27E57767"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92272E0"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Lo anterior de acuerdo con la modificación introducida por la Ley 2277 de 2022. Con anterioridad a esta Ley, la utilidad obtenida no constitutiva de renta o ganancia ocasional tenía lugar si la misma no superaba el 10% de las acciones en circulación de la respectiva sociedad, durante un mismo año gravable. Sin perjuicio de la modificación en comento, este Despacho considera aplicable la interpretación contenida en el Oficio No. 021365 del 2 de abril de 2014 en su análisis sobre los presupuestos para que la utilidad no sea gravada, copia de esta doctrina se adjunta para su conocimiento y fines pertinentes.</w:t>
      </w:r>
    </w:p>
    <w:p w14:paraId="299DC7A7"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5012810"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Finalmente debe tenerse presente que </w:t>
      </w:r>
      <w:r>
        <w:rPr>
          <w:rFonts w:ascii="Segoe UI" w:hAnsi="Segoe UI" w:cs="Segoe UI"/>
          <w:color w:val="000000"/>
          <w:sz w:val="21"/>
          <w:szCs w:val="21"/>
          <w:u w:val="single"/>
        </w:rPr>
        <w:t>la pérdida proveniente de la enajenación de acciones</w:t>
      </w:r>
      <w:r>
        <w:rPr>
          <w:rFonts w:ascii="Segoe UI" w:hAnsi="Segoe UI" w:cs="Segoe UI"/>
          <w:color w:val="000000"/>
          <w:sz w:val="21"/>
          <w:szCs w:val="21"/>
        </w:rPr>
        <w:t> o cuotas de interés social </w:t>
      </w:r>
      <w:r>
        <w:rPr>
          <w:rFonts w:ascii="Segoe UI" w:hAnsi="Segoe UI" w:cs="Segoe UI"/>
          <w:color w:val="000000"/>
          <w:sz w:val="21"/>
          <w:szCs w:val="21"/>
          <w:u w:val="single"/>
        </w:rPr>
        <w:t>no es deducible</w:t>
      </w:r>
      <w:r>
        <w:rPr>
          <w:rFonts w:ascii="Segoe UI" w:hAnsi="Segoe UI" w:cs="Segoe UI"/>
          <w:color w:val="000000"/>
          <w:sz w:val="21"/>
          <w:szCs w:val="21"/>
        </w:rPr>
        <w:t> (cfr. </w:t>
      </w:r>
      <w:hyperlink r:id="rId26" w:tooltip="Estatuto Tributario CETA" w:history="1">
        <w:r>
          <w:rPr>
            <w:rStyle w:val="Hipervnculo"/>
            <w:rFonts w:ascii="Segoe UI" w:eastAsiaTheme="majorEastAsia" w:hAnsi="Segoe UI" w:cs="Segoe UI"/>
            <w:color w:val="0645AD"/>
            <w:sz w:val="21"/>
            <w:szCs w:val="21"/>
          </w:rPr>
          <w:t>Art. 153</w:t>
        </w:r>
      </w:hyperlink>
      <w:r>
        <w:rPr>
          <w:rFonts w:ascii="Segoe UI" w:hAnsi="Segoe UI" w:cs="Segoe UI"/>
          <w:color w:val="000000"/>
          <w:sz w:val="21"/>
          <w:szCs w:val="21"/>
        </w:rPr>
        <w:t> del estatuto Tributario).</w:t>
      </w:r>
    </w:p>
    <w:p w14:paraId="71EB0EC9" w14:textId="77777777" w:rsidR="005C2961" w:rsidRDefault="005C2961" w:rsidP="005C2961">
      <w:pPr>
        <w:pStyle w:val="NormalWeb"/>
        <w:spacing w:before="0" w:beforeAutospacing="0" w:after="0" w:afterAutospacing="0"/>
        <w:jc w:val="both"/>
        <w:rPr>
          <w:rFonts w:ascii="Segoe UI" w:hAnsi="Segoe UI" w:cs="Segoe UI"/>
          <w:b/>
          <w:bCs/>
          <w:color w:val="000000"/>
          <w:sz w:val="21"/>
          <w:szCs w:val="21"/>
        </w:rPr>
      </w:pPr>
    </w:p>
    <w:p w14:paraId="4E51910A" w14:textId="77777777" w:rsidR="005C2961" w:rsidRDefault="005C2961" w:rsidP="005C2961">
      <w:pPr>
        <w:pStyle w:val="NormalWeb"/>
        <w:spacing w:before="0" w:beforeAutospacing="0" w:after="0" w:afterAutospacing="0"/>
        <w:jc w:val="both"/>
        <w:rPr>
          <w:rFonts w:ascii="Segoe UI" w:hAnsi="Segoe UI" w:cs="Segoe UI"/>
          <w:b/>
          <w:bCs/>
          <w:color w:val="000000"/>
          <w:sz w:val="21"/>
          <w:szCs w:val="21"/>
        </w:rPr>
      </w:pPr>
    </w:p>
    <w:p w14:paraId="74D14B11" w14:textId="77777777" w:rsidR="005C2961" w:rsidRDefault="005C2961" w:rsidP="005C2961">
      <w:pPr>
        <w:pStyle w:val="NormalWeb"/>
        <w:spacing w:before="0" w:beforeAutospacing="0" w:after="0" w:afterAutospacing="0"/>
        <w:jc w:val="both"/>
        <w:rPr>
          <w:rFonts w:ascii="Segoe UI" w:hAnsi="Segoe UI" w:cs="Segoe UI"/>
          <w:b/>
          <w:bCs/>
          <w:color w:val="000000"/>
          <w:sz w:val="21"/>
          <w:szCs w:val="21"/>
        </w:rPr>
      </w:pPr>
    </w:p>
    <w:p w14:paraId="5D6A99CA" w14:textId="2A360101"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PROBLEMA JURÍDICO 2.</w:t>
      </w:r>
    </w:p>
    <w:p w14:paraId="5D9AB006"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25FC7A0"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¿Para efectos de la información exógena, la persona natural que compra y vende acciones a través de intermediarios, debe reportar la totalidad del ingreso?</w:t>
      </w:r>
    </w:p>
    <w:p w14:paraId="7F79F8BF"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548BD5D"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TESIS JURÍDICA 2.</w:t>
      </w:r>
    </w:p>
    <w:p w14:paraId="52954392"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34E0703"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Para efectos de la información exógena, la persona natural que compra y vende acciones a través de intermediarios, debe reportar la totalidad del ingreso, sin perjuicio de informar los costos correspondientes en el formato respectivo.</w:t>
      </w:r>
    </w:p>
    <w:p w14:paraId="236FE92A"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750B964"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FUNDAMENTACIÓN.</w:t>
      </w:r>
    </w:p>
    <w:p w14:paraId="0EE4EF99"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FC871E2"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Tratándose de personas naturales y la obligación de informar, en primer lugar, es necesario establecer si se cumplen las condiciones para tener la calidad de informante.</w:t>
      </w:r>
    </w:p>
    <w:p w14:paraId="47C5D8DF"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C1DC0E6"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artículo 1 de la resolución correspondiente, en este caso, de la Resolución 000124 del 28 de octubre de 2021 (modificada y adicionada por la Resolución 000052 del 30 de marzo de 2023) fija los sujetos y criterios que, de cumplirse, implican la obligación de informar a la DIAN. De tal manera que, si una persona natural cumple las condiciones para informar, deberá reportar, entre otra, la </w:t>
      </w:r>
      <w:r>
        <w:rPr>
          <w:rFonts w:ascii="Segoe UI" w:hAnsi="Segoe UI" w:cs="Segoe UI"/>
          <w:color w:val="000000"/>
          <w:sz w:val="21"/>
          <w:szCs w:val="21"/>
          <w:u w:val="single"/>
        </w:rPr>
        <w:t>información correspondiente a ingresos</w:t>
      </w:r>
      <w:r>
        <w:rPr>
          <w:rFonts w:ascii="Segoe UI" w:hAnsi="Segoe UI" w:cs="Segoe UI"/>
          <w:color w:val="000000"/>
          <w:sz w:val="21"/>
          <w:szCs w:val="21"/>
        </w:rPr>
        <w:t>.</w:t>
      </w:r>
    </w:p>
    <w:p w14:paraId="6C7E01E2"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91B1C22"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Precisamente, el Título V de la Resolución 000124, se refiere a la </w:t>
      </w:r>
      <w:r>
        <w:rPr>
          <w:rFonts w:ascii="Segoe UI" w:hAnsi="Segoe UI" w:cs="Segoe UI"/>
          <w:i/>
          <w:iCs/>
          <w:color w:val="000000"/>
          <w:sz w:val="21"/>
          <w:szCs w:val="21"/>
        </w:rPr>
        <w:t>“Información que debe ser reportada anualmente </w:t>
      </w:r>
      <w:r>
        <w:rPr>
          <w:rFonts w:ascii="Segoe UI" w:hAnsi="Segoe UI" w:cs="Segoe UI"/>
          <w:b/>
          <w:bCs/>
          <w:i/>
          <w:iCs/>
          <w:color w:val="000000"/>
          <w:sz w:val="21"/>
          <w:szCs w:val="21"/>
        </w:rPr>
        <w:t>por las personas naturales </w:t>
      </w:r>
      <w:r>
        <w:rPr>
          <w:rFonts w:ascii="Segoe UI" w:hAnsi="Segoe UI" w:cs="Segoe UI"/>
          <w:i/>
          <w:iCs/>
          <w:color w:val="000000"/>
          <w:sz w:val="21"/>
          <w:szCs w:val="21"/>
        </w:rPr>
        <w:t>y sus asimiladas, personas jurídicas y sus asimiladas, entes públicos y demás entidades.”</w:t>
      </w:r>
      <w:r>
        <w:rPr>
          <w:rFonts w:ascii="Segoe UI" w:hAnsi="Segoe UI" w:cs="Segoe UI"/>
          <w:color w:val="000000"/>
          <w:sz w:val="21"/>
          <w:szCs w:val="21"/>
        </w:rPr>
        <w:t> El Capítulo 4 de este título comprende los </w:t>
      </w:r>
      <w:r>
        <w:rPr>
          <w:rFonts w:ascii="Segoe UI" w:hAnsi="Segoe UI" w:cs="Segoe UI"/>
          <w:i/>
          <w:iCs/>
          <w:color w:val="000000"/>
          <w:sz w:val="21"/>
          <w:szCs w:val="21"/>
        </w:rPr>
        <w:t>“Ingresos recibidos en el año ”,</w:t>
      </w:r>
      <w:r>
        <w:rPr>
          <w:rFonts w:ascii="Segoe UI" w:hAnsi="Segoe UI" w:cs="Segoe UI"/>
          <w:color w:val="000000"/>
          <w:sz w:val="21"/>
          <w:szCs w:val="21"/>
        </w:rPr>
        <w:t> cuyo artículo 19 dispone:</w:t>
      </w:r>
    </w:p>
    <w:p w14:paraId="54F3F6DB"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p>
    <w:p w14:paraId="7CA506A0" w14:textId="77777777" w:rsidR="005C2961" w:rsidRDefault="005C2961" w:rsidP="005C2961">
      <w:pPr>
        <w:pStyle w:val="NormalWeb"/>
        <w:spacing w:before="0" w:beforeAutospacing="0" w:after="0" w:afterAutospacing="0"/>
        <w:ind w:left="284"/>
        <w:jc w:val="both"/>
        <w:rPr>
          <w:rFonts w:ascii="Segoe UI" w:hAnsi="Segoe UI" w:cs="Segoe UI"/>
          <w:color w:val="000000"/>
          <w:sz w:val="21"/>
          <w:szCs w:val="21"/>
        </w:rPr>
      </w:pPr>
    </w:p>
    <w:p w14:paraId="2219CAE3" w14:textId="77777777" w:rsidR="005C2961" w:rsidRDefault="005C2961" w:rsidP="005C2961">
      <w:pPr>
        <w:pStyle w:val="NormalWeb"/>
        <w:spacing w:before="0" w:beforeAutospacing="0" w:after="0" w:afterAutospacing="0"/>
        <w:ind w:left="284"/>
        <w:jc w:val="both"/>
        <w:rPr>
          <w:rFonts w:ascii="Segoe UI" w:hAnsi="Segoe UI" w:cs="Segoe UI"/>
          <w:color w:val="000000"/>
          <w:sz w:val="21"/>
          <w:szCs w:val="21"/>
        </w:rPr>
      </w:pPr>
    </w:p>
    <w:p w14:paraId="74107D8D" w14:textId="77777777" w:rsidR="005C2961" w:rsidRDefault="005C2961" w:rsidP="005C2961">
      <w:pPr>
        <w:pStyle w:val="NormalWeb"/>
        <w:spacing w:before="0" w:beforeAutospacing="0" w:after="0" w:afterAutospacing="0"/>
        <w:ind w:left="284"/>
        <w:jc w:val="both"/>
        <w:rPr>
          <w:rFonts w:ascii="Segoe UI" w:hAnsi="Segoe UI" w:cs="Segoe UI"/>
          <w:color w:val="000000"/>
          <w:sz w:val="21"/>
          <w:szCs w:val="21"/>
        </w:rPr>
      </w:pPr>
    </w:p>
    <w:p w14:paraId="16E3B1F0" w14:textId="77777777" w:rsidR="005C2961" w:rsidRDefault="005C2961" w:rsidP="005C2961">
      <w:pPr>
        <w:pStyle w:val="NormalWeb"/>
        <w:spacing w:before="0" w:beforeAutospacing="0" w:after="0" w:afterAutospacing="0"/>
        <w:ind w:left="284"/>
        <w:jc w:val="both"/>
        <w:rPr>
          <w:rFonts w:ascii="Segoe UI" w:hAnsi="Segoe UI" w:cs="Segoe UI"/>
          <w:color w:val="000000"/>
          <w:sz w:val="21"/>
          <w:szCs w:val="21"/>
        </w:rPr>
      </w:pPr>
    </w:p>
    <w:p w14:paraId="73717433" w14:textId="37AD8568" w:rsidR="005C2961" w:rsidRDefault="005C2961" w:rsidP="005C296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Artículo 19 Información de ingresos recibidos en el año. </w:t>
      </w:r>
      <w:r>
        <w:rPr>
          <w:rFonts w:ascii="Segoe UI" w:hAnsi="Segoe UI" w:cs="Segoe UI"/>
          <w:color w:val="000000"/>
          <w:sz w:val="21"/>
          <w:szCs w:val="21"/>
          <w:u w:val="single"/>
        </w:rPr>
        <w:t>Las personas naturales</w:t>
      </w:r>
      <w:r>
        <w:rPr>
          <w:rFonts w:ascii="Segoe UI" w:hAnsi="Segoe UI" w:cs="Segoe UI"/>
          <w:color w:val="000000"/>
          <w:sz w:val="21"/>
          <w:szCs w:val="21"/>
        </w:rPr>
        <w:t> y sus asimiladas, las personas jurídicas y sus asimiladas y, demás entidades públicas y privadas enunciadas en los literales d), e) y g) del artículo 1 de la presente Resolución, de acuerdo con lo establecido en el literal f) del </w:t>
      </w:r>
      <w:hyperlink r:id="rId27" w:tooltip="Estatuto Tributario CETA" w:history="1">
        <w:r>
          <w:rPr>
            <w:rStyle w:val="Hipervnculo"/>
            <w:rFonts w:ascii="Segoe UI" w:eastAsiaTheme="majorEastAsia" w:hAnsi="Segoe UI" w:cs="Segoe UI"/>
            <w:color w:val="0645AD"/>
            <w:sz w:val="21"/>
            <w:szCs w:val="21"/>
          </w:rPr>
          <w:t>artículo 631</w:t>
        </w:r>
      </w:hyperlink>
      <w:r>
        <w:rPr>
          <w:rFonts w:ascii="Segoe UI" w:hAnsi="Segoe UI" w:cs="Segoe UI"/>
          <w:color w:val="000000"/>
          <w:sz w:val="21"/>
          <w:szCs w:val="21"/>
        </w:rPr>
        <w:t> del Estatuto Tributario, </w:t>
      </w:r>
      <w:r>
        <w:rPr>
          <w:rFonts w:ascii="Segoe UI" w:hAnsi="Segoe UI" w:cs="Segoe UI"/>
          <w:color w:val="000000"/>
          <w:sz w:val="21"/>
          <w:szCs w:val="21"/>
          <w:u w:val="single"/>
        </w:rPr>
        <w:t>deberán suministrar apellidos y nombres o razón social, identificación y país de residencia o domicilio de cada una de las personas o entidades, nacionales o extranjeras, de quienes se devengaron ingresos</w:t>
      </w:r>
      <w:r>
        <w:rPr>
          <w:rFonts w:ascii="Segoe UI" w:hAnsi="Segoe UI" w:cs="Segoe UI"/>
          <w:color w:val="000000"/>
          <w:sz w:val="21"/>
          <w:szCs w:val="21"/>
        </w:rPr>
        <w:t>, </w:t>
      </w:r>
      <w:r>
        <w:rPr>
          <w:rFonts w:ascii="Segoe UI" w:hAnsi="Segoe UI" w:cs="Segoe UI"/>
          <w:color w:val="000000"/>
          <w:sz w:val="21"/>
          <w:szCs w:val="21"/>
          <w:u w:val="single"/>
        </w:rPr>
        <w:t>indicando el valor total de los ingresos devengados</w:t>
      </w:r>
      <w:r>
        <w:rPr>
          <w:rFonts w:ascii="Segoe UI" w:hAnsi="Segoe UI" w:cs="Segoe UI"/>
          <w:color w:val="000000"/>
          <w:sz w:val="21"/>
          <w:szCs w:val="21"/>
        </w:rPr>
        <w:t> y el valor de las devoluciones, rebajas y descuentos.</w:t>
      </w:r>
    </w:p>
    <w:p w14:paraId="6283B433" w14:textId="77777777" w:rsidR="005C2961" w:rsidRDefault="005C2961" w:rsidP="005C296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1A4E31D" w14:textId="77777777" w:rsidR="005C2961" w:rsidRDefault="005C2961" w:rsidP="005C296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
    <w:p w14:paraId="5DA9C087" w14:textId="77777777" w:rsidR="005C2961" w:rsidRDefault="005C2961" w:rsidP="005C296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Parágrafo 3.</w:t>
      </w:r>
      <w:r>
        <w:rPr>
          <w:rFonts w:ascii="Segoe UI" w:hAnsi="Segoe UI" w:cs="Segoe UI"/>
          <w:color w:val="000000"/>
          <w:sz w:val="21"/>
          <w:szCs w:val="21"/>
        </w:rPr>
        <w:t> </w:t>
      </w:r>
      <w:r>
        <w:rPr>
          <w:rFonts w:ascii="Segoe UI" w:hAnsi="Segoe UI" w:cs="Segoe UI"/>
          <w:color w:val="000000"/>
          <w:sz w:val="21"/>
          <w:szCs w:val="21"/>
          <w:u w:val="single"/>
        </w:rPr>
        <w:t>En la información de los ingresos recibidos a través de</w:t>
      </w:r>
      <w:r>
        <w:rPr>
          <w:rFonts w:ascii="Segoe UI" w:hAnsi="Segoe UI" w:cs="Segoe UI"/>
          <w:color w:val="000000"/>
          <w:sz w:val="21"/>
          <w:szCs w:val="21"/>
        </w:rPr>
        <w:t> consorcios o uniones temporales, </w:t>
      </w:r>
      <w:r>
        <w:rPr>
          <w:rFonts w:ascii="Segoe UI" w:hAnsi="Segoe UI" w:cs="Segoe UI"/>
          <w:color w:val="000000"/>
          <w:sz w:val="21"/>
          <w:szCs w:val="21"/>
          <w:u w:val="single"/>
        </w:rPr>
        <w:t>de contratos de mandato</w:t>
      </w:r>
      <w:r>
        <w:rPr>
          <w:rFonts w:ascii="Segoe UI" w:hAnsi="Segoe UI" w:cs="Segoe UI"/>
          <w:color w:val="000000"/>
          <w:sz w:val="21"/>
          <w:szCs w:val="21"/>
        </w:rPr>
        <w:t xml:space="preserve"> o administración delegada, de contratos de exploración y explotación de hidrocarburos, gases y minerales, de contratos de </w:t>
      </w:r>
      <w:proofErr w:type="spellStart"/>
      <w:r>
        <w:rPr>
          <w:rFonts w:ascii="Segoe UI" w:hAnsi="Segoe UI" w:cs="Segoe UI"/>
          <w:color w:val="000000"/>
          <w:sz w:val="21"/>
          <w:szCs w:val="21"/>
        </w:rPr>
        <w:t>joint</w:t>
      </w:r>
      <w:proofErr w:type="spellEnd"/>
      <w:r>
        <w:rPr>
          <w:rFonts w:ascii="Segoe UI" w:hAnsi="Segoe UI" w:cs="Segoe UI"/>
          <w:color w:val="000000"/>
          <w:sz w:val="21"/>
          <w:szCs w:val="21"/>
        </w:rPr>
        <w:t xml:space="preserve"> venture, de contratos de cuentas en participación (partícipe oculto), de convenios de cooperación con entidades públicas, de contratos de fiducia </w:t>
      </w:r>
      <w:r>
        <w:rPr>
          <w:rFonts w:ascii="Segoe UI" w:hAnsi="Segoe UI" w:cs="Segoe UI"/>
          <w:color w:val="000000"/>
          <w:sz w:val="21"/>
          <w:szCs w:val="21"/>
          <w:u w:val="single"/>
        </w:rPr>
        <w:t>o a través de terceros como beneficiario del pago</w:t>
      </w:r>
      <w:r>
        <w:rPr>
          <w:rFonts w:ascii="Segoe UI" w:hAnsi="Segoe UI" w:cs="Segoe UI"/>
          <w:color w:val="000000"/>
          <w:sz w:val="21"/>
          <w:szCs w:val="21"/>
        </w:rPr>
        <w:t>, </w:t>
      </w:r>
      <w:r>
        <w:rPr>
          <w:rFonts w:ascii="Segoe UI" w:hAnsi="Segoe UI" w:cs="Segoe UI"/>
          <w:color w:val="000000"/>
          <w:sz w:val="21"/>
          <w:szCs w:val="21"/>
          <w:u w:val="single"/>
        </w:rPr>
        <w:t>se debe reportar la identificación, nombres y apellidos, razón social y país de los terceros que administraron el contrato</w:t>
      </w:r>
      <w:r>
        <w:rPr>
          <w:rFonts w:ascii="Segoe UI" w:hAnsi="Segoe UI" w:cs="Segoe UI"/>
          <w:color w:val="000000"/>
          <w:sz w:val="21"/>
          <w:szCs w:val="21"/>
        </w:rPr>
        <w:t>.</w:t>
      </w:r>
    </w:p>
    <w:p w14:paraId="544BD196" w14:textId="77777777" w:rsidR="005C2961" w:rsidRDefault="005C2961" w:rsidP="005C296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BB43976" w14:textId="77777777" w:rsidR="005C2961" w:rsidRDefault="005C2961" w:rsidP="005C296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Parágrafo 4.</w:t>
      </w:r>
      <w:r>
        <w:rPr>
          <w:rFonts w:ascii="Segoe UI" w:hAnsi="Segoe UI" w:cs="Segoe UI"/>
          <w:color w:val="000000"/>
          <w:sz w:val="21"/>
          <w:szCs w:val="21"/>
        </w:rPr>
        <w:t> </w:t>
      </w:r>
      <w:r>
        <w:rPr>
          <w:rFonts w:ascii="Segoe UI" w:hAnsi="Segoe UI" w:cs="Segoe UI"/>
          <w:color w:val="000000"/>
          <w:sz w:val="21"/>
          <w:szCs w:val="21"/>
          <w:u w:val="single"/>
        </w:rPr>
        <w:t>Los ingresos reportados por los conceptos</w:t>
      </w:r>
      <w:r>
        <w:rPr>
          <w:rFonts w:ascii="Segoe UI" w:hAnsi="Segoe UI" w:cs="Segoe UI"/>
          <w:color w:val="000000"/>
          <w:sz w:val="21"/>
          <w:szCs w:val="21"/>
        </w:rPr>
        <w:t> de consorcios o uniones temporales, </w:t>
      </w:r>
      <w:r>
        <w:rPr>
          <w:rFonts w:ascii="Segoe UI" w:hAnsi="Segoe UI" w:cs="Segoe UI"/>
          <w:color w:val="000000"/>
          <w:sz w:val="21"/>
          <w:szCs w:val="21"/>
          <w:u w:val="single"/>
        </w:rPr>
        <w:t>de contratos de mandato</w:t>
      </w:r>
      <w:r>
        <w:rPr>
          <w:rFonts w:ascii="Segoe UI" w:hAnsi="Segoe UI" w:cs="Segoe UI"/>
          <w:color w:val="000000"/>
          <w:sz w:val="21"/>
          <w:szCs w:val="21"/>
        </w:rPr>
        <w:t xml:space="preserve"> o administración delegada, de contratos de exploración y explotación de hidrocarburos, gases y minerales, de contratos de </w:t>
      </w:r>
      <w:proofErr w:type="spellStart"/>
      <w:r>
        <w:rPr>
          <w:rFonts w:ascii="Segoe UI" w:hAnsi="Segoe UI" w:cs="Segoe UI"/>
          <w:color w:val="000000"/>
          <w:sz w:val="21"/>
          <w:szCs w:val="21"/>
        </w:rPr>
        <w:t>joint</w:t>
      </w:r>
      <w:proofErr w:type="spellEnd"/>
      <w:r>
        <w:rPr>
          <w:rFonts w:ascii="Segoe UI" w:hAnsi="Segoe UI" w:cs="Segoe UI"/>
          <w:color w:val="000000"/>
          <w:sz w:val="21"/>
          <w:szCs w:val="21"/>
        </w:rPr>
        <w:t xml:space="preserve"> venture, de contratos de cuentas en participación (partícipe oculto), de convenios de cooperación con entidades públicas, de contratos de fiducia </w:t>
      </w:r>
      <w:r>
        <w:rPr>
          <w:rFonts w:ascii="Segoe UI" w:hAnsi="Segoe UI" w:cs="Segoe UI"/>
          <w:color w:val="000000"/>
          <w:sz w:val="21"/>
          <w:szCs w:val="21"/>
          <w:u w:val="single"/>
        </w:rPr>
        <w:t>o a través de terceros como beneficiario del pago</w:t>
      </w:r>
      <w:r>
        <w:rPr>
          <w:rFonts w:ascii="Segoe UI" w:hAnsi="Segoe UI" w:cs="Segoe UI"/>
          <w:color w:val="000000"/>
          <w:sz w:val="21"/>
          <w:szCs w:val="21"/>
        </w:rPr>
        <w:t>, aquellos relacionados con programas de fidelización e ingresos por recuperaciones de costos y deducciones </w:t>
      </w:r>
      <w:r>
        <w:rPr>
          <w:rFonts w:ascii="Segoe UI" w:hAnsi="Segoe UI" w:cs="Segoe UI"/>
          <w:color w:val="000000"/>
          <w:sz w:val="21"/>
          <w:szCs w:val="21"/>
          <w:u w:val="single"/>
        </w:rPr>
        <w:t>no se deben incluir en ningún otro concepto</w:t>
      </w:r>
      <w:r>
        <w:rPr>
          <w:rFonts w:ascii="Segoe UI" w:hAnsi="Segoe UI" w:cs="Segoe UI"/>
          <w:color w:val="000000"/>
          <w:sz w:val="21"/>
          <w:szCs w:val="21"/>
        </w:rPr>
        <w:t>. (subrayado y resaltado fuera de texto)</w:t>
      </w:r>
    </w:p>
    <w:p w14:paraId="200AF404"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p>
    <w:p w14:paraId="36F2FF21"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p>
    <w:p w14:paraId="1DE3EBD6" w14:textId="5F400B01"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 partir de lo anterior es dable interpretar que por la venta de acciones el beneficiario del ingreso debe reportar </w:t>
      </w:r>
      <w:r>
        <w:rPr>
          <w:rFonts w:ascii="Segoe UI" w:hAnsi="Segoe UI" w:cs="Segoe UI"/>
          <w:color w:val="000000"/>
          <w:sz w:val="21"/>
          <w:szCs w:val="21"/>
          <w:u w:val="single"/>
        </w:rPr>
        <w:t>el valor total del ingreso</w:t>
      </w:r>
      <w:r>
        <w:rPr>
          <w:rFonts w:ascii="Segoe UI" w:hAnsi="Segoe UI" w:cs="Segoe UI"/>
          <w:color w:val="000000"/>
          <w:sz w:val="21"/>
          <w:szCs w:val="21"/>
        </w:rPr>
        <w:t>, así lo señala en forma expresa el inciso primero del artículo 19 en cita.</w:t>
      </w:r>
    </w:p>
    <w:p w14:paraId="4BDB29C3"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1DE0072" w14:textId="77777777" w:rsidR="005C2961" w:rsidRDefault="005C2961" w:rsidP="005C296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Los distintos conceptos que contempla este artículo indican la información que debe entregarse en el formato 1007, lo que exige considerar el respectivo concepto, su descripción, así como los parágrafos en cita, según se trate de “</w:t>
      </w:r>
      <w:r>
        <w:rPr>
          <w:rFonts w:ascii="Segoe UI" w:hAnsi="Segoe UI" w:cs="Segoe UI"/>
          <w:i/>
          <w:iCs/>
          <w:color w:val="000000"/>
          <w:sz w:val="21"/>
          <w:szCs w:val="21"/>
        </w:rPr>
        <w:t>Ingresos brutos de actividades ordinarias”</w:t>
      </w:r>
      <w:r>
        <w:rPr>
          <w:rFonts w:ascii="Segoe UI" w:hAnsi="Segoe UI" w:cs="Segoe UI"/>
          <w:color w:val="000000"/>
          <w:sz w:val="21"/>
          <w:szCs w:val="21"/>
        </w:rPr>
        <w:t>, </w:t>
      </w:r>
      <w:r>
        <w:rPr>
          <w:rFonts w:ascii="Segoe UI" w:hAnsi="Segoe UI" w:cs="Segoe UI"/>
          <w:i/>
          <w:iCs/>
          <w:color w:val="000000"/>
          <w:sz w:val="21"/>
          <w:szCs w:val="21"/>
        </w:rPr>
        <w:t>“otros ingresos”,</w:t>
      </w:r>
      <w:r>
        <w:rPr>
          <w:rFonts w:ascii="Segoe UI" w:hAnsi="Segoe UI" w:cs="Segoe UI"/>
          <w:color w:val="000000"/>
          <w:sz w:val="21"/>
          <w:szCs w:val="21"/>
        </w:rPr>
        <w:t> “</w:t>
      </w:r>
      <w:r>
        <w:rPr>
          <w:rFonts w:ascii="Segoe UI" w:hAnsi="Segoe UI" w:cs="Segoe UI"/>
          <w:i/>
          <w:iCs/>
          <w:color w:val="000000"/>
          <w:sz w:val="21"/>
          <w:szCs w:val="21"/>
        </w:rPr>
        <w:t>ingresos a través de mandato o administración delegada”, “Ingresos a través de terceros (beneficiario)”.</w:t>
      </w:r>
    </w:p>
    <w:p w14:paraId="20DB9F72" w14:textId="77777777" w:rsidR="002F092F" w:rsidRDefault="002F092F" w:rsidP="002F092F">
      <w:pPr>
        <w:pStyle w:val="NormalWeb"/>
        <w:spacing w:before="0" w:beforeAutospacing="0" w:after="0" w:afterAutospacing="0"/>
        <w:jc w:val="both"/>
        <w:rPr>
          <w:rFonts w:ascii="Segoe UI" w:hAnsi="Segoe UI" w:cs="Segoe UI"/>
          <w:color w:val="000000"/>
          <w:sz w:val="21"/>
          <w:szCs w:val="21"/>
        </w:rPr>
      </w:pPr>
    </w:p>
    <w:p w14:paraId="728C1B1C" w14:textId="77777777" w:rsidR="002F092F" w:rsidRDefault="002F092F" w:rsidP="002F092F">
      <w:pPr>
        <w:pStyle w:val="NormalWeb"/>
        <w:spacing w:before="0" w:beforeAutospacing="0" w:after="0" w:afterAutospacing="0"/>
        <w:jc w:val="both"/>
        <w:rPr>
          <w:rFonts w:ascii="Segoe UI" w:hAnsi="Segoe UI" w:cs="Segoe UI"/>
          <w:color w:val="000000"/>
          <w:sz w:val="21"/>
          <w:szCs w:val="21"/>
        </w:rPr>
      </w:pPr>
    </w:p>
    <w:p w14:paraId="2EE39D3D" w14:textId="03F8F491" w:rsidR="002F092F" w:rsidRDefault="002F092F" w:rsidP="002F092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Si los ingresos por la enajenación de acciones se obtienen a través de intermediarios debe estarse a lo dispuesto en los parágrafos 3 y 4 en cita.</w:t>
      </w:r>
    </w:p>
    <w:p w14:paraId="6D13E953" w14:textId="77777777" w:rsidR="002F092F" w:rsidRDefault="002F092F" w:rsidP="002F092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FEB0FE3" w14:textId="77777777" w:rsidR="002F092F" w:rsidRDefault="002F092F" w:rsidP="002F092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otra parte, el beneficiario del ingreso reportará, de acuerdo con lo establecido en el Capítulo 2 del mismo Título V, los </w:t>
      </w:r>
      <w:r>
        <w:rPr>
          <w:rFonts w:ascii="Segoe UI" w:hAnsi="Segoe UI" w:cs="Segoe UI"/>
          <w:color w:val="000000"/>
          <w:sz w:val="21"/>
          <w:szCs w:val="21"/>
          <w:u w:val="single"/>
        </w:rPr>
        <w:t>pagos efectuados</w:t>
      </w:r>
      <w:r>
        <w:rPr>
          <w:rFonts w:ascii="Segoe UI" w:hAnsi="Segoe UI" w:cs="Segoe UI"/>
          <w:color w:val="000000"/>
          <w:sz w:val="21"/>
          <w:szCs w:val="21"/>
        </w:rPr>
        <w:t>, entre los que se encuentran los realizados a título de “Honorarios”, “Comisiones” o “Servicios”, lo cual pondrá en evidencia el pago efectuado al intermediario o comisionista, si fuera el caso. Así mismo, este formato permite informar los pagos correspondientes por compras de activos fijos o movibles, en armonía con el </w:t>
      </w:r>
      <w:hyperlink r:id="rId28" w:tooltip="Estatuto Tributario CETA" w:history="1">
        <w:r>
          <w:rPr>
            <w:rStyle w:val="Hipervnculo"/>
            <w:rFonts w:ascii="Segoe UI" w:eastAsiaTheme="majorEastAsia" w:hAnsi="Segoe UI" w:cs="Segoe UI"/>
            <w:color w:val="0645AD"/>
            <w:sz w:val="21"/>
            <w:szCs w:val="21"/>
          </w:rPr>
          <w:t>artículo 60</w:t>
        </w:r>
      </w:hyperlink>
      <w:r>
        <w:rPr>
          <w:rFonts w:ascii="Segoe UI" w:hAnsi="Segoe UI" w:cs="Segoe UI"/>
          <w:color w:val="000000"/>
          <w:sz w:val="21"/>
          <w:szCs w:val="21"/>
        </w:rPr>
        <w:t> del Estatuto Tributario.</w:t>
      </w:r>
    </w:p>
    <w:p w14:paraId="2578FB96" w14:textId="77777777" w:rsidR="002F092F" w:rsidRDefault="002F092F" w:rsidP="00AC395C">
      <w:pPr>
        <w:pStyle w:val="NormalWeb"/>
        <w:spacing w:before="0" w:beforeAutospacing="0" w:after="0" w:afterAutospacing="0"/>
        <w:jc w:val="both"/>
        <w:rPr>
          <w:rFonts w:ascii="Segoe UI" w:hAnsi="Segoe UI" w:cs="Segoe UI"/>
          <w:color w:val="000000"/>
          <w:sz w:val="21"/>
          <w:szCs w:val="21"/>
          <w:shd w:val="clear" w:color="auto" w:fill="FFFFFF"/>
        </w:rPr>
      </w:pPr>
    </w:p>
    <w:p w14:paraId="1067595F" w14:textId="1DA27B4C" w:rsidR="00AC395C" w:rsidRDefault="002F092F" w:rsidP="00AC395C">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shd w:val="clear" w:color="auto" w:fill="FFFFFF"/>
        </w:rPr>
        <w:t>Finalmente le manifestamos que la Dirección de Impuestos y Aduanas Nacionales -DIAN-, con el fin de facilitar a los contribuyentes, usuarios y público en general el acceso directo a sus pronunciamientos doctrinarios, ha publicado en su página de internet </w:t>
      </w:r>
      <w:hyperlink r:id="rId29" w:tgtFrame="_blank" w:history="1">
        <w:r>
          <w:rPr>
            <w:rStyle w:val="Hipervnculo"/>
            <w:rFonts w:ascii="Segoe UI" w:eastAsiaTheme="majorEastAsia" w:hAnsi="Segoe UI" w:cs="Segoe UI"/>
            <w:color w:val="0645AD"/>
            <w:sz w:val="21"/>
            <w:szCs w:val="21"/>
            <w:shd w:val="clear" w:color="auto" w:fill="FFFFFF"/>
          </w:rPr>
          <w:t>www.dian.gov.co</w:t>
        </w:r>
      </w:hyperlink>
      <w:r>
        <w:rPr>
          <w:rFonts w:ascii="Segoe UI" w:hAnsi="Segoe UI" w:cs="Segoe UI"/>
          <w:color w:val="000000"/>
          <w:sz w:val="21"/>
          <w:szCs w:val="21"/>
          <w:shd w:val="clear" w:color="auto" w:fill="FFFFFF"/>
        </w:rPr>
        <w:t xml:space="preserve">, la base de conceptos en materia tributaria, aduanera y cambiaria expedidos desde el año 2001, la cual se puede ingresar por el ícono de “Normatividad”–“Doctrina”, dando </w:t>
      </w:r>
      <w:proofErr w:type="spellStart"/>
      <w:r>
        <w:rPr>
          <w:rFonts w:ascii="Segoe UI" w:hAnsi="Segoe UI" w:cs="Segoe UI"/>
          <w:color w:val="000000"/>
          <w:sz w:val="21"/>
          <w:szCs w:val="21"/>
          <w:shd w:val="clear" w:color="auto" w:fill="FFFFFF"/>
        </w:rPr>
        <w:t>click</w:t>
      </w:r>
      <w:proofErr w:type="spellEnd"/>
      <w:r>
        <w:rPr>
          <w:rFonts w:ascii="Segoe UI" w:hAnsi="Segoe UI" w:cs="Segoe UI"/>
          <w:color w:val="000000"/>
          <w:sz w:val="21"/>
          <w:szCs w:val="21"/>
          <w:shd w:val="clear" w:color="auto" w:fill="FFFFFF"/>
        </w:rPr>
        <w:t xml:space="preserve"> en el link “Doctrina Dirección de Gestión Jurídica”.</w:t>
      </w:r>
    </w:p>
    <w:p w14:paraId="0AB693E9" w14:textId="77777777" w:rsidR="00AC395C" w:rsidRDefault="00AC395C" w:rsidP="00AC395C">
      <w:pPr>
        <w:pStyle w:val="NormalWeb"/>
        <w:spacing w:before="0" w:beforeAutospacing="0" w:after="0" w:afterAutospacing="0"/>
        <w:jc w:val="both"/>
        <w:rPr>
          <w:rFonts w:ascii="Segoe UI" w:hAnsi="Segoe UI" w:cs="Segoe UI"/>
          <w:color w:val="000000"/>
          <w:sz w:val="21"/>
          <w:szCs w:val="21"/>
        </w:rPr>
      </w:pPr>
    </w:p>
    <w:p w14:paraId="70D478F0" w14:textId="67DC5505" w:rsidR="00AC395C" w:rsidRDefault="00AC395C" w:rsidP="00AC395C">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Atentamente,</w:t>
      </w:r>
    </w:p>
    <w:p w14:paraId="2230794A" w14:textId="77777777" w:rsidR="00AC395C" w:rsidRDefault="00AC395C" w:rsidP="00AC395C">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8A9C727" w14:textId="77777777" w:rsidR="00AC395C" w:rsidRDefault="00AC395C" w:rsidP="00AC395C">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449F0A4" w14:textId="77777777" w:rsidR="00AC395C" w:rsidRDefault="00AC395C" w:rsidP="00AC395C">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INGRID CASTAÑEDA CEPEDA</w:t>
      </w:r>
    </w:p>
    <w:p w14:paraId="03A1BCBE" w14:textId="77777777" w:rsidR="00AC395C" w:rsidRDefault="00AC395C" w:rsidP="00AC395C">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Subdirectora de Normativa y Doctrina (A)</w:t>
      </w:r>
    </w:p>
    <w:p w14:paraId="6ED26D7B" w14:textId="77777777" w:rsidR="00AC395C" w:rsidRDefault="00AC395C" w:rsidP="00AC395C">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Dirección de Gestión Jurídica</w:t>
      </w:r>
    </w:p>
    <w:p w14:paraId="19BF0B2F" w14:textId="77777777" w:rsidR="00AC395C" w:rsidRDefault="00AC395C" w:rsidP="00AC395C">
      <w:pPr>
        <w:pStyle w:val="NormalWeb"/>
        <w:spacing w:before="0" w:beforeAutospacing="0" w:after="0" w:afterAutospacing="0"/>
        <w:jc w:val="both"/>
        <w:rPr>
          <w:rFonts w:ascii="Segoe UI" w:hAnsi="Segoe UI" w:cs="Segoe UI"/>
          <w:color w:val="000000"/>
          <w:sz w:val="21"/>
          <w:szCs w:val="21"/>
        </w:rPr>
      </w:pPr>
      <w:proofErr w:type="spellStart"/>
      <w:r>
        <w:rPr>
          <w:rFonts w:ascii="Segoe UI" w:hAnsi="Segoe UI" w:cs="Segoe UI"/>
          <w:color w:val="000000"/>
          <w:sz w:val="21"/>
          <w:szCs w:val="21"/>
        </w:rPr>
        <w:t>UAE</w:t>
      </w:r>
      <w:proofErr w:type="spellEnd"/>
      <w:r>
        <w:rPr>
          <w:rFonts w:ascii="Segoe UI" w:hAnsi="Segoe UI" w:cs="Segoe UI"/>
          <w:color w:val="000000"/>
          <w:sz w:val="21"/>
          <w:szCs w:val="21"/>
        </w:rPr>
        <w:t>-Dirección de Impuestos y Aduanas Nacionales</w:t>
      </w:r>
    </w:p>
    <w:p w14:paraId="532B22CD" w14:textId="77777777" w:rsidR="002F3F02" w:rsidRDefault="002F3F02"/>
    <w:sectPr w:rsidR="002F3F02" w:rsidSect="00DE361E">
      <w:pgSz w:w="12242" w:h="15842" w:code="1"/>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95C"/>
    <w:rsid w:val="00145E9F"/>
    <w:rsid w:val="002F092F"/>
    <w:rsid w:val="002F3F02"/>
    <w:rsid w:val="00451A08"/>
    <w:rsid w:val="004A489D"/>
    <w:rsid w:val="004F1D2E"/>
    <w:rsid w:val="005173B2"/>
    <w:rsid w:val="005B14BF"/>
    <w:rsid w:val="005C2961"/>
    <w:rsid w:val="00840411"/>
    <w:rsid w:val="00885E73"/>
    <w:rsid w:val="009705EC"/>
    <w:rsid w:val="00A613E5"/>
    <w:rsid w:val="00A91F78"/>
    <w:rsid w:val="00AC395C"/>
    <w:rsid w:val="00AE7AD8"/>
    <w:rsid w:val="00B21583"/>
    <w:rsid w:val="00B76269"/>
    <w:rsid w:val="00BE074B"/>
    <w:rsid w:val="00CA1F22"/>
    <w:rsid w:val="00CC19F3"/>
    <w:rsid w:val="00CC2D9A"/>
    <w:rsid w:val="00D65024"/>
    <w:rsid w:val="00DE36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B7D48"/>
  <w15:chartTrackingRefBased/>
  <w15:docId w15:val="{2C3D8C05-E326-4450-BA5F-EAC11945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kern w:val="2"/>
        <w:sz w:val="24"/>
        <w:szCs w:val="24"/>
        <w:lang w:val="es-419"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paragraph" w:styleId="NormalWeb">
    <w:name w:val="Normal (Web)"/>
    <w:basedOn w:val="Normal"/>
    <w:uiPriority w:val="99"/>
    <w:semiHidden/>
    <w:unhideWhenUsed/>
    <w:rsid w:val="00AC395C"/>
    <w:pPr>
      <w:spacing w:before="100" w:beforeAutospacing="1" w:after="100" w:afterAutospacing="1" w:line="240" w:lineRule="auto"/>
      <w:jc w:val="left"/>
    </w:pPr>
    <w:rPr>
      <w:rFonts w:ascii="Times New Roman" w:eastAsia="Times New Roman" w:hAnsi="Times New Roman" w:cs="Times New Roman"/>
      <w:kern w:val="0"/>
      <w:lang w:eastAsia="es-419"/>
      <w14:ligatures w14:val="none"/>
    </w:rPr>
  </w:style>
  <w:style w:type="character" w:styleId="Hipervnculo">
    <w:name w:val="Hyperlink"/>
    <w:basedOn w:val="Fuentedeprrafopredeter"/>
    <w:uiPriority w:val="99"/>
    <w:semiHidden/>
    <w:unhideWhenUsed/>
    <w:rsid w:val="002F09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3764">
      <w:bodyDiv w:val="1"/>
      <w:marLeft w:val="0"/>
      <w:marRight w:val="0"/>
      <w:marTop w:val="0"/>
      <w:marBottom w:val="0"/>
      <w:divBdr>
        <w:top w:val="none" w:sz="0" w:space="0" w:color="auto"/>
        <w:left w:val="none" w:sz="0" w:space="0" w:color="auto"/>
        <w:bottom w:val="none" w:sz="0" w:space="0" w:color="auto"/>
        <w:right w:val="none" w:sz="0" w:space="0" w:color="auto"/>
      </w:divBdr>
    </w:div>
    <w:div w:id="405617818">
      <w:bodyDiv w:val="1"/>
      <w:marLeft w:val="0"/>
      <w:marRight w:val="0"/>
      <w:marTop w:val="0"/>
      <w:marBottom w:val="0"/>
      <w:divBdr>
        <w:top w:val="none" w:sz="0" w:space="0" w:color="auto"/>
        <w:left w:val="none" w:sz="0" w:space="0" w:color="auto"/>
        <w:bottom w:val="none" w:sz="0" w:space="0" w:color="auto"/>
        <w:right w:val="none" w:sz="0" w:space="0" w:color="auto"/>
      </w:divBdr>
    </w:div>
    <w:div w:id="445345138">
      <w:bodyDiv w:val="1"/>
      <w:marLeft w:val="0"/>
      <w:marRight w:val="0"/>
      <w:marTop w:val="0"/>
      <w:marBottom w:val="0"/>
      <w:divBdr>
        <w:top w:val="none" w:sz="0" w:space="0" w:color="auto"/>
        <w:left w:val="none" w:sz="0" w:space="0" w:color="auto"/>
        <w:bottom w:val="none" w:sz="0" w:space="0" w:color="auto"/>
        <w:right w:val="none" w:sz="0" w:space="0" w:color="auto"/>
      </w:divBdr>
    </w:div>
    <w:div w:id="545795133">
      <w:bodyDiv w:val="1"/>
      <w:marLeft w:val="0"/>
      <w:marRight w:val="0"/>
      <w:marTop w:val="0"/>
      <w:marBottom w:val="0"/>
      <w:divBdr>
        <w:top w:val="none" w:sz="0" w:space="0" w:color="auto"/>
        <w:left w:val="none" w:sz="0" w:space="0" w:color="auto"/>
        <w:bottom w:val="none" w:sz="0" w:space="0" w:color="auto"/>
        <w:right w:val="none" w:sz="0" w:space="0" w:color="auto"/>
      </w:divBdr>
    </w:div>
    <w:div w:id="678310525">
      <w:bodyDiv w:val="1"/>
      <w:marLeft w:val="0"/>
      <w:marRight w:val="0"/>
      <w:marTop w:val="0"/>
      <w:marBottom w:val="0"/>
      <w:divBdr>
        <w:top w:val="none" w:sz="0" w:space="0" w:color="auto"/>
        <w:left w:val="none" w:sz="0" w:space="0" w:color="auto"/>
        <w:bottom w:val="none" w:sz="0" w:space="0" w:color="auto"/>
        <w:right w:val="none" w:sz="0" w:space="0" w:color="auto"/>
      </w:divBdr>
    </w:div>
    <w:div w:id="709302598">
      <w:bodyDiv w:val="1"/>
      <w:marLeft w:val="0"/>
      <w:marRight w:val="0"/>
      <w:marTop w:val="0"/>
      <w:marBottom w:val="0"/>
      <w:divBdr>
        <w:top w:val="none" w:sz="0" w:space="0" w:color="auto"/>
        <w:left w:val="none" w:sz="0" w:space="0" w:color="auto"/>
        <w:bottom w:val="none" w:sz="0" w:space="0" w:color="auto"/>
        <w:right w:val="none" w:sz="0" w:space="0" w:color="auto"/>
      </w:divBdr>
    </w:div>
    <w:div w:id="919101572">
      <w:bodyDiv w:val="1"/>
      <w:marLeft w:val="0"/>
      <w:marRight w:val="0"/>
      <w:marTop w:val="0"/>
      <w:marBottom w:val="0"/>
      <w:divBdr>
        <w:top w:val="none" w:sz="0" w:space="0" w:color="auto"/>
        <w:left w:val="none" w:sz="0" w:space="0" w:color="auto"/>
        <w:bottom w:val="none" w:sz="0" w:space="0" w:color="auto"/>
        <w:right w:val="none" w:sz="0" w:space="0" w:color="auto"/>
      </w:divBdr>
    </w:div>
    <w:div w:id="965239535">
      <w:bodyDiv w:val="1"/>
      <w:marLeft w:val="0"/>
      <w:marRight w:val="0"/>
      <w:marTop w:val="0"/>
      <w:marBottom w:val="0"/>
      <w:divBdr>
        <w:top w:val="none" w:sz="0" w:space="0" w:color="auto"/>
        <w:left w:val="none" w:sz="0" w:space="0" w:color="auto"/>
        <w:bottom w:val="none" w:sz="0" w:space="0" w:color="auto"/>
        <w:right w:val="none" w:sz="0" w:space="0" w:color="auto"/>
      </w:divBdr>
    </w:div>
    <w:div w:id="1021738256">
      <w:bodyDiv w:val="1"/>
      <w:marLeft w:val="0"/>
      <w:marRight w:val="0"/>
      <w:marTop w:val="0"/>
      <w:marBottom w:val="0"/>
      <w:divBdr>
        <w:top w:val="none" w:sz="0" w:space="0" w:color="auto"/>
        <w:left w:val="none" w:sz="0" w:space="0" w:color="auto"/>
        <w:bottom w:val="none" w:sz="0" w:space="0" w:color="auto"/>
        <w:right w:val="none" w:sz="0" w:space="0" w:color="auto"/>
      </w:divBdr>
    </w:div>
    <w:div w:id="1110201567">
      <w:bodyDiv w:val="1"/>
      <w:marLeft w:val="0"/>
      <w:marRight w:val="0"/>
      <w:marTop w:val="0"/>
      <w:marBottom w:val="0"/>
      <w:divBdr>
        <w:top w:val="none" w:sz="0" w:space="0" w:color="auto"/>
        <w:left w:val="none" w:sz="0" w:space="0" w:color="auto"/>
        <w:bottom w:val="none" w:sz="0" w:space="0" w:color="auto"/>
        <w:right w:val="none" w:sz="0" w:space="0" w:color="auto"/>
      </w:divBdr>
    </w:div>
    <w:div w:id="1209993133">
      <w:bodyDiv w:val="1"/>
      <w:marLeft w:val="0"/>
      <w:marRight w:val="0"/>
      <w:marTop w:val="0"/>
      <w:marBottom w:val="0"/>
      <w:divBdr>
        <w:top w:val="none" w:sz="0" w:space="0" w:color="auto"/>
        <w:left w:val="none" w:sz="0" w:space="0" w:color="auto"/>
        <w:bottom w:val="none" w:sz="0" w:space="0" w:color="auto"/>
        <w:right w:val="none" w:sz="0" w:space="0" w:color="auto"/>
      </w:divBdr>
    </w:div>
    <w:div w:id="1389107254">
      <w:bodyDiv w:val="1"/>
      <w:marLeft w:val="0"/>
      <w:marRight w:val="0"/>
      <w:marTop w:val="0"/>
      <w:marBottom w:val="0"/>
      <w:divBdr>
        <w:top w:val="none" w:sz="0" w:space="0" w:color="auto"/>
        <w:left w:val="none" w:sz="0" w:space="0" w:color="auto"/>
        <w:bottom w:val="none" w:sz="0" w:space="0" w:color="auto"/>
        <w:right w:val="none" w:sz="0" w:space="0" w:color="auto"/>
      </w:divBdr>
    </w:div>
    <w:div w:id="1740253952">
      <w:bodyDiv w:val="1"/>
      <w:marLeft w:val="0"/>
      <w:marRight w:val="0"/>
      <w:marTop w:val="0"/>
      <w:marBottom w:val="0"/>
      <w:divBdr>
        <w:top w:val="none" w:sz="0" w:space="0" w:color="auto"/>
        <w:left w:val="none" w:sz="0" w:space="0" w:color="auto"/>
        <w:bottom w:val="none" w:sz="0" w:space="0" w:color="auto"/>
        <w:right w:val="none" w:sz="0" w:space="0" w:color="auto"/>
      </w:divBdr>
    </w:div>
    <w:div w:id="1773818136">
      <w:bodyDiv w:val="1"/>
      <w:marLeft w:val="0"/>
      <w:marRight w:val="0"/>
      <w:marTop w:val="0"/>
      <w:marBottom w:val="0"/>
      <w:divBdr>
        <w:top w:val="none" w:sz="0" w:space="0" w:color="auto"/>
        <w:left w:val="none" w:sz="0" w:space="0" w:color="auto"/>
        <w:bottom w:val="none" w:sz="0" w:space="0" w:color="auto"/>
        <w:right w:val="none" w:sz="0" w:space="0" w:color="auto"/>
      </w:divBdr>
    </w:div>
    <w:div w:id="1775637181">
      <w:bodyDiv w:val="1"/>
      <w:marLeft w:val="0"/>
      <w:marRight w:val="0"/>
      <w:marTop w:val="0"/>
      <w:marBottom w:val="0"/>
      <w:divBdr>
        <w:top w:val="none" w:sz="0" w:space="0" w:color="auto"/>
        <w:left w:val="none" w:sz="0" w:space="0" w:color="auto"/>
        <w:bottom w:val="none" w:sz="0" w:space="0" w:color="auto"/>
        <w:right w:val="none" w:sz="0" w:space="0" w:color="auto"/>
      </w:divBdr>
    </w:div>
    <w:div w:id="1953853304">
      <w:bodyDiv w:val="1"/>
      <w:marLeft w:val="0"/>
      <w:marRight w:val="0"/>
      <w:marTop w:val="0"/>
      <w:marBottom w:val="0"/>
      <w:divBdr>
        <w:top w:val="none" w:sz="0" w:space="0" w:color="auto"/>
        <w:left w:val="none" w:sz="0" w:space="0" w:color="auto"/>
        <w:bottom w:val="none" w:sz="0" w:space="0" w:color="auto"/>
        <w:right w:val="none" w:sz="0" w:space="0" w:color="auto"/>
      </w:divBdr>
    </w:div>
    <w:div w:id="199953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215" TargetMode="External"/><Relationship Id="rId13" Type="http://schemas.openxmlformats.org/officeDocument/2006/relationships/hyperlink" Target="https://www.ceta.org.co/html/vista_de_un_articulo.asp?Norma=336" TargetMode="External"/><Relationship Id="rId18" Type="http://schemas.openxmlformats.org/officeDocument/2006/relationships/hyperlink" Target="https://www.ceta.org.co/html/vista_de_un_articulo.asp?Norma=56" TargetMode="External"/><Relationship Id="rId26" Type="http://schemas.openxmlformats.org/officeDocument/2006/relationships/hyperlink" Target="https://www.ceta.org.co/html/vista_de_un_articulo.asp?Norma=215" TargetMode="External"/><Relationship Id="rId3" Type="http://schemas.openxmlformats.org/officeDocument/2006/relationships/settings" Target="settings.xml"/><Relationship Id="rId21" Type="http://schemas.openxmlformats.org/officeDocument/2006/relationships/hyperlink" Target="https://www.ceta.org.co/html/vista_de_un_articulo.asp?Norma=736" TargetMode="External"/><Relationship Id="rId7" Type="http://schemas.openxmlformats.org/officeDocument/2006/relationships/hyperlink" Target="https://www.ceta.org.co/html/vista_de_un_articulo.asp?Norma=134" TargetMode="External"/><Relationship Id="rId12" Type="http://schemas.openxmlformats.org/officeDocument/2006/relationships/hyperlink" Target="https://www.ceta.org.co/html/vista_de_un_articulo.asp?Norma=215" TargetMode="External"/><Relationship Id="rId17" Type="http://schemas.openxmlformats.org/officeDocument/2006/relationships/hyperlink" Target="https://www.ceta.org.co/html/vista_de_un_articulo.asp?Norma=42478" TargetMode="External"/><Relationship Id="rId25" Type="http://schemas.openxmlformats.org/officeDocument/2006/relationships/hyperlink" Target="https://www.ceta.org.co/html/vista_de_un_articulo.asp?Norma=68" TargetMode="External"/><Relationship Id="rId2" Type="http://schemas.openxmlformats.org/officeDocument/2006/relationships/styles" Target="styles.xml"/><Relationship Id="rId16" Type="http://schemas.openxmlformats.org/officeDocument/2006/relationships/hyperlink" Target="https://www.ceta.org.co/html/vista_de_un_articulo.asp?Norma=111" TargetMode="External"/><Relationship Id="rId20" Type="http://schemas.openxmlformats.org/officeDocument/2006/relationships/hyperlink" Target="https://www.ceta.org.co/html/vista_de_un_articulo.asp?Norma=56" TargetMode="External"/><Relationship Id="rId29" Type="http://schemas.openxmlformats.org/officeDocument/2006/relationships/hyperlink" Target="http://www.dian.gov.co/" TargetMode="External"/><Relationship Id="rId1" Type="http://schemas.openxmlformats.org/officeDocument/2006/relationships/numbering" Target="numbering.xml"/><Relationship Id="rId6" Type="http://schemas.openxmlformats.org/officeDocument/2006/relationships/hyperlink" Target="https://www.ceta.org.co/html/vista_de_un_articulo.asp?Norma=68" TargetMode="External"/><Relationship Id="rId11" Type="http://schemas.openxmlformats.org/officeDocument/2006/relationships/hyperlink" Target="https://www.ceta.org.co/html/vista_de_un_articulo.asp?Norma=56" TargetMode="External"/><Relationship Id="rId24" Type="http://schemas.openxmlformats.org/officeDocument/2006/relationships/hyperlink" Target="https://www.ceta.org.co/html/vista_de_un_articulo.asp?Norma=134" TargetMode="External"/><Relationship Id="rId5" Type="http://schemas.openxmlformats.org/officeDocument/2006/relationships/hyperlink" Target="https://www.ceta.org.co/html/vista_de_un_articulo.asp?Norma=56" TargetMode="External"/><Relationship Id="rId15" Type="http://schemas.openxmlformats.org/officeDocument/2006/relationships/hyperlink" Target="https://www.ceta.org.co/html/vista_de_un_articulo.asp?Norma=357" TargetMode="External"/><Relationship Id="rId23" Type="http://schemas.openxmlformats.org/officeDocument/2006/relationships/hyperlink" Target="https://www.ceta.org.co/html/vista_de_un_articulo.asp?Norma=377" TargetMode="External"/><Relationship Id="rId28" Type="http://schemas.openxmlformats.org/officeDocument/2006/relationships/hyperlink" Target="https://www.ceta.org.co/html/vista_de_un_articulo.asp?Norma=101" TargetMode="External"/><Relationship Id="rId10" Type="http://schemas.openxmlformats.org/officeDocument/2006/relationships/hyperlink" Target="https://www.ceta.org.co/html/vista_de_un_articulo.asp?Norma=736" TargetMode="External"/><Relationship Id="rId19" Type="http://schemas.openxmlformats.org/officeDocument/2006/relationships/hyperlink" Target="https://www.ceta.org.co/html/vista_de_un_articulo.asp?Norma=5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eta.org.co/html/vista_de_un_articulo.asp?Norma=377" TargetMode="External"/><Relationship Id="rId14" Type="http://schemas.openxmlformats.org/officeDocument/2006/relationships/hyperlink" Target="https://www.ceta.org.co/html/vista_de_un_articulo.asp?Norma=349" TargetMode="External"/><Relationship Id="rId22" Type="http://schemas.openxmlformats.org/officeDocument/2006/relationships/hyperlink" Target="https://www.ceta.org.co/html/vista_de_un_articulo.asp?Norma=736" TargetMode="External"/><Relationship Id="rId27" Type="http://schemas.openxmlformats.org/officeDocument/2006/relationships/hyperlink" Target="https://www.ceta.org.co/html/vista_de_un_articulo.asp?Norma=783"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5</Pages>
  <Words>2306</Words>
  <Characters>12683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2023-10-20T17:24:00Z</dcterms:created>
  <dcterms:modified xsi:type="dcterms:W3CDTF">2023-10-20T20:05:00Z</dcterms:modified>
</cp:coreProperties>
</file>