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D92" w:rsidRPr="00D50D92" w:rsidRDefault="00D50D92" w:rsidP="00D50D92">
      <w:pPr>
        <w:spacing w:after="0" w:line="360" w:lineRule="auto"/>
        <w:jc w:val="center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br/>
        <w:t xml:space="preserve">CONCEPTO </w:t>
      </w:r>
      <w:proofErr w:type="spellStart"/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>Nº</w:t>
      </w:r>
      <w:proofErr w:type="spellEnd"/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 xml:space="preserve"> 837 [010268]</w:t>
      </w:r>
    </w:p>
    <w:p w:rsidR="00D50D92" w:rsidRPr="00D50D92" w:rsidRDefault="00D50D92" w:rsidP="00D50D92">
      <w:pPr>
        <w:spacing w:after="0" w:line="360" w:lineRule="auto"/>
        <w:jc w:val="center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>27-07-2023</w:t>
      </w:r>
    </w:p>
    <w:p w:rsidR="00D50D92" w:rsidRPr="00D50D92" w:rsidRDefault="00D50D92" w:rsidP="00D50D92">
      <w:pPr>
        <w:spacing w:after="0" w:line="360" w:lineRule="auto"/>
        <w:jc w:val="center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>DIAN</w:t>
      </w:r>
    </w:p>
    <w:p w:rsidR="00D50D92" w:rsidRPr="00D50D92" w:rsidRDefault="00D50D92" w:rsidP="00D50D92">
      <w:pPr>
        <w:spacing w:after="0" w:line="360" w:lineRule="auto"/>
        <w:jc w:val="center"/>
        <w:rPr>
          <w:rFonts w:eastAsia="Times New Roman" w:cs="Times New Roman"/>
          <w:kern w:val="0"/>
          <w:szCs w:val="24"/>
          <w:lang w:eastAsia="es-CO"/>
          <w14:ligatures w14:val="none"/>
        </w:rPr>
      </w:pPr>
    </w:p>
    <w:p w:rsidR="00D50D92" w:rsidRPr="00D50D92" w:rsidRDefault="00D50D92" w:rsidP="00D50D92">
      <w:pPr>
        <w:spacing w:after="0" w:line="360" w:lineRule="auto"/>
        <w:jc w:val="center"/>
        <w:rPr>
          <w:rFonts w:eastAsia="Times New Roman" w:cs="Times New Roman"/>
          <w:kern w:val="0"/>
          <w:szCs w:val="24"/>
          <w:lang w:eastAsia="es-CO"/>
          <w14:ligatures w14:val="none"/>
        </w:rPr>
      </w:pP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100208192-837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Bogotá, D.C.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Señores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>CONTRIBUYENTES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juridicanormativa@dian.gov.co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Ref.: Segunda adición al Concepto General sobre el impuesto al patrimonio creado por la Ley 2277 de 2022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>Tema:</w:t>
      </w: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Impuesto al patrimonio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>Descriptores:</w:t>
      </w: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Base Gravable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>Fuentes formales:</w:t>
      </w: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  <w:hyperlink r:id="rId4" w:tooltip="Estatuto Tributario CETA" w:history="1">
        <w:r w:rsidRPr="00D50D92">
          <w:rPr>
            <w:rFonts w:eastAsia="Times New Roman" w:cs="Times New Roman"/>
            <w:color w:val="0645AD"/>
            <w:kern w:val="0"/>
            <w:szCs w:val="24"/>
            <w:u w:val="single"/>
            <w:lang w:eastAsia="es-CO"/>
            <w14:ligatures w14:val="none"/>
          </w:rPr>
          <w:t>Artículo 295-3</w:t>
        </w:r>
      </w:hyperlink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del Estatuto Tributario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Cordial saludo.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De conformidad con los artículos 56 del Decreto 1742 de 2020 y 7-1 de la Resolución DIAN No. 91 de 2021,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 –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Mediante el presente pronunciamiento, esta Subdirección absolverá un interrogante que se ha formulado en torno a la interpretación y aplicación del impuesto al patrimonio (el «Impuesto» en adelante) creado por la Ley 2277 de 2022, con la adición al Concepto General de la referencia (Concepto 006365 - interno 619 del 29 de mayo de 2023).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ind w:left="284"/>
        <w:rPr>
          <w:rFonts w:eastAsia="Times New Roman" w:cs="Times New Roman"/>
          <w:kern w:val="0"/>
          <w:szCs w:val="24"/>
          <w:highlight w:val="yellow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highlight w:val="yellow"/>
          <w:lang w:eastAsia="es-CO"/>
          <w14:ligatures w14:val="none"/>
        </w:rPr>
        <w:t>III. BASE GRAVABLE</w:t>
      </w:r>
    </w:p>
    <w:p w:rsidR="00D50D92" w:rsidRPr="00D50D92" w:rsidRDefault="00D50D92" w:rsidP="00D50D92">
      <w:pPr>
        <w:spacing w:after="0" w:line="360" w:lineRule="auto"/>
        <w:ind w:left="284"/>
        <w:rPr>
          <w:rFonts w:eastAsia="Times New Roman" w:cs="Times New Roman"/>
          <w:kern w:val="0"/>
          <w:szCs w:val="24"/>
          <w:highlight w:val="yellow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highlight w:val="yellow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ind w:left="284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highlight w:val="yellow"/>
          <w:lang w:eastAsia="es-CO"/>
          <w14:ligatures w14:val="none"/>
        </w:rPr>
        <w:t xml:space="preserve">6. Si el valor determinado de las acciones o cuotas de interés social de sociedades o entidades nacionales que no coticen en la Bolsa de Valores de Colombia o una de </w:t>
      </w:r>
      <w:r w:rsidRPr="00D50D92">
        <w:rPr>
          <w:rFonts w:eastAsia="Times New Roman" w:cs="Times New Roman"/>
          <w:b/>
          <w:bCs/>
          <w:kern w:val="0"/>
          <w:szCs w:val="24"/>
          <w:highlight w:val="yellow"/>
          <w:lang w:eastAsia="es-CO"/>
          <w14:ligatures w14:val="none"/>
        </w:rPr>
        <w:lastRenderedPageBreak/>
        <w:t>reconocida idoneidad internacional es inferior a su valor intrínseco ¿qué valor se deberá tener en cuenta para efectos de la base gravable del Impuesto?</w:t>
      </w:r>
    </w:p>
    <w:p w:rsidR="00D50D92" w:rsidRPr="00D50D92" w:rsidRDefault="00D50D92" w:rsidP="00D50D92">
      <w:pPr>
        <w:spacing w:after="0" w:line="360" w:lineRule="auto"/>
        <w:jc w:val="both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jc w:val="both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Partiendo de la base que las sociedades o entidades nacionales -objeto del interrogante- no cumplen la totalidad de los requisitos de que trata el parágrafo 4° del </w:t>
      </w:r>
      <w:hyperlink r:id="rId5" w:tooltip="Estatuto Tributario CETA" w:history="1">
        <w:r w:rsidRPr="00D50D92">
          <w:rPr>
            <w:rFonts w:eastAsia="Times New Roman" w:cs="Times New Roman"/>
            <w:color w:val="0645AD"/>
            <w:kern w:val="0"/>
            <w:szCs w:val="24"/>
            <w:u w:val="single"/>
            <w:lang w:eastAsia="es-CO"/>
            <w14:ligatures w14:val="none"/>
          </w:rPr>
          <w:t>artículo 295-3</w:t>
        </w:r>
      </w:hyperlink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del Estatuto Tributario, en cuyo caso, </w:t>
      </w:r>
      <w:r w:rsidRPr="00D50D92">
        <w:rPr>
          <w:rFonts w:eastAsia="Times New Roman" w:cs="Times New Roman"/>
          <w:i/>
          <w:iCs/>
          <w:kern w:val="0"/>
          <w:szCs w:val="24"/>
          <w:lang w:eastAsia="es-CO"/>
          <w14:ligatures w14:val="none"/>
        </w:rPr>
        <w:t>«el valor de las acciones o cuotas de interés social será al </w:t>
      </w:r>
      <w:r w:rsidRPr="00D50D92">
        <w:rPr>
          <w:rFonts w:eastAsia="Times New Roman" w:cs="Times New Roman"/>
          <w:i/>
          <w:iCs/>
          <w:kern w:val="0"/>
          <w:szCs w:val="24"/>
          <w:u w:val="single"/>
          <w:lang w:eastAsia="es-CO"/>
          <w14:ligatures w14:val="none"/>
        </w:rPr>
        <w:t>costo fiscal</w:t>
      </w:r>
      <w:r w:rsidRPr="00D50D92">
        <w:rPr>
          <w:rFonts w:eastAsia="Times New Roman" w:cs="Times New Roman"/>
          <w:i/>
          <w:iCs/>
          <w:kern w:val="0"/>
          <w:szCs w:val="24"/>
          <w:lang w:eastAsia="es-CO"/>
          <w14:ligatures w14:val="none"/>
        </w:rPr>
        <w:t>»</w:t>
      </w: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(énfasis propio), es menester tener en cuenta lo señalado en el parágrafo 3° de esta misma disposición, el cual indica:</w:t>
      </w:r>
    </w:p>
    <w:p w:rsidR="00D50D92" w:rsidRPr="00D50D92" w:rsidRDefault="00D50D92" w:rsidP="00D50D92">
      <w:pPr>
        <w:spacing w:after="0" w:line="360" w:lineRule="auto"/>
        <w:jc w:val="both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ind w:left="284"/>
        <w:jc w:val="both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i/>
          <w:iCs/>
          <w:kern w:val="0"/>
          <w:szCs w:val="24"/>
          <w:lang w:eastAsia="es-CO"/>
          <w14:ligatures w14:val="none"/>
        </w:rPr>
        <w:t>«1. El valor de las acciones o cuotas de interés social de sociedades o entidades nacionales que no coticen en la Bolsa de Valores de Colombia o una de reconocida idoneidad internacional según lo determine la Unidad Administrativa Especial Dirección- de Impuestos y Aduanas Nacionales (DIAN), corresponde al </w:t>
      </w:r>
      <w:r w:rsidRPr="00D50D92">
        <w:rPr>
          <w:rFonts w:eastAsia="Times New Roman" w:cs="Times New Roman"/>
          <w:i/>
          <w:iCs/>
          <w:kern w:val="0"/>
          <w:szCs w:val="24"/>
          <w:u w:val="single"/>
          <w:lang w:eastAsia="es-CO"/>
          <w14:ligatures w14:val="none"/>
        </w:rPr>
        <w:t>costo fiscal determinado conforme a lo previsto en el Título II del Libro I de este Estatuto, actualizado anualmente en los términos del </w:t>
      </w:r>
      <w:hyperlink r:id="rId6" w:tooltip="Estatuto Tributario CETA" w:history="1">
        <w:r w:rsidRPr="00D50D92">
          <w:rPr>
            <w:rFonts w:eastAsia="Times New Roman" w:cs="Times New Roman"/>
            <w:i/>
            <w:iCs/>
            <w:color w:val="0645AD"/>
            <w:kern w:val="0"/>
            <w:szCs w:val="24"/>
            <w:u w:val="single"/>
            <w:lang w:eastAsia="es-CO"/>
            <w14:ligatures w14:val="none"/>
          </w:rPr>
          <w:t>artículo 73</w:t>
        </w:r>
      </w:hyperlink>
      <w:r w:rsidRPr="00D50D92">
        <w:rPr>
          <w:rFonts w:eastAsia="Times New Roman" w:cs="Times New Roman"/>
          <w:i/>
          <w:iCs/>
          <w:kern w:val="0"/>
          <w:szCs w:val="24"/>
          <w:u w:val="single"/>
          <w:lang w:eastAsia="es-CO"/>
          <w14:ligatures w14:val="none"/>
        </w:rPr>
        <w:t> del Estatuto Tributario para las acciones o cuotas de interés social, a partir de su adquisición</w:t>
      </w:r>
      <w:r w:rsidRPr="00D50D92">
        <w:rPr>
          <w:rFonts w:eastAsia="Times New Roman" w:cs="Times New Roman"/>
          <w:i/>
          <w:iCs/>
          <w:kern w:val="0"/>
          <w:szCs w:val="24"/>
          <w:lang w:eastAsia="es-CO"/>
          <w14:ligatures w14:val="none"/>
        </w:rPr>
        <w:t>. Las acciones o cuotas de interés social adquiridas antes del primero (1) de enero de 2006, se entenderán adquiridas en el año 2006.</w:t>
      </w:r>
    </w:p>
    <w:p w:rsidR="00D50D92" w:rsidRPr="00D50D92" w:rsidRDefault="00D50D92" w:rsidP="00D50D92">
      <w:pPr>
        <w:spacing w:after="0" w:line="360" w:lineRule="auto"/>
        <w:ind w:left="284"/>
        <w:jc w:val="both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ind w:left="284"/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i/>
          <w:iCs/>
          <w:kern w:val="0"/>
          <w:szCs w:val="24"/>
          <w:highlight w:val="yellow"/>
          <w:lang w:eastAsia="es-CO"/>
          <w14:ligatures w14:val="none"/>
        </w:rPr>
        <w:t>Si el valor calculado conforme a la anterior regla es </w:t>
      </w:r>
      <w:r w:rsidRPr="00D50D92">
        <w:rPr>
          <w:rFonts w:eastAsia="Times New Roman" w:cs="Times New Roman"/>
          <w:b/>
          <w:bCs/>
          <w:i/>
          <w:iCs/>
          <w:kern w:val="0"/>
          <w:szCs w:val="24"/>
          <w:highlight w:val="yellow"/>
          <w:u w:val="single"/>
          <w:lang w:eastAsia="es-CO"/>
          <w14:ligatures w14:val="none"/>
        </w:rPr>
        <w:t>mayor al valor intrínseco de las acciones, se tomará este último</w:t>
      </w:r>
      <w:r w:rsidRPr="00D50D92">
        <w:rPr>
          <w:rFonts w:eastAsia="Times New Roman" w:cs="Times New Roman"/>
          <w:b/>
          <w:bCs/>
          <w:i/>
          <w:iCs/>
          <w:kern w:val="0"/>
          <w:szCs w:val="24"/>
          <w:highlight w:val="yellow"/>
          <w:lang w:eastAsia="es-CO"/>
          <w14:ligatures w14:val="none"/>
        </w:rPr>
        <w:t>.</w:t>
      </w:r>
    </w:p>
    <w:p w:rsidR="00D50D92" w:rsidRPr="00D50D92" w:rsidRDefault="00D50D92" w:rsidP="00D50D92">
      <w:pPr>
        <w:spacing w:after="0" w:line="360" w:lineRule="auto"/>
        <w:ind w:left="284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ind w:left="284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i/>
          <w:iCs/>
          <w:kern w:val="0"/>
          <w:szCs w:val="24"/>
          <w:lang w:eastAsia="es-CO"/>
          <w14:ligatures w14:val="none"/>
        </w:rPr>
        <w:t>El valor intrínseco se calculará dividiendo el patrimonio contable a primero (1) de enero de cada año, entre las acciones o cuotas de interés social en circulación.</w:t>
      </w:r>
    </w:p>
    <w:p w:rsidR="00D50D92" w:rsidRPr="00D50D92" w:rsidRDefault="00D50D92" w:rsidP="00D50D92">
      <w:pPr>
        <w:spacing w:after="0" w:line="360" w:lineRule="auto"/>
        <w:ind w:left="284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ind w:left="284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i/>
          <w:iCs/>
          <w:kern w:val="0"/>
          <w:szCs w:val="24"/>
          <w:lang w:eastAsia="es-CO"/>
          <w14:ligatures w14:val="none"/>
        </w:rPr>
        <w:t>(…)»</w:t>
      </w: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(énfasis propio)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 w:val="28"/>
          <w:szCs w:val="28"/>
          <w:highlight w:val="yellow"/>
          <w:lang w:eastAsia="es-CO"/>
          <w14:ligatures w14:val="none"/>
        </w:rPr>
        <w:t>Nótese, entonces, que se debe considerar el valor intrínseco de las acciones o cuotas de interés social cuando éste es </w:t>
      </w:r>
      <w:r w:rsidRPr="00D50D92">
        <w:rPr>
          <w:rFonts w:eastAsia="Times New Roman" w:cs="Times New Roman"/>
          <w:b/>
          <w:bCs/>
          <w:kern w:val="0"/>
          <w:sz w:val="28"/>
          <w:szCs w:val="28"/>
          <w:highlight w:val="yellow"/>
          <w:u w:val="single"/>
          <w:lang w:eastAsia="es-CO"/>
          <w14:ligatures w14:val="none"/>
        </w:rPr>
        <w:t>inferior al costo fiscal actualizado</w:t>
      </w:r>
      <w:r w:rsidRPr="00D50D92">
        <w:rPr>
          <w:rFonts w:eastAsia="Times New Roman" w:cs="Times New Roman"/>
          <w:b/>
          <w:bCs/>
          <w:kern w:val="0"/>
          <w:sz w:val="28"/>
          <w:szCs w:val="28"/>
          <w:highlight w:val="yellow"/>
          <w:lang w:eastAsia="es-CO"/>
          <w14:ligatures w14:val="none"/>
        </w:rPr>
        <w:t>.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jc w:val="both"/>
        <w:rPr>
          <w:rFonts w:eastAsia="Times New Roman" w:cs="Times New Roman"/>
          <w:b/>
          <w:bCs/>
          <w:kern w:val="0"/>
          <w:sz w:val="32"/>
          <w:szCs w:val="32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 w:val="32"/>
          <w:szCs w:val="32"/>
          <w:highlight w:val="yellow"/>
          <w:lang w:eastAsia="es-CO"/>
          <w14:ligatures w14:val="none"/>
        </w:rPr>
        <w:t>Por lo tanto, en el evento que el mencionado valor intrínseco sea </w:t>
      </w:r>
      <w:r w:rsidRPr="00D50D92">
        <w:rPr>
          <w:rFonts w:eastAsia="Times New Roman" w:cs="Times New Roman"/>
          <w:b/>
          <w:bCs/>
          <w:kern w:val="0"/>
          <w:sz w:val="32"/>
          <w:szCs w:val="32"/>
          <w:highlight w:val="yellow"/>
          <w:u w:val="single"/>
          <w:lang w:eastAsia="es-CO"/>
          <w14:ligatures w14:val="none"/>
        </w:rPr>
        <w:t>mayor al referido costo fiscal actualizado</w:t>
      </w:r>
      <w:r w:rsidRPr="00D50D92">
        <w:rPr>
          <w:rFonts w:eastAsia="Times New Roman" w:cs="Times New Roman"/>
          <w:b/>
          <w:bCs/>
          <w:kern w:val="0"/>
          <w:sz w:val="32"/>
          <w:szCs w:val="32"/>
          <w:highlight w:val="yellow"/>
          <w:lang w:eastAsia="es-CO"/>
          <w14:ligatures w14:val="none"/>
        </w:rPr>
        <w:t>, de la mera lectura del citado parágrafo 3° se desprende que habrá de tenerse en cuenta este último para efectos de la base gravable del Impuesto.</w:t>
      </w:r>
    </w:p>
    <w:p w:rsidR="00D50D92" w:rsidRPr="00D50D92" w:rsidRDefault="00D50D92" w:rsidP="00D50D92">
      <w:pPr>
        <w:spacing w:after="0" w:line="360" w:lineRule="auto"/>
        <w:jc w:val="both"/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jc w:val="both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7" w:tgtFrame="_blank" w:history="1">
        <w:r w:rsidRPr="00D50D92">
          <w:rPr>
            <w:rFonts w:eastAsia="Times New Roman" w:cs="Times New Roman"/>
            <w:color w:val="0645AD"/>
            <w:kern w:val="0"/>
            <w:szCs w:val="24"/>
            <w:u w:val="single"/>
            <w:lang w:eastAsia="es-CO"/>
            <w14:ligatures w14:val="none"/>
          </w:rPr>
          <w:t>www.dian.gov.co</w:t>
        </w:r>
      </w:hyperlink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 xml:space="preserve">, la base de conceptos en materia tributaria, aduanera y </w:t>
      </w: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lastRenderedPageBreak/>
        <w:t>cambiaria expedidos desde el año 2001, la cual se puede ingresar por el ícono de «Normatividad»–«Doctrina», oprimiendo el vínculo «Doctrina Dirección de Gestión Jurídica».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Atentamente,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 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b/>
          <w:bCs/>
          <w:kern w:val="0"/>
          <w:szCs w:val="24"/>
          <w:lang w:eastAsia="es-CO"/>
          <w14:ligatures w14:val="none"/>
        </w:rPr>
        <w:t>ALFREDO RAMÍREZ CASTAÑEDA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Subdirector de Normativa y Doctrina</w:t>
      </w:r>
    </w:p>
    <w:p w:rsidR="00D50D92" w:rsidRPr="00D50D92" w:rsidRDefault="00D50D92" w:rsidP="00D50D92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Dirección de Gestión Jurídica</w:t>
      </w:r>
    </w:p>
    <w:p w:rsidR="007F5CC8" w:rsidRPr="00D50D92" w:rsidRDefault="00D50D92" w:rsidP="00D50D92">
      <w:pPr>
        <w:spacing w:line="360" w:lineRule="auto"/>
        <w:rPr>
          <w:rFonts w:cs="Times New Roman"/>
          <w:szCs w:val="24"/>
        </w:rPr>
      </w:pPr>
      <w:r w:rsidRPr="00D50D92">
        <w:rPr>
          <w:rFonts w:eastAsia="Times New Roman" w:cs="Times New Roman"/>
          <w:kern w:val="0"/>
          <w:szCs w:val="24"/>
          <w:lang w:eastAsia="es-CO"/>
          <w14:ligatures w14:val="none"/>
        </w:rPr>
        <w:t>UAE-Dirección de Impuestos y Aduanas Nacionales</w:t>
      </w:r>
    </w:p>
    <w:sectPr w:rsidR="007F5CC8" w:rsidRPr="00D50D92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92"/>
    <w:rsid w:val="000F3837"/>
    <w:rsid w:val="001E311E"/>
    <w:rsid w:val="00434AE6"/>
    <w:rsid w:val="005D25EE"/>
    <w:rsid w:val="007F5CC8"/>
    <w:rsid w:val="008779BE"/>
    <w:rsid w:val="00D50D92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ECC8A-0A2D-441D-B1F0-089CB94D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D9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D5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an.gov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114" TargetMode="External"/><Relationship Id="rId5" Type="http://schemas.openxmlformats.org/officeDocument/2006/relationships/hyperlink" Target="https://www.ceta.org.co/html/vista_de_un_articulo.asp?Norma=75997" TargetMode="External"/><Relationship Id="rId4" Type="http://schemas.openxmlformats.org/officeDocument/2006/relationships/hyperlink" Target="https://www.ceta.org.co/html/vista_de_un_articulo.asp?Norma=759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2023-08-01T12:49:00Z</dcterms:created>
  <dcterms:modified xsi:type="dcterms:W3CDTF">2023-08-01T12:56:00Z</dcterms:modified>
</cp:coreProperties>
</file>