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5C74"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p>
    <w:p w14:paraId="428A4EBC"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p>
    <w:p w14:paraId="36CD69B8" w14:textId="77777777" w:rsidR="00812DA4" w:rsidRPr="00812DA4" w:rsidRDefault="00812DA4" w:rsidP="00812DA4">
      <w:pPr>
        <w:spacing w:after="0" w:line="240" w:lineRule="auto"/>
        <w:jc w:val="center"/>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 xml:space="preserve">CONCEPTO </w:t>
      </w:r>
      <w:proofErr w:type="spellStart"/>
      <w:r w:rsidRPr="00812DA4">
        <w:rPr>
          <w:rFonts w:ascii="Segoe UI" w:eastAsia="Times New Roman" w:hAnsi="Segoe UI" w:cs="Segoe UI"/>
          <w:b/>
          <w:bCs/>
          <w:color w:val="000000"/>
          <w:kern w:val="0"/>
          <w:sz w:val="21"/>
          <w:szCs w:val="21"/>
          <w:lang w:eastAsia="es-CO"/>
          <w14:ligatures w14:val="none"/>
        </w:rPr>
        <w:t>Nº</w:t>
      </w:r>
      <w:proofErr w:type="spellEnd"/>
      <w:r w:rsidRPr="00812DA4">
        <w:rPr>
          <w:rFonts w:ascii="Segoe UI" w:eastAsia="Times New Roman" w:hAnsi="Segoe UI" w:cs="Segoe UI"/>
          <w:b/>
          <w:bCs/>
          <w:color w:val="000000"/>
          <w:kern w:val="0"/>
          <w:sz w:val="21"/>
          <w:szCs w:val="21"/>
          <w:lang w:eastAsia="es-CO"/>
          <w14:ligatures w14:val="none"/>
        </w:rPr>
        <w:t xml:space="preserve"> 812 [004162]</w:t>
      </w:r>
    </w:p>
    <w:p w14:paraId="015D8373" w14:textId="77777777" w:rsidR="00812DA4" w:rsidRPr="00812DA4" w:rsidRDefault="00812DA4" w:rsidP="00812DA4">
      <w:pPr>
        <w:spacing w:after="0" w:line="240" w:lineRule="auto"/>
        <w:jc w:val="center"/>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19-07-2023</w:t>
      </w:r>
    </w:p>
    <w:p w14:paraId="7B8890D1" w14:textId="77777777" w:rsidR="00812DA4" w:rsidRPr="00812DA4" w:rsidRDefault="00812DA4" w:rsidP="00812DA4">
      <w:pPr>
        <w:spacing w:after="0" w:line="240" w:lineRule="auto"/>
        <w:jc w:val="center"/>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DIAN</w:t>
      </w:r>
    </w:p>
    <w:p w14:paraId="41288B0D"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4B6B511B"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6F135B69"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100208192-812</w:t>
      </w:r>
    </w:p>
    <w:p w14:paraId="54A6CCD8"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Bogotá, D.C.</w:t>
      </w:r>
    </w:p>
    <w:p w14:paraId="1E0D647F"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10"/>
        <w:gridCol w:w="6685"/>
      </w:tblGrid>
      <w:tr w:rsidR="00812DA4" w:rsidRPr="00812DA4" w14:paraId="4FCE44F1" w14:textId="77777777" w:rsidTr="00812DA4">
        <w:tc>
          <w:tcPr>
            <w:tcW w:w="2210" w:type="dxa"/>
            <w:tcBorders>
              <w:top w:val="nil"/>
              <w:left w:val="nil"/>
              <w:bottom w:val="nil"/>
              <w:right w:val="nil"/>
            </w:tcBorders>
            <w:tcMar>
              <w:top w:w="0" w:type="dxa"/>
              <w:left w:w="105" w:type="dxa"/>
              <w:bottom w:w="0" w:type="dxa"/>
              <w:right w:w="105" w:type="dxa"/>
            </w:tcMar>
            <w:hideMark/>
          </w:tcPr>
          <w:p w14:paraId="02D51071" w14:textId="77777777" w:rsidR="00812DA4" w:rsidRPr="00812DA4" w:rsidRDefault="00812DA4" w:rsidP="00812DA4">
            <w:pPr>
              <w:spacing w:after="0" w:line="240" w:lineRule="auto"/>
              <w:jc w:val="both"/>
              <w:rPr>
                <w:rFonts w:ascii="Segoe UI" w:eastAsia="Times New Roman" w:hAnsi="Segoe UI" w:cs="Segoe UI"/>
                <w:kern w:val="0"/>
                <w:sz w:val="21"/>
                <w:szCs w:val="21"/>
                <w:lang w:eastAsia="es-CO"/>
                <w14:ligatures w14:val="none"/>
              </w:rPr>
            </w:pPr>
            <w:r w:rsidRPr="00812DA4">
              <w:rPr>
                <w:rFonts w:ascii="Segoe UI" w:eastAsia="Times New Roman" w:hAnsi="Segoe UI" w:cs="Segoe UI"/>
                <w:b/>
                <w:bCs/>
                <w:kern w:val="0"/>
                <w:sz w:val="21"/>
                <w:szCs w:val="21"/>
                <w:lang w:eastAsia="es-CO"/>
                <w14:ligatures w14:val="none"/>
              </w:rPr>
              <w:t>Tema:</w:t>
            </w:r>
          </w:p>
        </w:tc>
        <w:tc>
          <w:tcPr>
            <w:tcW w:w="6685" w:type="dxa"/>
            <w:tcBorders>
              <w:top w:val="nil"/>
              <w:left w:val="nil"/>
              <w:bottom w:val="nil"/>
              <w:right w:val="nil"/>
            </w:tcBorders>
            <w:tcMar>
              <w:top w:w="0" w:type="dxa"/>
              <w:left w:w="105" w:type="dxa"/>
              <w:bottom w:w="0" w:type="dxa"/>
              <w:right w:w="105" w:type="dxa"/>
            </w:tcMar>
            <w:hideMark/>
          </w:tcPr>
          <w:p w14:paraId="42E46A49" w14:textId="77777777" w:rsidR="00812DA4" w:rsidRPr="00812DA4" w:rsidRDefault="00812DA4" w:rsidP="00812DA4">
            <w:pPr>
              <w:spacing w:after="0" w:line="240" w:lineRule="auto"/>
              <w:jc w:val="both"/>
              <w:rPr>
                <w:rFonts w:ascii="Segoe UI" w:eastAsia="Times New Roman" w:hAnsi="Segoe UI" w:cs="Segoe UI"/>
                <w:kern w:val="0"/>
                <w:sz w:val="21"/>
                <w:szCs w:val="21"/>
                <w:lang w:eastAsia="es-CO"/>
                <w14:ligatures w14:val="none"/>
              </w:rPr>
            </w:pPr>
            <w:r w:rsidRPr="00812DA4">
              <w:rPr>
                <w:rFonts w:ascii="Segoe UI" w:eastAsia="Times New Roman" w:hAnsi="Segoe UI" w:cs="Segoe UI"/>
                <w:kern w:val="0"/>
                <w:sz w:val="21"/>
                <w:szCs w:val="21"/>
                <w:lang w:eastAsia="es-CO"/>
                <w14:ligatures w14:val="none"/>
              </w:rPr>
              <w:t>Procedimiento tributario</w:t>
            </w:r>
          </w:p>
        </w:tc>
      </w:tr>
      <w:tr w:rsidR="00812DA4" w:rsidRPr="00812DA4" w14:paraId="489E91C2" w14:textId="77777777" w:rsidTr="00812DA4">
        <w:tc>
          <w:tcPr>
            <w:tcW w:w="2210" w:type="dxa"/>
            <w:tcBorders>
              <w:top w:val="nil"/>
              <w:left w:val="nil"/>
              <w:bottom w:val="nil"/>
              <w:right w:val="nil"/>
            </w:tcBorders>
            <w:tcMar>
              <w:top w:w="0" w:type="dxa"/>
              <w:left w:w="105" w:type="dxa"/>
              <w:bottom w:w="0" w:type="dxa"/>
              <w:right w:w="105" w:type="dxa"/>
            </w:tcMar>
            <w:hideMark/>
          </w:tcPr>
          <w:p w14:paraId="3737BAE7" w14:textId="77777777" w:rsidR="00812DA4" w:rsidRPr="00812DA4" w:rsidRDefault="00812DA4" w:rsidP="00812DA4">
            <w:pPr>
              <w:spacing w:after="0" w:line="240" w:lineRule="auto"/>
              <w:jc w:val="both"/>
              <w:rPr>
                <w:rFonts w:ascii="Segoe UI" w:eastAsia="Times New Roman" w:hAnsi="Segoe UI" w:cs="Segoe UI"/>
                <w:kern w:val="0"/>
                <w:sz w:val="21"/>
                <w:szCs w:val="21"/>
                <w:lang w:eastAsia="es-CO"/>
                <w14:ligatures w14:val="none"/>
              </w:rPr>
            </w:pPr>
            <w:r w:rsidRPr="00812DA4">
              <w:rPr>
                <w:rFonts w:ascii="Segoe UI" w:eastAsia="Times New Roman" w:hAnsi="Segoe UI" w:cs="Segoe UI"/>
                <w:b/>
                <w:bCs/>
                <w:kern w:val="0"/>
                <w:sz w:val="21"/>
                <w:szCs w:val="21"/>
                <w:lang w:eastAsia="es-CO"/>
                <w14:ligatures w14:val="none"/>
              </w:rPr>
              <w:t>Descriptores:</w:t>
            </w:r>
          </w:p>
        </w:tc>
        <w:tc>
          <w:tcPr>
            <w:tcW w:w="6685" w:type="dxa"/>
            <w:tcBorders>
              <w:top w:val="nil"/>
              <w:left w:val="nil"/>
              <w:bottom w:val="nil"/>
              <w:right w:val="nil"/>
            </w:tcBorders>
            <w:tcMar>
              <w:top w:w="0" w:type="dxa"/>
              <w:left w:w="105" w:type="dxa"/>
              <w:bottom w:w="0" w:type="dxa"/>
              <w:right w:w="105" w:type="dxa"/>
            </w:tcMar>
            <w:hideMark/>
          </w:tcPr>
          <w:p w14:paraId="7009F23A" w14:textId="77777777" w:rsidR="00812DA4" w:rsidRPr="00812DA4" w:rsidRDefault="00812DA4" w:rsidP="00812DA4">
            <w:pPr>
              <w:spacing w:after="0" w:line="240" w:lineRule="auto"/>
              <w:jc w:val="both"/>
              <w:rPr>
                <w:rFonts w:ascii="Segoe UI" w:eastAsia="Times New Roman" w:hAnsi="Segoe UI" w:cs="Segoe UI"/>
                <w:kern w:val="0"/>
                <w:sz w:val="21"/>
                <w:szCs w:val="21"/>
                <w:lang w:eastAsia="es-CO"/>
                <w14:ligatures w14:val="none"/>
              </w:rPr>
            </w:pPr>
            <w:r w:rsidRPr="00812DA4">
              <w:rPr>
                <w:rFonts w:ascii="Segoe UI" w:eastAsia="Times New Roman" w:hAnsi="Segoe UI" w:cs="Segoe UI"/>
                <w:kern w:val="0"/>
                <w:sz w:val="21"/>
                <w:szCs w:val="21"/>
                <w:lang w:eastAsia="es-CO"/>
                <w14:ligatures w14:val="none"/>
              </w:rPr>
              <w:t>Devolución del impuesto sobre las ventas por adquisición de materiales de construcción para vivienda de interés social</w:t>
            </w:r>
          </w:p>
        </w:tc>
      </w:tr>
      <w:tr w:rsidR="00812DA4" w:rsidRPr="00812DA4" w14:paraId="7714CB8F" w14:textId="77777777" w:rsidTr="00812DA4">
        <w:tc>
          <w:tcPr>
            <w:tcW w:w="2210" w:type="dxa"/>
            <w:tcBorders>
              <w:top w:val="nil"/>
              <w:left w:val="nil"/>
              <w:bottom w:val="nil"/>
              <w:right w:val="nil"/>
            </w:tcBorders>
            <w:tcMar>
              <w:top w:w="0" w:type="dxa"/>
              <w:left w:w="105" w:type="dxa"/>
              <w:bottom w:w="0" w:type="dxa"/>
              <w:right w:w="105" w:type="dxa"/>
            </w:tcMar>
            <w:hideMark/>
          </w:tcPr>
          <w:p w14:paraId="064A8E88" w14:textId="77777777" w:rsidR="00812DA4" w:rsidRPr="00812DA4" w:rsidRDefault="00812DA4" w:rsidP="00812DA4">
            <w:pPr>
              <w:spacing w:after="0" w:line="240" w:lineRule="auto"/>
              <w:jc w:val="both"/>
              <w:rPr>
                <w:rFonts w:ascii="Segoe UI" w:eastAsia="Times New Roman" w:hAnsi="Segoe UI" w:cs="Segoe UI"/>
                <w:kern w:val="0"/>
                <w:sz w:val="21"/>
                <w:szCs w:val="21"/>
                <w:lang w:eastAsia="es-CO"/>
                <w14:ligatures w14:val="none"/>
              </w:rPr>
            </w:pPr>
            <w:r w:rsidRPr="00812DA4">
              <w:rPr>
                <w:rFonts w:ascii="Segoe UI" w:eastAsia="Times New Roman" w:hAnsi="Segoe UI" w:cs="Segoe UI"/>
                <w:b/>
                <w:bCs/>
                <w:kern w:val="0"/>
                <w:sz w:val="21"/>
                <w:szCs w:val="21"/>
                <w:lang w:eastAsia="es-CO"/>
                <w14:ligatures w14:val="none"/>
              </w:rPr>
              <w:t>Fuentes formales:</w:t>
            </w:r>
          </w:p>
        </w:tc>
        <w:tc>
          <w:tcPr>
            <w:tcW w:w="6685" w:type="dxa"/>
            <w:tcBorders>
              <w:top w:val="nil"/>
              <w:left w:val="nil"/>
              <w:bottom w:val="nil"/>
              <w:right w:val="nil"/>
            </w:tcBorders>
            <w:tcMar>
              <w:top w:w="0" w:type="dxa"/>
              <w:left w:w="105" w:type="dxa"/>
              <w:bottom w:w="0" w:type="dxa"/>
              <w:right w:w="105" w:type="dxa"/>
            </w:tcMar>
            <w:hideMark/>
          </w:tcPr>
          <w:p w14:paraId="754A9CB8" w14:textId="77777777" w:rsidR="00812DA4" w:rsidRPr="00812DA4" w:rsidRDefault="00812DA4" w:rsidP="00812DA4">
            <w:pPr>
              <w:spacing w:after="0" w:line="240" w:lineRule="auto"/>
              <w:jc w:val="both"/>
              <w:rPr>
                <w:rFonts w:ascii="Segoe UI" w:eastAsia="Times New Roman" w:hAnsi="Segoe UI" w:cs="Segoe UI"/>
                <w:kern w:val="0"/>
                <w:sz w:val="21"/>
                <w:szCs w:val="21"/>
                <w:lang w:eastAsia="es-CO"/>
                <w14:ligatures w14:val="none"/>
              </w:rPr>
            </w:pPr>
            <w:hyperlink r:id="rId4" w:tooltip="Estatuto Tributario CETA" w:history="1">
              <w:r w:rsidRPr="00812DA4">
                <w:rPr>
                  <w:rFonts w:ascii="Segoe UI" w:eastAsia="Times New Roman" w:hAnsi="Segoe UI" w:cs="Segoe UI"/>
                  <w:color w:val="0645AD"/>
                  <w:kern w:val="0"/>
                  <w:sz w:val="21"/>
                  <w:szCs w:val="21"/>
                  <w:u w:val="single"/>
                  <w:lang w:eastAsia="es-CO"/>
                  <w14:ligatures w14:val="none"/>
                </w:rPr>
                <w:t>Artículo 850</w:t>
              </w:r>
            </w:hyperlink>
            <w:r w:rsidRPr="00812DA4">
              <w:rPr>
                <w:rFonts w:ascii="Segoe UI" w:eastAsia="Times New Roman" w:hAnsi="Segoe UI" w:cs="Segoe UI"/>
                <w:kern w:val="0"/>
                <w:sz w:val="21"/>
                <w:szCs w:val="21"/>
                <w:lang w:eastAsia="es-CO"/>
                <w14:ligatures w14:val="none"/>
              </w:rPr>
              <w:t> del Estatuto Tributario</w:t>
            </w:r>
          </w:p>
          <w:p w14:paraId="4A6B2A37" w14:textId="77777777" w:rsidR="00812DA4" w:rsidRPr="00812DA4" w:rsidRDefault="00812DA4" w:rsidP="00812DA4">
            <w:pPr>
              <w:spacing w:after="0" w:line="240" w:lineRule="auto"/>
              <w:jc w:val="both"/>
              <w:rPr>
                <w:rFonts w:ascii="Segoe UI" w:eastAsia="Times New Roman" w:hAnsi="Segoe UI" w:cs="Segoe UI"/>
                <w:kern w:val="0"/>
                <w:sz w:val="21"/>
                <w:szCs w:val="21"/>
                <w:lang w:eastAsia="es-CO"/>
                <w14:ligatures w14:val="none"/>
              </w:rPr>
            </w:pPr>
            <w:r w:rsidRPr="00812DA4">
              <w:rPr>
                <w:rFonts w:ascii="Segoe UI" w:eastAsia="Times New Roman" w:hAnsi="Segoe UI" w:cs="Segoe UI"/>
                <w:kern w:val="0"/>
                <w:sz w:val="21"/>
                <w:szCs w:val="21"/>
                <w:lang w:eastAsia="es-CO"/>
                <w14:ligatures w14:val="none"/>
              </w:rPr>
              <w:t>Artículo 1.6.1.26.1. del Decreto 1625 de 2016</w:t>
            </w:r>
          </w:p>
          <w:p w14:paraId="0C3F6510" w14:textId="77777777" w:rsidR="00812DA4" w:rsidRPr="00812DA4" w:rsidRDefault="00812DA4" w:rsidP="00812DA4">
            <w:pPr>
              <w:spacing w:after="0" w:line="240" w:lineRule="auto"/>
              <w:jc w:val="both"/>
              <w:rPr>
                <w:rFonts w:ascii="Segoe UI" w:eastAsia="Times New Roman" w:hAnsi="Segoe UI" w:cs="Segoe UI"/>
                <w:kern w:val="0"/>
                <w:sz w:val="21"/>
                <w:szCs w:val="21"/>
                <w:lang w:eastAsia="es-CO"/>
                <w14:ligatures w14:val="none"/>
              </w:rPr>
            </w:pPr>
            <w:r w:rsidRPr="00812DA4">
              <w:rPr>
                <w:rFonts w:ascii="Segoe UI" w:eastAsia="Times New Roman" w:hAnsi="Segoe UI" w:cs="Segoe UI"/>
                <w:kern w:val="0"/>
                <w:sz w:val="21"/>
                <w:szCs w:val="21"/>
                <w:lang w:eastAsia="es-CO"/>
                <w14:ligatures w14:val="none"/>
              </w:rPr>
              <w:t>Sentencia del Consejo de Estado, Sala de lo Contencioso Administrativo, Sección Cuarta, C.P. STELLA JEANNETTE CARVAJAL BASTO, octubre 27 de 2022, Radicación No. 11001-03-27-000-2021-00004-00 (25440).</w:t>
            </w:r>
          </w:p>
        </w:tc>
      </w:tr>
    </w:tbl>
    <w:p w14:paraId="73D2285A"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60630B31"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52B13270"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Cordial saludo,</w:t>
      </w:r>
    </w:p>
    <w:p w14:paraId="72E8D225"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68D2BF03"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De conformidad con el artículo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77F6D3BE"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53261150"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PROBLEMA JURÍDICO</w:t>
      </w:r>
    </w:p>
    <w:p w14:paraId="76731C7A"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39185C2C"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¿Es susceptible de devolución y/o compensación el impuesto sobre las ventas pagado en la adquisición de ascensores y materiales para la construcción de espacios comunes y obras de urbanismo en el marco de proyectos de viviendas de interés social y viviendas de interés prioritario?</w:t>
      </w:r>
    </w:p>
    <w:p w14:paraId="7694D487"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46AA495C"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TESIS JURÍDICA</w:t>
      </w:r>
    </w:p>
    <w:p w14:paraId="0DCD3441"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145A4F53"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El impuesto sobre las ventas pagado en la adquisición de ascensores y materiales para la construcción de espacios comunes y obras de urbanismo en el marco de proyectos de viviendas de interés social y viviendas de interés prioritario es susceptible de devolución y/o compensación siempre que las soluciones de vivienda de interés social y vivienda de interés social prioritaria se constituyan como propiedad horizontal.</w:t>
      </w:r>
    </w:p>
    <w:p w14:paraId="67A1CEFC"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458E7D5A"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Lo anterior, en los términos de los artículos </w:t>
      </w:r>
      <w:hyperlink r:id="rId5" w:tooltip="Estatuto Tributario CETA" w:history="1">
        <w:r w:rsidRPr="00812DA4">
          <w:rPr>
            <w:rFonts w:ascii="Segoe UI" w:eastAsia="Times New Roman" w:hAnsi="Segoe UI" w:cs="Segoe UI"/>
            <w:color w:val="0645AD"/>
            <w:kern w:val="0"/>
            <w:sz w:val="21"/>
            <w:szCs w:val="21"/>
            <w:u w:val="single"/>
            <w:lang w:eastAsia="es-CO"/>
            <w14:ligatures w14:val="none"/>
          </w:rPr>
          <w:t>850</w:t>
        </w:r>
      </w:hyperlink>
      <w:r w:rsidRPr="00812DA4">
        <w:rPr>
          <w:rFonts w:ascii="Segoe UI" w:eastAsia="Times New Roman" w:hAnsi="Segoe UI" w:cs="Segoe UI"/>
          <w:color w:val="000000"/>
          <w:kern w:val="0"/>
          <w:sz w:val="21"/>
          <w:szCs w:val="21"/>
          <w:lang w:eastAsia="es-CO"/>
          <w14:ligatures w14:val="none"/>
        </w:rPr>
        <w:t> del Estatuto Tributario y 1.6.1.26.1. del Decreto 1625 de 2016 y teniendo en cuenta lo resuelto por el Consejo de Estado, Sala de lo Contencioso Administrativo, Sección Cuarta, C.P. STELLA JEANNETTE CARVAJAL BASTO, en Sentencia de octubre 27 de 2022, Radicación No. 11001-03-27-000-2021-00004-00 (25440).</w:t>
      </w:r>
    </w:p>
    <w:p w14:paraId="066BBD71"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6E4F400F"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FUNDAMENTACIÓN</w:t>
      </w:r>
    </w:p>
    <w:p w14:paraId="71597F80"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117D3BAD"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El </w:t>
      </w:r>
      <w:hyperlink r:id="rId6" w:tooltip="Estatuto Tributario CETA" w:history="1">
        <w:r w:rsidRPr="00812DA4">
          <w:rPr>
            <w:rFonts w:ascii="Segoe UI" w:eastAsia="Times New Roman" w:hAnsi="Segoe UI" w:cs="Segoe UI"/>
            <w:color w:val="0645AD"/>
            <w:kern w:val="0"/>
            <w:sz w:val="21"/>
            <w:szCs w:val="21"/>
            <w:u w:val="single"/>
            <w:lang w:eastAsia="es-CO"/>
            <w14:ligatures w14:val="none"/>
          </w:rPr>
          <w:t>artículo 850</w:t>
        </w:r>
      </w:hyperlink>
      <w:r w:rsidRPr="00812DA4">
        <w:rPr>
          <w:rFonts w:ascii="Segoe UI" w:eastAsia="Times New Roman" w:hAnsi="Segoe UI" w:cs="Segoe UI"/>
          <w:color w:val="000000"/>
          <w:kern w:val="0"/>
          <w:sz w:val="21"/>
          <w:szCs w:val="21"/>
          <w:lang w:eastAsia="es-CO"/>
          <w14:ligatures w14:val="none"/>
        </w:rPr>
        <w:t> del Estatuto Tributario dispone en su parágrafo 2°:</w:t>
      </w:r>
    </w:p>
    <w:p w14:paraId="0C671E2A"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6AFCDB37"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PARÁGRAFO 2o.</w:t>
      </w:r>
      <w:r w:rsidRPr="00812DA4">
        <w:rPr>
          <w:rFonts w:ascii="Segoe UI" w:eastAsia="Times New Roman" w:hAnsi="Segoe UI" w:cs="Segoe UI"/>
          <w:color w:val="000000"/>
          <w:kern w:val="0"/>
          <w:sz w:val="21"/>
          <w:szCs w:val="21"/>
          <w:lang w:eastAsia="es-CO"/>
          <w14:ligatures w14:val="none"/>
        </w:rPr>
        <w:t> &lt;Parágrafo modificado por el artículo 66 de la Ley 1607 de 2012. El nuevo texto es el siguiente:&gt; Tendrán derecho a la devolución o compensación del impuesto al valor agregado, IVA, pagado en la </w:t>
      </w:r>
      <w:r w:rsidRPr="00812DA4">
        <w:rPr>
          <w:rFonts w:ascii="Segoe UI" w:eastAsia="Times New Roman" w:hAnsi="Segoe UI" w:cs="Segoe UI"/>
          <w:color w:val="000000"/>
          <w:kern w:val="0"/>
          <w:sz w:val="21"/>
          <w:szCs w:val="21"/>
          <w:u w:val="single"/>
          <w:lang w:eastAsia="es-CO"/>
          <w14:ligatures w14:val="none"/>
        </w:rPr>
        <w:t>adquisición de materiales para la construcción</w:t>
      </w:r>
      <w:r w:rsidRPr="00812DA4">
        <w:rPr>
          <w:rFonts w:ascii="Segoe UI" w:eastAsia="Times New Roman" w:hAnsi="Segoe UI" w:cs="Segoe UI"/>
          <w:color w:val="000000"/>
          <w:kern w:val="0"/>
          <w:sz w:val="21"/>
          <w:szCs w:val="21"/>
          <w:lang w:eastAsia="es-CO"/>
          <w14:ligatures w14:val="none"/>
        </w:rPr>
        <w:t> de vivienda de interés social y prioritaria, los constructores que los desarrollen.</w:t>
      </w:r>
    </w:p>
    <w:p w14:paraId="0172C266"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lastRenderedPageBreak/>
        <w:t> </w:t>
      </w:r>
    </w:p>
    <w:p w14:paraId="2A986872"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u w:val="single"/>
          <w:lang w:eastAsia="es-CO"/>
          <w14:ligatures w14:val="none"/>
        </w:rPr>
        <w:t>La devolución o compensación se hará en una proporción al cuatro por ciento (4%) del valor registrado en las escrituras de venta del inmueble nuevo, tal como lo adquiere su comprador o usuario final, cuyo valor no exceda el valor máximo de la vivienda de interés social, de acuerdo con las normas vigentes.</w:t>
      </w:r>
      <w:r w:rsidRPr="00812DA4">
        <w:rPr>
          <w:rFonts w:ascii="Segoe UI" w:eastAsia="Times New Roman" w:hAnsi="Segoe UI" w:cs="Segoe UI"/>
          <w:color w:val="000000"/>
          <w:kern w:val="0"/>
          <w:sz w:val="21"/>
          <w:szCs w:val="21"/>
          <w:lang w:eastAsia="es-CO"/>
          <w14:ligatures w14:val="none"/>
        </w:rPr>
        <w:t> El Gobierno Nacional reglamentará las condiciones de la devolución o compensación a que hace referencia el presente artículo.</w:t>
      </w:r>
    </w:p>
    <w:p w14:paraId="33EBA965"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72CE4DB6"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La DIAN podrá solicitar en los casos que considere necesario, los soportes que demuestren el pago del IVA en la construcción de las viviendas. (subrayado fuera de texto)</w:t>
      </w:r>
    </w:p>
    <w:p w14:paraId="6F882248"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5498209C"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A su vez, el artículo 1.6.1.26.1. del Decreto 1625 de 2016 establece:</w:t>
      </w:r>
    </w:p>
    <w:p w14:paraId="6B27F5A2"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77073671"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ARTÍCULO 1.6.1.26.1. VIVIENDA DE INTERÉS SOCIAL Y VIVIENDA DE INTERÉS SOCIAL PRIORITARIA QUE DA DERECHO A DEVOLUCIÓN Y/O COMPENSACIÓN DEL IMPUESTO SOBRE LAS VENTAS – IVA POR LA ADQUISICIÓN DE MATERIALES DE CONSTRUCCIÓN. &lt;Artículo modificado por el artículo 1 del Decreto 96 de 2020. El nuevo texto es el siguiente:&gt; (…)</w:t>
      </w:r>
    </w:p>
    <w:p w14:paraId="6AC09126"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788D41A2"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PARÁGRAFO 1o.</w:t>
      </w:r>
      <w:r w:rsidRPr="00812DA4">
        <w:rPr>
          <w:rFonts w:ascii="Segoe UI" w:eastAsia="Times New Roman" w:hAnsi="Segoe UI" w:cs="Segoe UI"/>
          <w:color w:val="000000"/>
          <w:kern w:val="0"/>
          <w:sz w:val="21"/>
          <w:szCs w:val="21"/>
          <w:lang w:eastAsia="es-CO"/>
          <w14:ligatures w14:val="none"/>
        </w:rPr>
        <w:t> Se entiende que cada solución de vivienda de interés social y vivienda de interés social prioritaria, </w:t>
      </w:r>
      <w:r w:rsidRPr="00812DA4">
        <w:rPr>
          <w:rFonts w:ascii="Segoe UI" w:eastAsia="Times New Roman" w:hAnsi="Segoe UI" w:cs="Segoe UI"/>
          <w:color w:val="000000"/>
          <w:kern w:val="0"/>
          <w:sz w:val="21"/>
          <w:szCs w:val="21"/>
          <w:u w:val="single"/>
          <w:lang w:eastAsia="es-CO"/>
          <w14:ligatures w14:val="none"/>
        </w:rPr>
        <w:t>además de los servicios públicos instalados y los ductos necesarios para un punto de conexión al servicio de internet, también contará con ducha, sanitario, lavamanos, lavadero, cocina, lavaplatos, puertas, ventanas y vidrios</w:t>
      </w:r>
      <w:r w:rsidRPr="00812DA4">
        <w:rPr>
          <w:rFonts w:ascii="Segoe UI" w:eastAsia="Times New Roman" w:hAnsi="Segoe UI" w:cs="Segoe UI"/>
          <w:color w:val="000000"/>
          <w:kern w:val="0"/>
          <w:sz w:val="21"/>
          <w:szCs w:val="21"/>
          <w:lang w:eastAsia="es-CO"/>
          <w14:ligatures w14:val="none"/>
        </w:rPr>
        <w:t>.</w:t>
      </w:r>
    </w:p>
    <w:p w14:paraId="5E1BD418"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6CA47A74"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El precio total de la vivienda, así descrito, no podrá exceder el precio máximo señalado en las normas que regulan la materia, </w:t>
      </w:r>
      <w:r w:rsidRPr="00812DA4">
        <w:rPr>
          <w:rFonts w:ascii="Segoe UI" w:eastAsia="Times New Roman" w:hAnsi="Segoe UI" w:cs="Segoe UI"/>
          <w:color w:val="000000"/>
          <w:kern w:val="0"/>
          <w:sz w:val="21"/>
          <w:szCs w:val="21"/>
          <w:u w:val="single"/>
          <w:lang w:eastAsia="es-CO"/>
          <w14:ligatures w14:val="none"/>
        </w:rPr>
        <w:t>y el mismo incluirá tanto el valor de los bienes muebles e inmuebles que presten usos y servicios complementarios o conexos, tales como: parqueaderos, depósitos, buhardillas, terrazas, antejardines y patios</w:t>
      </w:r>
      <w:r w:rsidRPr="00812DA4">
        <w:rPr>
          <w:rFonts w:ascii="Segoe UI" w:eastAsia="Times New Roman" w:hAnsi="Segoe UI" w:cs="Segoe UI"/>
          <w:color w:val="000000"/>
          <w:kern w:val="0"/>
          <w:sz w:val="21"/>
          <w:szCs w:val="21"/>
          <w:lang w:eastAsia="es-CO"/>
          <w14:ligatures w14:val="none"/>
        </w:rPr>
        <w:t>; así como el correspondiente a contratos de mejoras o acabados suscritos con el constructor o con terceros.</w:t>
      </w:r>
    </w:p>
    <w:p w14:paraId="7CFA96E5"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347BB89E"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De igual forma, son parte integral, del valor de la vivienda las obras de urbanismo ejecutadas por el constructor para garantizar la habitabilidad de las viviendas en los proyectos de vivienda de interés social y vivienda de interés social prioritaria.</w:t>
      </w:r>
    </w:p>
    <w:p w14:paraId="09664EC2"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34E81549"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b/>
          <w:bCs/>
          <w:color w:val="000000"/>
          <w:kern w:val="0"/>
          <w:sz w:val="21"/>
          <w:szCs w:val="21"/>
          <w:lang w:eastAsia="es-CO"/>
          <w14:ligatures w14:val="none"/>
        </w:rPr>
        <w:t>PARÁGRAFO 2o.</w:t>
      </w:r>
      <w:r w:rsidRPr="00812DA4">
        <w:rPr>
          <w:rFonts w:ascii="Segoe UI" w:eastAsia="Times New Roman" w:hAnsi="Segoe UI" w:cs="Segoe UI"/>
          <w:color w:val="000000"/>
          <w:kern w:val="0"/>
          <w:sz w:val="21"/>
          <w:szCs w:val="21"/>
          <w:lang w:eastAsia="es-CO"/>
          <w14:ligatures w14:val="none"/>
        </w:rPr>
        <w:t> Cuando las soluciones de vivienda de interés social y vivienda de interés social prioritaria </w:t>
      </w:r>
      <w:r w:rsidRPr="00812DA4">
        <w:rPr>
          <w:rFonts w:ascii="Segoe UI" w:eastAsia="Times New Roman" w:hAnsi="Segoe UI" w:cs="Segoe UI"/>
          <w:color w:val="000000"/>
          <w:kern w:val="0"/>
          <w:sz w:val="21"/>
          <w:szCs w:val="21"/>
          <w:u w:val="single"/>
          <w:lang w:eastAsia="es-CO"/>
          <w14:ligatures w14:val="none"/>
        </w:rPr>
        <w:t>se constituyan como propiedad horizontal</w:t>
      </w:r>
      <w:r w:rsidRPr="00812DA4">
        <w:rPr>
          <w:rFonts w:ascii="Segoe UI" w:eastAsia="Times New Roman" w:hAnsi="Segoe UI" w:cs="Segoe UI"/>
          <w:color w:val="000000"/>
          <w:kern w:val="0"/>
          <w:sz w:val="21"/>
          <w:szCs w:val="21"/>
          <w:lang w:eastAsia="es-CO"/>
          <w14:ligatures w14:val="none"/>
        </w:rPr>
        <w:t>, según lo definido en la Ley 675 de 2001 o la norma que la modifique, adicione o sustituya, </w:t>
      </w:r>
      <w:r w:rsidRPr="00812DA4">
        <w:rPr>
          <w:rFonts w:ascii="Segoe UI" w:eastAsia="Times New Roman" w:hAnsi="Segoe UI" w:cs="Segoe UI"/>
          <w:color w:val="000000"/>
          <w:kern w:val="0"/>
          <w:sz w:val="21"/>
          <w:szCs w:val="21"/>
          <w:u w:val="single"/>
          <w:lang w:eastAsia="es-CO"/>
          <w14:ligatures w14:val="none"/>
        </w:rPr>
        <w:t>el valor del impuesto sobre las ventas -IVA pagado sobre los materiales utilizados en la construcción de bienes comunes podrá ser objeto de devolución y/o compensación del impuesto sobre las ventas - IVA</w:t>
      </w:r>
      <w:r w:rsidRPr="00812DA4">
        <w:rPr>
          <w:rFonts w:ascii="Segoe UI" w:eastAsia="Times New Roman" w:hAnsi="Segoe UI" w:cs="Segoe UI"/>
          <w:color w:val="000000"/>
          <w:kern w:val="0"/>
          <w:sz w:val="21"/>
          <w:szCs w:val="21"/>
          <w:lang w:eastAsia="es-CO"/>
          <w14:ligatures w14:val="none"/>
        </w:rPr>
        <w:t>, de que trata el presente capítulo, </w:t>
      </w:r>
      <w:r w:rsidRPr="00812DA4">
        <w:rPr>
          <w:rFonts w:ascii="Segoe UI" w:eastAsia="Times New Roman" w:hAnsi="Segoe UI" w:cs="Segoe UI"/>
          <w:color w:val="000000"/>
          <w:kern w:val="0"/>
          <w:sz w:val="21"/>
          <w:szCs w:val="21"/>
          <w:u w:val="single"/>
          <w:lang w:eastAsia="es-CO"/>
          <w14:ligatures w14:val="none"/>
        </w:rPr>
        <w:t>a condición de que la vivienda objeto de beneficio, incluidos los conexos, no sobrepase el valor de venta señalado en el presente artículo.</w:t>
      </w:r>
    </w:p>
    <w:p w14:paraId="46855CD3"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0546D330"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(subrayado fuera de texto)</w:t>
      </w:r>
    </w:p>
    <w:p w14:paraId="09208553"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3FA76D10"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Es de advertir que el Consejo de Estado, Sala de lo Contencioso Administrativo, Sección Cuarta, C.P. STELLA JEANNETTE CARVAJAL BASTO, en sentencia de octubre 27 de 2022, Radicación No. 11001-03-27-000-2021-00004-00 (25440), declaró la nulidad parcial del siguiente aparte del reseñado artículo 1.6.1.26.1.: “y el mismo incluirá tanto el valor de los bienes muebles e inmuebles que presten usos y servicios complementarios o conexos, tales como: parqueaderos, depósitos, buhardillas, terrazas, antejardines y patios; así como el correspondiente a contratos de mejoras o acabados suscritos con el constructor o con terceros. De igual forma, son parte integral del valor de la vivienda las obras de urbanismo ejecutadas por el constructor para garantizar la habitabilidad de las viviendas en los proyectos de vivienda de interés social y vivienda de interés social prioritaria”.</w:t>
      </w:r>
    </w:p>
    <w:p w14:paraId="150FC33A"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18C13554"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Lo anterior, con base en los siguientes argumentos:</w:t>
      </w:r>
    </w:p>
    <w:p w14:paraId="4727A644" w14:textId="77777777" w:rsidR="00812DA4" w:rsidRPr="00812DA4" w:rsidRDefault="00812DA4" w:rsidP="00812DA4">
      <w:pPr>
        <w:spacing w:after="0" w:line="240" w:lineRule="auto"/>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572254DF"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xml:space="preserve">La regulación reglamentaria sobre composición material de las VIS y VIP y el límite del precio de </w:t>
      </w:r>
      <w:proofErr w:type="gramStart"/>
      <w:r w:rsidRPr="00812DA4">
        <w:rPr>
          <w:rFonts w:ascii="Segoe UI" w:eastAsia="Times New Roman" w:hAnsi="Segoe UI" w:cs="Segoe UI"/>
          <w:color w:val="000000"/>
          <w:kern w:val="0"/>
          <w:sz w:val="21"/>
          <w:szCs w:val="21"/>
          <w:lang w:eastAsia="es-CO"/>
          <w14:ligatures w14:val="none"/>
        </w:rPr>
        <w:t>las mismas</w:t>
      </w:r>
      <w:proofErr w:type="gramEnd"/>
      <w:r w:rsidRPr="00812DA4">
        <w:rPr>
          <w:rFonts w:ascii="Segoe UI" w:eastAsia="Times New Roman" w:hAnsi="Segoe UI" w:cs="Segoe UI"/>
          <w:color w:val="000000"/>
          <w:kern w:val="0"/>
          <w:sz w:val="21"/>
          <w:szCs w:val="21"/>
          <w:lang w:eastAsia="es-CO"/>
          <w14:ligatures w14:val="none"/>
        </w:rPr>
        <w:t xml:space="preserve"> es consecuencia directa de la regla legal en materia de devolución del IVA pagado por la adquisición de materiales para la construcción de dichos tipos de vivienda [</w:t>
      </w:r>
      <w:hyperlink r:id="rId7" w:tooltip="Estatuto Tributario CETA" w:history="1">
        <w:r w:rsidRPr="00812DA4">
          <w:rPr>
            <w:rFonts w:ascii="Segoe UI" w:eastAsia="Times New Roman" w:hAnsi="Segoe UI" w:cs="Segoe UI"/>
            <w:color w:val="0645AD"/>
            <w:kern w:val="0"/>
            <w:sz w:val="21"/>
            <w:szCs w:val="21"/>
            <w:u w:val="single"/>
            <w:lang w:eastAsia="es-CO"/>
            <w14:ligatures w14:val="none"/>
          </w:rPr>
          <w:t>art. 850</w:t>
        </w:r>
      </w:hyperlink>
      <w:r w:rsidRPr="00812DA4">
        <w:rPr>
          <w:rFonts w:ascii="Segoe UI" w:eastAsia="Times New Roman" w:hAnsi="Segoe UI" w:cs="Segoe UI"/>
          <w:color w:val="000000"/>
          <w:kern w:val="0"/>
          <w:sz w:val="21"/>
          <w:szCs w:val="21"/>
          <w:lang w:eastAsia="es-CO"/>
          <w14:ligatures w14:val="none"/>
        </w:rPr>
        <w:t xml:space="preserve"> ET]. Esa regla restringió el monto de la devolución a un porcentaje específico (4%) sobre el valor registrado en </w:t>
      </w:r>
      <w:r w:rsidRPr="00812DA4">
        <w:rPr>
          <w:rFonts w:ascii="Segoe UI" w:eastAsia="Times New Roman" w:hAnsi="Segoe UI" w:cs="Segoe UI"/>
          <w:color w:val="000000"/>
          <w:kern w:val="0"/>
          <w:sz w:val="21"/>
          <w:szCs w:val="21"/>
          <w:lang w:eastAsia="es-CO"/>
          <w14:ligatures w14:val="none"/>
        </w:rPr>
        <w:lastRenderedPageBreak/>
        <w:t>las escrituras de venta del inmueble nuevo adquirido por su comprador o usuario final y prohibió que dicho valor excediera “el valor máximo de la vivienda de interés social, de acuerdo con las normas vigentes”; con ello, el legislador fijó dos parámetros regulatorios, a saber: el valor de la vivienda de interés social y las normas vigentes sobre el mismo, los cuales, de acuerdo con el señalamiento hecho por el mismo texto legal y los presupuestos sustanciales de la facultad conferida por el artículo 189 [11] de la CP, podían ser objeto de desarrollo reglamentario en la medida que tuvieran una textura dispositiva abierta requirente de precisiones normativas para delimitar el alcance de su aplicación.</w:t>
      </w:r>
    </w:p>
    <w:p w14:paraId="5B1EC481"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46656C5E"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Frente a tales parámetros, la norma acusada deviene pertinente en la medida que recae sobre los servicios y bienes materiales que se integran al concepto del tipo de viviendas a las que alude el parágrafo 2 del </w:t>
      </w:r>
      <w:hyperlink r:id="rId8" w:tooltip="Estatuto Tributario CETA" w:history="1">
        <w:r w:rsidRPr="00812DA4">
          <w:rPr>
            <w:rFonts w:ascii="Segoe UI" w:eastAsia="Times New Roman" w:hAnsi="Segoe UI" w:cs="Segoe UI"/>
            <w:color w:val="0645AD"/>
            <w:kern w:val="0"/>
            <w:sz w:val="21"/>
            <w:szCs w:val="21"/>
            <w:u w:val="single"/>
            <w:lang w:eastAsia="es-CO"/>
            <w14:ligatures w14:val="none"/>
          </w:rPr>
          <w:t>artículo 850</w:t>
        </w:r>
      </w:hyperlink>
      <w:r w:rsidRPr="00812DA4">
        <w:rPr>
          <w:rFonts w:ascii="Segoe UI" w:eastAsia="Times New Roman" w:hAnsi="Segoe UI" w:cs="Segoe UI"/>
          <w:color w:val="000000"/>
          <w:kern w:val="0"/>
          <w:sz w:val="21"/>
          <w:szCs w:val="21"/>
          <w:lang w:eastAsia="es-CO"/>
          <w14:ligatures w14:val="none"/>
        </w:rPr>
        <w:t> del ET y, de acuerdo con ellos, presenta tres componentes del precio total de las VIS/VIP que, se repite, no pueden sobrepasar el “valor máximo” establecido en aquel. Puestos así los elementos de análisis, el juicio de legalidad se contraerá a establecer si unos y otros se ajustan al ordenamiento superior y cumplen la concordancia con normas vigentes, igualmente exigida por el mismo parágrafo.</w:t>
      </w:r>
    </w:p>
    <w:p w14:paraId="3BFB3461"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2F154C19"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Bajo ese propósito, observa la Sala:</w:t>
      </w:r>
    </w:p>
    <w:p w14:paraId="5F153345"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4B5CD640"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w:t>
      </w:r>
    </w:p>
    <w:p w14:paraId="43943C94"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28E4BFC0"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el artículo 2 1.1.1.1.1.7. del Decreto 1077 de 2015, Único Reglamentario del Sector Vivienda, Ciudad y Territorio (…) señaló que el valor de la vivienda nueva sería el estipulado en el avalúo comercial realizado conforme a la normativa vigente, aportado por el hogar o realizado durante el proceso de aprobación del mecanismo de financiación adicional escogido por el hogar, </w:t>
      </w:r>
      <w:r w:rsidRPr="00812DA4">
        <w:rPr>
          <w:rFonts w:ascii="Segoe UI" w:eastAsia="Times New Roman" w:hAnsi="Segoe UI" w:cs="Segoe UI"/>
          <w:color w:val="000000"/>
          <w:kern w:val="0"/>
          <w:sz w:val="21"/>
          <w:szCs w:val="21"/>
          <w:u w:val="single"/>
          <w:lang w:eastAsia="es-CO"/>
          <w14:ligatures w14:val="none"/>
        </w:rPr>
        <w:t>presumiéndose que ese valor incluía “el de los bienes muebles e inmuebles que prestan usos y servicios complementarios o conexos a los mismos, como parqueaderos, depósitos, buhardillas, terrazas, antejardines o patios, como el correspondiente a contratos de mejoras o acabados suscritos con el oferente o con terceros”</w:t>
      </w:r>
      <w:r w:rsidRPr="00812DA4">
        <w:rPr>
          <w:rFonts w:ascii="Segoe UI" w:eastAsia="Times New Roman" w:hAnsi="Segoe UI" w:cs="Segoe UI"/>
          <w:color w:val="000000"/>
          <w:kern w:val="0"/>
          <w:sz w:val="21"/>
          <w:szCs w:val="21"/>
          <w:lang w:eastAsia="es-CO"/>
          <w14:ligatures w14:val="none"/>
        </w:rPr>
        <w:t>.</w:t>
      </w:r>
    </w:p>
    <w:p w14:paraId="6A9CF540"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2279838D"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w:t>
      </w:r>
    </w:p>
    <w:p w14:paraId="2AB86FE5"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00A97C76"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Ahora bien, la sentencia 23662 del 28 de noviembre de 2019 anuló los conceptos 100202208-0132 del 09 de febrero de 2017 y 100202208-0322 del 03 de abril del mismo año, que sujetaban la procedencia de la exención de las rentas asociadas a las VIS y VIP a que la totalidad de las unidades habitacionales y sus servicios y espacios accesorios no superaran los montos de SMLMV fijados por el parágrafo 1 del artículo 2.1.1.1.1.1.7 del Decreto 1077 de 2015.</w:t>
      </w:r>
    </w:p>
    <w:p w14:paraId="01186D4C"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2125B974"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En ese específico contexto de rentas exentas asociadas a la VIS/VIP, con fundamento en el </w:t>
      </w:r>
      <w:hyperlink r:id="rId9" w:tooltip="Estatuto Tributario CETA" w:history="1">
        <w:r w:rsidRPr="00812DA4">
          <w:rPr>
            <w:rFonts w:ascii="Segoe UI" w:eastAsia="Times New Roman" w:hAnsi="Segoe UI" w:cs="Segoe UI"/>
            <w:color w:val="0645AD"/>
            <w:kern w:val="0"/>
            <w:sz w:val="21"/>
            <w:szCs w:val="21"/>
            <w:u w:val="single"/>
            <w:lang w:eastAsia="es-CO"/>
            <w14:ligatures w14:val="none"/>
          </w:rPr>
          <w:t>artículo 235-2</w:t>
        </w:r>
      </w:hyperlink>
      <w:r w:rsidRPr="00812DA4">
        <w:rPr>
          <w:rFonts w:ascii="Segoe UI" w:eastAsia="Times New Roman" w:hAnsi="Segoe UI" w:cs="Segoe UI"/>
          <w:color w:val="000000"/>
          <w:kern w:val="0"/>
          <w:sz w:val="21"/>
          <w:szCs w:val="21"/>
          <w:lang w:eastAsia="es-CO"/>
          <w14:ligatures w14:val="none"/>
        </w:rPr>
        <w:t> del ET que establece la exención del impuesto sobre la renta para las utilidades obtenidas en la enajenación de predios destinados al desarrollo de proyectos de VIS y VIP y aquellas derivadas de la primera venta de los mismos tipos de vivienda, la mencionada sentencia anotó que </w:t>
      </w:r>
      <w:r w:rsidRPr="00812DA4">
        <w:rPr>
          <w:rFonts w:ascii="Segoe UI" w:eastAsia="Times New Roman" w:hAnsi="Segoe UI" w:cs="Segoe UI"/>
          <w:color w:val="000000"/>
          <w:kern w:val="0"/>
          <w:sz w:val="21"/>
          <w:szCs w:val="21"/>
          <w:u w:val="single"/>
          <w:lang w:eastAsia="es-CO"/>
          <w14:ligatures w14:val="none"/>
        </w:rPr>
        <w:t>la referencia de la norma regulatoria de los montos límites de las viviendas a las cuales podía aplicarse el subsidio familiar no se acompasaba con la noción de VIS y VIP, puesto que la limitación en SMLMV no concretaba esa noción, sino la posibilidad de adquirir tales inmuebles mediante subsidio</w:t>
      </w:r>
      <w:r w:rsidRPr="00812DA4">
        <w:rPr>
          <w:rFonts w:ascii="Segoe UI" w:eastAsia="Times New Roman" w:hAnsi="Segoe UI" w:cs="Segoe UI"/>
          <w:color w:val="000000"/>
          <w:kern w:val="0"/>
          <w:sz w:val="21"/>
          <w:szCs w:val="21"/>
          <w:lang w:eastAsia="es-CO"/>
          <w14:ligatures w14:val="none"/>
        </w:rPr>
        <w:t>.</w:t>
      </w:r>
    </w:p>
    <w:p w14:paraId="3F4868FF"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57F0E5A0"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De acuerdo con ello, dicha providencia puntualizó que </w:t>
      </w:r>
      <w:r w:rsidRPr="00812DA4">
        <w:rPr>
          <w:rFonts w:ascii="Segoe UI" w:eastAsia="Times New Roman" w:hAnsi="Segoe UI" w:cs="Segoe UI"/>
          <w:color w:val="000000"/>
          <w:kern w:val="0"/>
          <w:sz w:val="21"/>
          <w:szCs w:val="21"/>
          <w:u w:val="single"/>
          <w:lang w:eastAsia="es-CO"/>
          <w14:ligatures w14:val="none"/>
        </w:rPr>
        <w:t>los conceptos de VIS y VIP debían sujetarse a la regulación especial prevista en la Ley 388 de 1997 y a los límites de los valores establecidos en el correspondiente plan de desarrollo (135 SMLMV para las VIS y 70 o 90 SMLMV para las VIP)</w:t>
      </w:r>
      <w:r w:rsidRPr="00812DA4">
        <w:rPr>
          <w:rFonts w:ascii="Segoe UI" w:eastAsia="Times New Roman" w:hAnsi="Segoe UI" w:cs="Segoe UI"/>
          <w:color w:val="000000"/>
          <w:kern w:val="0"/>
          <w:sz w:val="21"/>
          <w:szCs w:val="21"/>
          <w:lang w:eastAsia="es-CO"/>
          <w14:ligatures w14:val="none"/>
        </w:rPr>
        <w:t>, de manera que las viviendas que cumplieran dichos requisitos podían acceder a la renta exenta de que trata el mencionado </w:t>
      </w:r>
      <w:hyperlink r:id="rId10" w:tooltip="Estatuto Tributario CETA" w:history="1">
        <w:r w:rsidRPr="00812DA4">
          <w:rPr>
            <w:rFonts w:ascii="Segoe UI" w:eastAsia="Times New Roman" w:hAnsi="Segoe UI" w:cs="Segoe UI"/>
            <w:color w:val="0645AD"/>
            <w:kern w:val="0"/>
            <w:sz w:val="21"/>
            <w:szCs w:val="21"/>
            <w:u w:val="single"/>
            <w:lang w:eastAsia="es-CO"/>
            <w14:ligatures w14:val="none"/>
          </w:rPr>
          <w:t>artículo 235-2</w:t>
        </w:r>
      </w:hyperlink>
      <w:r w:rsidRPr="00812DA4">
        <w:rPr>
          <w:rFonts w:ascii="Segoe UI" w:eastAsia="Times New Roman" w:hAnsi="Segoe UI" w:cs="Segoe UI"/>
          <w:color w:val="000000"/>
          <w:kern w:val="0"/>
          <w:sz w:val="21"/>
          <w:szCs w:val="21"/>
          <w:lang w:eastAsia="es-CO"/>
          <w14:ligatures w14:val="none"/>
        </w:rPr>
        <w:t> del ET, conllevando en principio una declaratoria de legalidad condicionada de los conceptos allí demandados, en el entendido de que la aplicación de la exención mencionada se supeditaba al cumplimiento de los montos máximos permitidos para las viviendas VIS y VIP, pero </w:t>
      </w:r>
      <w:r w:rsidRPr="00812DA4">
        <w:rPr>
          <w:rFonts w:ascii="Segoe UI" w:eastAsia="Times New Roman" w:hAnsi="Segoe UI" w:cs="Segoe UI"/>
          <w:color w:val="000000"/>
          <w:kern w:val="0"/>
          <w:sz w:val="21"/>
          <w:szCs w:val="21"/>
          <w:u w:val="single"/>
          <w:lang w:eastAsia="es-CO"/>
          <w14:ligatures w14:val="none"/>
        </w:rPr>
        <w:t>correspondientes a los indicados en el Plan Nacional de Desarrollo vigente</w:t>
      </w:r>
      <w:r w:rsidRPr="00812DA4">
        <w:rPr>
          <w:rFonts w:ascii="Segoe UI" w:eastAsia="Times New Roman" w:hAnsi="Segoe UI" w:cs="Segoe UI"/>
          <w:color w:val="000000"/>
          <w:kern w:val="0"/>
          <w:sz w:val="21"/>
          <w:szCs w:val="21"/>
          <w:lang w:eastAsia="es-CO"/>
          <w14:ligatures w14:val="none"/>
        </w:rPr>
        <w:t>.</w:t>
      </w:r>
    </w:p>
    <w:p w14:paraId="4FA60B55"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300D9E69"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xml:space="preserve">Y la Sección aceptó la nulidad pretendida “habida cuenta que de la aplicación del parágrafo 1.° del artículo 2.1.1.1.1.1.7 del DUR la Administración adicionalmente interpretó que la presunción de </w:t>
      </w:r>
      <w:r w:rsidRPr="00812DA4">
        <w:rPr>
          <w:rFonts w:ascii="Segoe UI" w:eastAsia="Times New Roman" w:hAnsi="Segoe UI" w:cs="Segoe UI"/>
          <w:color w:val="000000"/>
          <w:kern w:val="0"/>
          <w:sz w:val="21"/>
          <w:szCs w:val="21"/>
          <w:lang w:eastAsia="es-CO"/>
          <w14:ligatures w14:val="none"/>
        </w:rPr>
        <w:lastRenderedPageBreak/>
        <w:t>determinar el valor de los bienes conexos a partir del valor establecido inicialmente en el contrato de adquisición y, ahora en el avalúo comercial, conllevaba a que el valor de la vivienda VIS y VIP debía estar conformado por el valor de la vivienda y de todos los bienes conexos, se desconoce que dicha presunción corresponde a un parámetro para poder determinar y probar el valor de las viviendas de este tipo y de sus bienes y servicios conexos”.</w:t>
      </w:r>
    </w:p>
    <w:p w14:paraId="1582F684"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5C37EDA8"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Acorde con los anteriores razonamientos y </w:t>
      </w:r>
      <w:r w:rsidRPr="00812DA4">
        <w:rPr>
          <w:rFonts w:ascii="Segoe UI" w:eastAsia="Times New Roman" w:hAnsi="Segoe UI" w:cs="Segoe UI"/>
          <w:color w:val="000000"/>
          <w:kern w:val="0"/>
          <w:sz w:val="21"/>
          <w:szCs w:val="21"/>
          <w:u w:val="single"/>
          <w:lang w:eastAsia="es-CO"/>
          <w14:ligatures w14:val="none"/>
        </w:rPr>
        <w:t>no existiendo razón para que en materia de devoluciones de IVA se extienda el valor de las VIS/VIP a conceptos diferentes del propio de la escritura pública, en el cual no se incluyen los bienes complementarios a los que alude la norma demandada, la Sala adoptará el criterio decisorio de la citada sentencia 23662</w:t>
      </w:r>
      <w:r w:rsidRPr="00812DA4">
        <w:rPr>
          <w:rFonts w:ascii="Segoe UI" w:eastAsia="Times New Roman" w:hAnsi="Segoe UI" w:cs="Segoe UI"/>
          <w:color w:val="000000"/>
          <w:kern w:val="0"/>
          <w:sz w:val="21"/>
          <w:szCs w:val="21"/>
          <w:lang w:eastAsia="es-CO"/>
          <w14:ligatures w14:val="none"/>
        </w:rPr>
        <w:t>, constitutiva de precedente aplicable al presente caso.</w:t>
      </w:r>
    </w:p>
    <w:p w14:paraId="68A53FB6"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 </w:t>
      </w:r>
    </w:p>
    <w:p w14:paraId="268A28B9" w14:textId="77777777" w:rsidR="00812DA4" w:rsidRPr="00812DA4" w:rsidRDefault="00812DA4" w:rsidP="00812DA4">
      <w:pPr>
        <w:spacing w:after="0" w:line="240" w:lineRule="auto"/>
        <w:ind w:left="284"/>
        <w:jc w:val="both"/>
        <w:rPr>
          <w:rFonts w:ascii="Segoe UI" w:eastAsia="Times New Roman" w:hAnsi="Segoe UI" w:cs="Segoe UI"/>
          <w:color w:val="000000"/>
          <w:kern w:val="0"/>
          <w:sz w:val="21"/>
          <w:szCs w:val="21"/>
          <w:lang w:eastAsia="es-CO"/>
          <w14:ligatures w14:val="none"/>
        </w:rPr>
      </w:pPr>
      <w:r w:rsidRPr="00812DA4">
        <w:rPr>
          <w:rFonts w:ascii="Segoe UI" w:eastAsia="Times New Roman" w:hAnsi="Segoe UI" w:cs="Segoe UI"/>
          <w:color w:val="000000"/>
          <w:kern w:val="0"/>
          <w:sz w:val="21"/>
          <w:szCs w:val="21"/>
          <w:lang w:eastAsia="es-CO"/>
          <w14:ligatures w14:val="none"/>
        </w:rPr>
        <w:t>En consecuencia, se anulará parcialmente el inciso segundo del parágrafo 1 del artículo 1.6.1.26.1 del Decreto 1625 de 2016, modificado por el Decreto 096 de 2020. No se condenará en costas, en virtud de lo dispuesto en el artículo 188 de la Ley 1437 de 2011. (subrayado fuera de texto)</w:t>
      </w:r>
    </w:p>
    <w:p w14:paraId="70B5B393"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p>
    <w:p w14:paraId="5AF47F43"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p>
    <w:p w14:paraId="6F70E4CC" w14:textId="05B7102F"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las cosas, el Consejo de Estado precisó lo que debe entenderse por “valor registrado en las escrituras de venta”, de que trata el parágrafo 2° del </w:t>
      </w:r>
      <w:hyperlink r:id="rId11" w:tooltip="Estatuto Tributario CETA" w:history="1">
        <w:r>
          <w:rPr>
            <w:rStyle w:val="Hipervnculo"/>
            <w:rFonts w:ascii="Segoe UI" w:hAnsi="Segoe UI" w:cs="Segoe UI"/>
            <w:color w:val="0645AD"/>
            <w:sz w:val="21"/>
            <w:szCs w:val="21"/>
          </w:rPr>
          <w:t>artículo 850</w:t>
        </w:r>
      </w:hyperlink>
      <w:r>
        <w:rPr>
          <w:rFonts w:ascii="Segoe UI" w:hAnsi="Segoe UI" w:cs="Segoe UI"/>
          <w:color w:val="000000"/>
          <w:sz w:val="21"/>
          <w:szCs w:val="21"/>
        </w:rPr>
        <w:t> del Estatuto Tributario; valor que, en todo caso, no debe exceder el valor máximo de la vivienda de interés social -de acuerdo con las normas vigentes- y que </w:t>
      </w:r>
      <w:r>
        <w:rPr>
          <w:rFonts w:ascii="Segoe UI" w:hAnsi="Segoe UI" w:cs="Segoe UI"/>
          <w:b/>
          <w:bCs/>
          <w:color w:val="000000"/>
          <w:sz w:val="21"/>
          <w:szCs w:val="21"/>
          <w:u w:val="single"/>
        </w:rPr>
        <w:t>no</w:t>
      </w:r>
      <w:r>
        <w:rPr>
          <w:rFonts w:ascii="Segoe UI" w:hAnsi="Segoe UI" w:cs="Segoe UI"/>
          <w:b/>
          <w:bCs/>
          <w:color w:val="000000"/>
          <w:sz w:val="21"/>
          <w:szCs w:val="21"/>
        </w:rPr>
        <w:t> </w:t>
      </w:r>
      <w:r>
        <w:rPr>
          <w:rFonts w:ascii="Segoe UI" w:hAnsi="Segoe UI" w:cs="Segoe UI"/>
          <w:color w:val="000000"/>
          <w:sz w:val="21"/>
          <w:szCs w:val="21"/>
        </w:rPr>
        <w:t>incluye el valor de los bienes que presten usos y servicios complementarios o conexos, como lo contemplaba el parágrafo 1° del artículo 1.6.1.26.1. del Decreto 1625 de 2016, declarado parcialmente nulo.</w:t>
      </w:r>
    </w:p>
    <w:p w14:paraId="59065407"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2D27C5D"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todo caso, el parágrafo 2° del artículo 1.6.1.26.1. </w:t>
      </w:r>
      <w:r>
        <w:rPr>
          <w:rFonts w:ascii="Segoe UI" w:hAnsi="Segoe UI" w:cs="Segoe UI"/>
          <w:i/>
          <w:iCs/>
          <w:color w:val="000000"/>
          <w:sz w:val="21"/>
          <w:szCs w:val="21"/>
        </w:rPr>
        <w:t>ibidem</w:t>
      </w:r>
      <w:r>
        <w:rPr>
          <w:rFonts w:ascii="Segoe UI" w:hAnsi="Segoe UI" w:cs="Segoe UI"/>
          <w:color w:val="000000"/>
          <w:sz w:val="21"/>
          <w:szCs w:val="21"/>
        </w:rPr>
        <w:t> es claro en señalar la procedencia de la devolución y/o compensación objeto de consulta, bajo unas determinadas circunstancias, antes reseñadas.</w:t>
      </w:r>
    </w:p>
    <w:p w14:paraId="1A9A8CF1"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p>
    <w:p w14:paraId="2FC24655"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p>
    <w:p w14:paraId="08C4B8FF" w14:textId="361DC95A"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2" w:tgtFrame="_blank" w:history="1">
        <w:r>
          <w:rPr>
            <w:rStyle w:val="Hipervnculo"/>
            <w:rFonts w:ascii="Segoe UI" w:hAnsi="Segoe UI" w:cs="Segoe UI"/>
            <w:color w:val="0645AD"/>
            <w:sz w:val="21"/>
            <w:szCs w:val="21"/>
          </w:rPr>
          <w:t>www.dian.gov.co</w:t>
        </w:r>
      </w:hyperlink>
      <w:r>
        <w:rPr>
          <w:rFonts w:ascii="Segoe UI" w:hAnsi="Segoe UI" w:cs="Segoe UI"/>
          <w:color w:val="000000"/>
          <w:sz w:val="21"/>
          <w:szCs w:val="21"/>
        </w:rPr>
        <w:t xml:space="preserve">, la base de conceptos en materia tributaria, aduanera y cambiaria expedidos desde el año 2001, la cual se puede ingresar por el ícono de “Normatividad”–“Doctrina”, dando </w:t>
      </w:r>
      <w:proofErr w:type="spellStart"/>
      <w:r>
        <w:rPr>
          <w:rFonts w:ascii="Segoe UI" w:hAnsi="Segoe UI" w:cs="Segoe UI"/>
          <w:color w:val="000000"/>
          <w:sz w:val="21"/>
          <w:szCs w:val="21"/>
        </w:rPr>
        <w:t>click</w:t>
      </w:r>
      <w:proofErr w:type="spellEnd"/>
      <w:r>
        <w:rPr>
          <w:rFonts w:ascii="Segoe UI" w:hAnsi="Segoe UI" w:cs="Segoe UI"/>
          <w:color w:val="000000"/>
          <w:sz w:val="21"/>
          <w:szCs w:val="21"/>
        </w:rPr>
        <w:t xml:space="preserve"> en el link “Doctrina Dirección de Gestión Jurídica”.</w:t>
      </w:r>
    </w:p>
    <w:p w14:paraId="7DF9CD20"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3F3131"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5A4F2CA5"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A709BEC"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1A6861"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39231B31"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 de Normativa y Doctrina</w:t>
      </w:r>
    </w:p>
    <w:p w14:paraId="12D70B5C"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5EDB72C1" w14:textId="77777777" w:rsidR="00812DA4" w:rsidRDefault="00812DA4" w:rsidP="00812DA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UAE-Dirección de Impuestos y Aduanas Nacionales</w:t>
      </w:r>
    </w:p>
    <w:p w14:paraId="1E6F1A71"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19"/>
    <w:rsid w:val="000F3837"/>
    <w:rsid w:val="001E311E"/>
    <w:rsid w:val="00434AE6"/>
    <w:rsid w:val="005D25EE"/>
    <w:rsid w:val="007F5CC8"/>
    <w:rsid w:val="00812DA4"/>
    <w:rsid w:val="008779BE"/>
    <w:rsid w:val="00C5771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71F0"/>
  <w15:chartTrackingRefBased/>
  <w15:docId w15:val="{443CE6B6-F938-4E85-BB40-6FD8E3D6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2DA4"/>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812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7280">
      <w:bodyDiv w:val="1"/>
      <w:marLeft w:val="0"/>
      <w:marRight w:val="0"/>
      <w:marTop w:val="0"/>
      <w:marBottom w:val="0"/>
      <w:divBdr>
        <w:top w:val="none" w:sz="0" w:space="0" w:color="auto"/>
        <w:left w:val="none" w:sz="0" w:space="0" w:color="auto"/>
        <w:bottom w:val="none" w:sz="0" w:space="0" w:color="auto"/>
        <w:right w:val="none" w:sz="0" w:space="0" w:color="auto"/>
      </w:divBdr>
    </w:div>
    <w:div w:id="566693818">
      <w:bodyDiv w:val="1"/>
      <w:marLeft w:val="0"/>
      <w:marRight w:val="0"/>
      <w:marTop w:val="0"/>
      <w:marBottom w:val="0"/>
      <w:divBdr>
        <w:top w:val="none" w:sz="0" w:space="0" w:color="auto"/>
        <w:left w:val="none" w:sz="0" w:space="0" w:color="auto"/>
        <w:bottom w:val="none" w:sz="0" w:space="0" w:color="auto"/>
        <w:right w:val="none" w:sz="0" w:space="0" w:color="auto"/>
      </w:divBdr>
    </w:div>
    <w:div w:id="1426655911">
      <w:bodyDiv w:val="1"/>
      <w:marLeft w:val="0"/>
      <w:marRight w:val="0"/>
      <w:marTop w:val="0"/>
      <w:marBottom w:val="0"/>
      <w:divBdr>
        <w:top w:val="none" w:sz="0" w:space="0" w:color="auto"/>
        <w:left w:val="none" w:sz="0" w:space="0" w:color="auto"/>
        <w:bottom w:val="none" w:sz="0" w:space="0" w:color="auto"/>
        <w:right w:val="none" w:sz="0" w:space="0" w:color="auto"/>
      </w:divBdr>
    </w:div>
    <w:div w:id="207947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5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058" TargetMode="External"/><Relationship Id="rId12" Type="http://schemas.openxmlformats.org/officeDocument/2006/relationships/hyperlink" Target="http://www.dian.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58" TargetMode="External"/><Relationship Id="rId11" Type="http://schemas.openxmlformats.org/officeDocument/2006/relationships/hyperlink" Target="https://www.ceta.org.co/html/vista_de_un_articulo.asp?Norma=1058" TargetMode="External"/><Relationship Id="rId5" Type="http://schemas.openxmlformats.org/officeDocument/2006/relationships/hyperlink" Target="https://www.ceta.org.co/html/vista_de_un_articulo.asp?Norma=1058" TargetMode="External"/><Relationship Id="rId10" Type="http://schemas.openxmlformats.org/officeDocument/2006/relationships/hyperlink" Target="https://www.ceta.org.co/html/vista_de_un_articulo.asp?Norma=42483" TargetMode="External"/><Relationship Id="rId4" Type="http://schemas.openxmlformats.org/officeDocument/2006/relationships/hyperlink" Target="https://www.ceta.org.co/html/vista_de_un_articulo.asp?Norma=1058" TargetMode="External"/><Relationship Id="rId9" Type="http://schemas.openxmlformats.org/officeDocument/2006/relationships/hyperlink" Target="https://www.ceta.org.co/html/vista_de_un_articulo.asp?Norma=4248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2231</Words>
  <Characters>12274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2023-08-25T17:29:00Z</dcterms:created>
  <dcterms:modified xsi:type="dcterms:W3CDTF">2023-08-25T18:58:00Z</dcterms:modified>
</cp:coreProperties>
</file>