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25DB" w14:textId="77777777" w:rsidR="00C07CD1" w:rsidRDefault="00C07CD1" w:rsidP="00C07CD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752 [008198]</w:t>
      </w:r>
    </w:p>
    <w:p w14:paraId="757F0DB5" w14:textId="77777777" w:rsidR="00C07CD1" w:rsidRDefault="00C07CD1" w:rsidP="00C07CD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05-07-2023</w:t>
      </w:r>
    </w:p>
    <w:p w14:paraId="263DE014" w14:textId="77777777" w:rsidR="00C07CD1" w:rsidRDefault="00C07CD1" w:rsidP="00C07CD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2ECA148B"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82D198"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AF776E"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100208192-752</w:t>
      </w:r>
    </w:p>
    <w:p w14:paraId="48858E2D"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46AC3EAC"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ED1CA8"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w:t>
      </w:r>
      <w:r>
        <w:rPr>
          <w:rFonts w:ascii="Segoe UI" w:hAnsi="Segoe UI" w:cs="Segoe UI"/>
          <w:color w:val="000000"/>
          <w:sz w:val="21"/>
          <w:szCs w:val="21"/>
        </w:rPr>
        <w:t> Adición al Concepto General Unificado en materia cambiaria de competencia de la UAE - DIAN No. 86 de junio 22 de 2022</w:t>
      </w:r>
    </w:p>
    <w:p w14:paraId="1B714083"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C48F25"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29B46911"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2F76DD"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y en concordancia con los artículos 7 y 7-1 de la Resolución DIAN No. 000091 de 2021, se realiza una adición al descriptor 2.6.19 (Notificaciones - Requerimiento ordinario de información) del Concepto General Unificado de la referencia, así:</w:t>
      </w:r>
    </w:p>
    <w:p w14:paraId="7CEFACE9"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C9626E"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Fuentes formales:</w:t>
      </w:r>
    </w:p>
    <w:p w14:paraId="75D1CC22"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911AB5"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Ley 153 de 1887, artículo 8.</w:t>
      </w:r>
    </w:p>
    <w:p w14:paraId="35BA4A07"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B6B1D4"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Decreto Ley 920 de 2023, artículo 149.</w:t>
      </w:r>
    </w:p>
    <w:p w14:paraId="69D0F033"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9BBABC"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Decreto Ley 2245 de 2011, artículo 15.</w:t>
      </w:r>
    </w:p>
    <w:p w14:paraId="6457687B"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501AA4"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Estatuto Tributario, </w:t>
      </w:r>
      <w:hyperlink r:id="rId4" w:tooltip="Estatuto Tributario CETA" w:history="1">
        <w:r>
          <w:rPr>
            <w:rStyle w:val="Hipervnculo"/>
            <w:rFonts w:ascii="Segoe UI" w:hAnsi="Segoe UI" w:cs="Segoe UI"/>
            <w:color w:val="0645AD"/>
            <w:sz w:val="21"/>
            <w:szCs w:val="21"/>
          </w:rPr>
          <w:t>artículo 565</w:t>
        </w:r>
      </w:hyperlink>
      <w:r>
        <w:rPr>
          <w:rFonts w:ascii="Segoe UI" w:hAnsi="Segoe UI" w:cs="Segoe UI"/>
          <w:color w:val="000000"/>
          <w:sz w:val="21"/>
          <w:szCs w:val="21"/>
        </w:rPr>
        <w:t>.</w:t>
      </w:r>
    </w:p>
    <w:p w14:paraId="041AC4E6"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004B54"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i/>
          <w:iCs/>
          <w:color w:val="000000"/>
          <w:sz w:val="21"/>
          <w:szCs w:val="21"/>
        </w:rPr>
        <w:t>¿Cómo se adelanta la notificación por edicto?</w:t>
      </w:r>
    </w:p>
    <w:p w14:paraId="30568998"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E948EA"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el artículo 15 del Decreto Ley 2245 de 2011, “Las resoluciones que resuelvan el recurso de reconsideración, se notificarán personalmente o </w:t>
      </w:r>
      <w:r>
        <w:rPr>
          <w:rFonts w:ascii="Segoe UI" w:hAnsi="Segoe UI" w:cs="Segoe UI"/>
          <w:color w:val="000000"/>
          <w:sz w:val="21"/>
          <w:szCs w:val="21"/>
          <w:u w:val="single"/>
        </w:rPr>
        <w:t>por edicto</w:t>
      </w:r>
      <w:r>
        <w:rPr>
          <w:rFonts w:ascii="Segoe UI" w:hAnsi="Segoe UI" w:cs="Segoe UI"/>
          <w:color w:val="000000"/>
          <w:sz w:val="21"/>
          <w:szCs w:val="21"/>
        </w:rPr>
        <w:t> si el investigado no compareciere dentro de los diez (10) días hábiles siguientes, contados a partir del día siguiente a la fecha de introducción al correo del aviso de citación” (subrayado fuera de texto)</w:t>
      </w:r>
    </w:p>
    <w:p w14:paraId="4A9EF16E"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A0DA2F"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en vista de que la citada disposición no regula aspectos como: </w:t>
      </w:r>
      <w:r>
        <w:rPr>
          <w:rFonts w:ascii="Segoe UI" w:hAnsi="Segoe UI" w:cs="Segoe UI"/>
          <w:i/>
          <w:iCs/>
          <w:color w:val="000000"/>
          <w:sz w:val="21"/>
          <w:szCs w:val="21"/>
        </w:rPr>
        <w:t>(i)</w:t>
      </w:r>
      <w:r>
        <w:rPr>
          <w:rFonts w:ascii="Segoe UI" w:hAnsi="Segoe UI" w:cs="Segoe UI"/>
          <w:color w:val="000000"/>
          <w:sz w:val="21"/>
          <w:szCs w:val="21"/>
        </w:rPr>
        <w:t> lugar o medio en el que debe ser publicado el edicto,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w:t>
      </w:r>
      <w:r>
        <w:rPr>
          <w:rFonts w:ascii="Segoe UI" w:hAnsi="Segoe UI" w:cs="Segoe UI"/>
          <w:color w:val="000000"/>
          <w:sz w:val="21"/>
          <w:szCs w:val="21"/>
        </w:rPr>
        <w:t> término de fijación y </w:t>
      </w:r>
      <w:r>
        <w:rPr>
          <w:rFonts w:ascii="Segoe UI" w:hAnsi="Segoe UI" w:cs="Segoe UI"/>
          <w:i/>
          <w:iCs/>
          <w:color w:val="000000"/>
          <w:sz w:val="21"/>
          <w:szCs w:val="21"/>
        </w:rPr>
        <w:t>(</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w:t>
      </w:r>
      <w:r>
        <w:rPr>
          <w:rFonts w:ascii="Segoe UI" w:hAnsi="Segoe UI" w:cs="Segoe UI"/>
          <w:color w:val="000000"/>
          <w:sz w:val="21"/>
          <w:szCs w:val="21"/>
        </w:rPr>
        <w:t> fecha en la que se entiende surtida la notificación por este medio, es menester llevar a cabo una integración por analogía acudiendo a la normativa tributaria y aduanera, teniendo en cuenta lo plasmado en el artículo 8 de la Ley 153 de 1887:</w:t>
      </w:r>
    </w:p>
    <w:p w14:paraId="0BDF2A06"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5BDFB5"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8.</w:t>
      </w:r>
      <w:r>
        <w:rPr>
          <w:rFonts w:ascii="Segoe UI" w:hAnsi="Segoe UI" w:cs="Segoe UI"/>
          <w:color w:val="000000"/>
          <w:sz w:val="21"/>
          <w:szCs w:val="21"/>
        </w:rPr>
        <w:t> Cuando no hay ley exactamente aplicable al caso controvertido, </w:t>
      </w:r>
      <w:r>
        <w:rPr>
          <w:rFonts w:ascii="Segoe UI" w:hAnsi="Segoe UI" w:cs="Segoe UI"/>
          <w:color w:val="000000"/>
          <w:sz w:val="21"/>
          <w:szCs w:val="21"/>
          <w:u w:val="single"/>
        </w:rPr>
        <w:t xml:space="preserve">se aplicarán las leyes que regulen casos </w:t>
      </w:r>
      <w:proofErr w:type="spellStart"/>
      <w:r>
        <w:rPr>
          <w:rFonts w:ascii="Segoe UI" w:hAnsi="Segoe UI" w:cs="Segoe UI"/>
          <w:color w:val="000000"/>
          <w:sz w:val="21"/>
          <w:szCs w:val="21"/>
          <w:u w:val="single"/>
        </w:rPr>
        <w:t>ó</w:t>
      </w:r>
      <w:proofErr w:type="spellEnd"/>
      <w:r>
        <w:rPr>
          <w:rFonts w:ascii="Segoe UI" w:hAnsi="Segoe UI" w:cs="Segoe UI"/>
          <w:color w:val="000000"/>
          <w:sz w:val="21"/>
          <w:szCs w:val="21"/>
          <w:u w:val="single"/>
        </w:rPr>
        <w:t xml:space="preserve"> (sic) materias semejantes</w:t>
      </w:r>
      <w:r>
        <w:rPr>
          <w:rFonts w:ascii="Segoe UI" w:hAnsi="Segoe UI" w:cs="Segoe UI"/>
          <w:color w:val="000000"/>
          <w:sz w:val="21"/>
          <w:szCs w:val="21"/>
        </w:rPr>
        <w:t>, y en su defecto, la doctrina constitucional y las reglas generales de derecho. (subrayado fuera de texto)</w:t>
      </w:r>
    </w:p>
    <w:p w14:paraId="5EA1C6B8"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5161DF"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Es por ello </w:t>
      </w:r>
      <w:proofErr w:type="gramStart"/>
      <w:r>
        <w:rPr>
          <w:rFonts w:ascii="Segoe UI" w:hAnsi="Segoe UI" w:cs="Segoe UI"/>
          <w:color w:val="000000"/>
          <w:sz w:val="21"/>
          <w:szCs w:val="21"/>
        </w:rPr>
        <w:t>que</w:t>
      </w:r>
      <w:proofErr w:type="gramEnd"/>
      <w:r>
        <w:rPr>
          <w:rFonts w:ascii="Segoe UI" w:hAnsi="Segoe UI" w:cs="Segoe UI"/>
          <w:color w:val="000000"/>
          <w:sz w:val="21"/>
          <w:szCs w:val="21"/>
        </w:rPr>
        <w:t>, en materia del control y vigilancia sobre el cumplimiento del régimen cambiario ejercido por la U.A.E. DIAN (de conformidad con lo establecido en el artículo 1° del Decreto 1742 de 2020), se considera pertinente observar y aplicar el procedimiento previsto en la normativa tributaria y aduanera para efectuar la notificación por edicto.</w:t>
      </w:r>
    </w:p>
    <w:p w14:paraId="7024B0D4"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A0A8EE"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lo anterior y teniendo en cuenta que el nuevo régimen sancionatorio y de decomiso de mercancías en materia aduanera regula de manera más completa (a diferencia de lo que ocurre con el Estatuto Tributario) los aspectos no cobijados por el artículo 15 del Decreto Ley 2245 de 2011, se recomienda dar aplicación a las siguientes reglas:</w:t>
      </w:r>
    </w:p>
    <w:p w14:paraId="107D8C4E"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7C37A5" w14:textId="77777777" w:rsidR="00C07CD1" w:rsidRDefault="00C07CD1" w:rsidP="00C07CD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 se fijará edicto en el </w:t>
      </w:r>
      <w:r>
        <w:rPr>
          <w:rFonts w:ascii="Segoe UI" w:hAnsi="Segoe UI" w:cs="Segoe UI"/>
          <w:color w:val="000000"/>
          <w:sz w:val="21"/>
          <w:szCs w:val="21"/>
          <w:u w:val="single"/>
        </w:rPr>
        <w:t>sitio web</w:t>
      </w:r>
      <w:r>
        <w:rPr>
          <w:rFonts w:ascii="Segoe UI" w:hAnsi="Segoe UI" w:cs="Segoe UI"/>
          <w:color w:val="000000"/>
          <w:sz w:val="21"/>
          <w:szCs w:val="21"/>
        </w:rPr>
        <w:t xml:space="preserve"> de la Unidad Administrativa Especial Dirección de Impuestos y Aduanas Nacionales -DIAN y en todo caso en el lugar de acceso al público de la respectiva entidad, por el término de diez (10) días hábiles, con inserción de la parte resolutiva del acto administrativo, </w:t>
      </w:r>
      <w:r>
        <w:rPr>
          <w:rFonts w:ascii="Segoe UI" w:hAnsi="Segoe UI" w:cs="Segoe UI"/>
          <w:color w:val="000000"/>
          <w:sz w:val="21"/>
          <w:szCs w:val="21"/>
        </w:rPr>
        <w:lastRenderedPageBreak/>
        <w:t>con la advertencia de que </w:t>
      </w:r>
      <w:r>
        <w:rPr>
          <w:rFonts w:ascii="Segoe UI" w:hAnsi="Segoe UI" w:cs="Segoe UI"/>
          <w:color w:val="000000"/>
          <w:sz w:val="21"/>
          <w:szCs w:val="21"/>
          <w:u w:val="single"/>
        </w:rPr>
        <w:t>la notificación se considerará surtida al finalizar el día hábil siguiente al retiro del edicto</w:t>
      </w:r>
      <w:r>
        <w:rPr>
          <w:rFonts w:ascii="Segoe UI" w:hAnsi="Segoe UI" w:cs="Segoe UI"/>
          <w:color w:val="000000"/>
          <w:sz w:val="21"/>
          <w:szCs w:val="21"/>
        </w:rPr>
        <w:t>” (subrayado fuera de texto) (cfr. artículo 149 del Decreto Ley 920 de 2023).</w:t>
      </w:r>
    </w:p>
    <w:p w14:paraId="276F8E55" w14:textId="77777777" w:rsidR="00C07CD1" w:rsidRDefault="00C07CD1" w:rsidP="00C07CD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B4211A" w14:textId="77777777" w:rsidR="00C07CD1" w:rsidRDefault="00C07CD1" w:rsidP="00C07CD1">
      <w:pPr>
        <w:pStyle w:val="NormalWeb"/>
        <w:spacing w:before="0" w:beforeAutospacing="0" w:after="0" w:afterAutospacing="0"/>
        <w:ind w:left="284"/>
        <w:jc w:val="both"/>
        <w:rPr>
          <w:rFonts w:ascii="Segoe UI" w:hAnsi="Segoe UI" w:cs="Segoe UI"/>
          <w:color w:val="000000"/>
          <w:sz w:val="21"/>
          <w:szCs w:val="21"/>
        </w:rPr>
      </w:pPr>
      <w:proofErr w:type="spellStart"/>
      <w:r>
        <w:rPr>
          <w:rFonts w:ascii="Segoe UI" w:hAnsi="Segoe UI" w:cs="Segoe UI"/>
          <w:color w:val="000000"/>
          <w:sz w:val="21"/>
          <w:szCs w:val="21"/>
        </w:rPr>
        <w:t>ii</w:t>
      </w:r>
      <w:proofErr w:type="spellEnd"/>
      <w:r>
        <w:rPr>
          <w:rFonts w:ascii="Segoe UI" w:hAnsi="Segoe UI" w:cs="Segoe UI"/>
          <w:color w:val="000000"/>
          <w:sz w:val="21"/>
          <w:szCs w:val="21"/>
        </w:rPr>
        <w:t>) “El edicto deberá indicar el nombre e identificación del interesado, el número y fecha del acto administrativo que se está notificando, la parte resolutiva del mismo y la fecha y hora tanto cuando se fija, como cuando se desfija, así como la firma de quien lo hace” (cfr. artículo 149 </w:t>
      </w:r>
      <w:r>
        <w:rPr>
          <w:rFonts w:ascii="Segoe UI" w:hAnsi="Segoe UI" w:cs="Segoe UI"/>
          <w:i/>
          <w:iCs/>
          <w:color w:val="000000"/>
          <w:sz w:val="21"/>
          <w:szCs w:val="21"/>
        </w:rPr>
        <w:t>ibidem</w:t>
      </w:r>
      <w:r>
        <w:rPr>
          <w:rFonts w:ascii="Segoe UI" w:hAnsi="Segoe UI" w:cs="Segoe UI"/>
          <w:color w:val="000000"/>
          <w:sz w:val="21"/>
          <w:szCs w:val="21"/>
        </w:rPr>
        <w:t>).</w:t>
      </w:r>
    </w:p>
    <w:p w14:paraId="0266D491"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182BA4"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4EF39D"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5BE4C159"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DA6213"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1F15E93"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03C607FF"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5F2D65E7"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6BAB2575" w14:textId="77777777" w:rsidR="00C07CD1" w:rsidRDefault="00C07CD1" w:rsidP="00C07CD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466CB07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D1"/>
    <w:rsid w:val="000F3837"/>
    <w:rsid w:val="001E311E"/>
    <w:rsid w:val="00434AE6"/>
    <w:rsid w:val="005D25EE"/>
    <w:rsid w:val="007F5CC8"/>
    <w:rsid w:val="008779BE"/>
    <w:rsid w:val="00C07CD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8160"/>
  <w15:chartTrackingRefBased/>
  <w15:docId w15:val="{D7BB684A-91BB-47BC-8F8E-4BB5F6F6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CD1"/>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C07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2023-07-23T14:46:00Z</dcterms:created>
  <dcterms:modified xsi:type="dcterms:W3CDTF">2023-07-23T14:52:00Z</dcterms:modified>
</cp:coreProperties>
</file>