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FCC6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6CF4751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14:paraId="60C47741" w14:textId="77777777" w:rsidR="006A0057" w:rsidRDefault="006A0057" w:rsidP="006A005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CONCEPTO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</w:rPr>
        <w:t>Nº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624 [006564]</w:t>
      </w:r>
    </w:p>
    <w:p w14:paraId="6C1FF0F2" w14:textId="77777777" w:rsidR="006A0057" w:rsidRDefault="006A0057" w:rsidP="006A005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31-05-2023</w:t>
      </w:r>
    </w:p>
    <w:p w14:paraId="206B692E" w14:textId="77777777" w:rsidR="006A0057" w:rsidRDefault="006A0057" w:rsidP="006A005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DIAN</w:t>
      </w:r>
    </w:p>
    <w:p w14:paraId="53AEC78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3295A42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4789C7A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100208192-624</w:t>
      </w:r>
    </w:p>
    <w:p w14:paraId="7217A99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Bogotá, D.C.</w:t>
      </w:r>
    </w:p>
    <w:p w14:paraId="10D20BAE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516D592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Señores</w:t>
      </w:r>
    </w:p>
    <w:p w14:paraId="380C2731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CONTRIBUYENTES</w:t>
      </w:r>
    </w:p>
    <w:p w14:paraId="454864E2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juridicanormativa@dian.gov.co</w:t>
      </w:r>
    </w:p>
    <w:p w14:paraId="0553030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CA7DD9C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Ref.:</w:t>
      </w:r>
      <w:r>
        <w:rPr>
          <w:rFonts w:ascii="Segoe UI" w:hAnsi="Segoe UI" w:cs="Segoe UI"/>
          <w:color w:val="000000"/>
          <w:sz w:val="21"/>
          <w:szCs w:val="21"/>
        </w:rPr>
        <w:t> Adición al Concepto General sobre el impuesto sobre la renta a cargo de las personas naturales con motivo de la Ley 2277 de 2022</w:t>
      </w:r>
    </w:p>
    <w:p w14:paraId="2EEDA11C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D4A772D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Tema:</w:t>
      </w:r>
      <w:r>
        <w:rPr>
          <w:rFonts w:ascii="Segoe UI" w:hAnsi="Segoe UI" w:cs="Segoe UI"/>
          <w:color w:val="000000"/>
          <w:sz w:val="21"/>
          <w:szCs w:val="21"/>
        </w:rPr>
        <w:t> Impuesto sobre la renta y complementarios</w:t>
      </w:r>
    </w:p>
    <w:p w14:paraId="5CCAE88A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Descriptores:</w:t>
      </w:r>
      <w:r>
        <w:rPr>
          <w:rFonts w:ascii="Segoe UI" w:hAnsi="Segoe UI" w:cs="Segoe UI"/>
          <w:color w:val="000000"/>
          <w:sz w:val="21"/>
          <w:szCs w:val="21"/>
        </w:rPr>
        <w:t> Determinación del impuesto sobre la renta</w:t>
      </w:r>
    </w:p>
    <w:p w14:paraId="6F47E540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Fuentes formales:</w:t>
      </w:r>
      <w:r>
        <w:rPr>
          <w:rFonts w:ascii="Segoe UI" w:hAnsi="Segoe UI" w:cs="Segoe UI"/>
          <w:color w:val="000000"/>
          <w:sz w:val="21"/>
          <w:szCs w:val="21"/>
        </w:rPr>
        <w:t> Artículos </w:t>
      </w:r>
      <w:hyperlink r:id="rId5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330</w:t>
        </w:r>
      </w:hyperlink>
      <w:r>
        <w:rPr>
          <w:rFonts w:ascii="Segoe UI" w:hAnsi="Segoe UI" w:cs="Segoe UI"/>
          <w:color w:val="000000"/>
          <w:sz w:val="21"/>
          <w:szCs w:val="21"/>
        </w:rPr>
        <w:t>, </w:t>
      </w:r>
      <w:hyperlink r:id="rId6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331</w:t>
        </w:r>
      </w:hyperlink>
      <w:r>
        <w:rPr>
          <w:rFonts w:ascii="Segoe UI" w:hAnsi="Segoe UI" w:cs="Segoe UI"/>
          <w:color w:val="000000"/>
          <w:sz w:val="21"/>
          <w:szCs w:val="21"/>
        </w:rPr>
        <w:t>, </w:t>
      </w:r>
      <w:hyperlink r:id="rId7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335</w:t>
        </w:r>
      </w:hyperlink>
      <w:r>
        <w:rPr>
          <w:rFonts w:ascii="Segoe UI" w:hAnsi="Segoe UI" w:cs="Segoe UI"/>
          <w:color w:val="000000"/>
          <w:sz w:val="21"/>
          <w:szCs w:val="21"/>
        </w:rPr>
        <w:t>, </w:t>
      </w:r>
      <w:hyperlink r:id="rId8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336</w:t>
        </w:r>
      </w:hyperlink>
      <w:r>
        <w:rPr>
          <w:rFonts w:ascii="Segoe UI" w:hAnsi="Segoe UI" w:cs="Segoe UI"/>
          <w:color w:val="000000"/>
          <w:sz w:val="21"/>
          <w:szCs w:val="21"/>
        </w:rPr>
        <w:t> y </w:t>
      </w:r>
      <w:hyperlink r:id="rId9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337</w:t>
        </w:r>
      </w:hyperlink>
      <w:r>
        <w:rPr>
          <w:rFonts w:ascii="Segoe UI" w:hAnsi="Segoe UI" w:cs="Segoe UI"/>
          <w:color w:val="000000"/>
          <w:sz w:val="21"/>
          <w:szCs w:val="21"/>
        </w:rPr>
        <w:t> del Estatuto Tributario.</w:t>
      </w:r>
    </w:p>
    <w:p w14:paraId="3432B06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7A6257B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Cordial saludo.</w:t>
      </w:r>
    </w:p>
    <w:p w14:paraId="5BF88CCA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93E088F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De conformidad con los artículos 56 del Decreto 1742 de 2020 y 7-1 de la Resolución DIAN No. 91 de 2021,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 -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325E4670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50DC4DA0" w14:textId="414A184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Mediante el presente pronunciamiento, esta Subdirección absolverá diferentes interrogantes que se han formulado en torno a la interpretación y aplicación del impuesto sobre la renta a cargo de las personas naturales (el «Impuesto» en adelante) con motivo de la Ley 2277 de 2022, con la adición al Concepto General de la referencia (Concepto 003966- interno 416 del 31 de marzo de 2023).</w:t>
      </w:r>
    </w:p>
    <w:p w14:paraId="3607552C" w14:textId="525B51C6" w:rsidR="006A0057" w:rsidRP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33CD2E7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2F267E79" w14:textId="07CC49EE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VII. DETERMINACIÓN DEL IMPUESTO</w:t>
      </w:r>
    </w:p>
    <w:p w14:paraId="72CEA924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D3BCB53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1.</w:t>
      </w:r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¿Son aplicables los límites contemplados en el numeral 3° del </w:t>
      </w:r>
      <w:hyperlink r:id="rId10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336</w:t>
        </w:r>
      </w:hyperlink>
      <w:r>
        <w:rPr>
          <w:rFonts w:ascii="Segoe UI" w:hAnsi="Segoe UI" w:cs="Segoe UI"/>
          <w:b/>
          <w:bCs/>
          <w:color w:val="000000"/>
          <w:sz w:val="21"/>
          <w:szCs w:val="21"/>
        </w:rPr>
        <w:t> del</w:t>
      </w:r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Estatuto Tributario -para la cédula general- en relación con los ingresos por concepto de pensiones?</w:t>
      </w:r>
    </w:p>
    <w:p w14:paraId="79F43C1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9B231D2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Los artículos </w:t>
      </w:r>
      <w:hyperlink r:id="rId11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335</w:t>
        </w:r>
      </w:hyperlink>
      <w:r>
        <w:rPr>
          <w:rFonts w:ascii="Segoe UI" w:hAnsi="Segoe UI" w:cs="Segoe UI"/>
          <w:color w:val="000000"/>
          <w:sz w:val="21"/>
          <w:szCs w:val="21"/>
        </w:rPr>
        <w:t> y </w:t>
      </w:r>
      <w:hyperlink r:id="rId12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336</w:t>
        </w:r>
      </w:hyperlink>
      <w:r>
        <w:rPr>
          <w:rFonts w:ascii="Segoe UI" w:hAnsi="Segoe UI" w:cs="Segoe UI"/>
          <w:color w:val="000000"/>
          <w:sz w:val="21"/>
          <w:szCs w:val="21"/>
        </w:rPr>
        <w:t> del Estatuto Tributario disponen:</w:t>
      </w:r>
    </w:p>
    <w:p w14:paraId="342E1BAF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7E8CC9B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«</w:t>
      </w:r>
      <w:hyperlink r:id="rId13" w:history="1">
        <w:r>
          <w:rPr>
            <w:rStyle w:val="Hipervnculo"/>
            <w:rFonts w:ascii="Segoe UI" w:eastAsiaTheme="majorEastAsia" w:hAnsi="Segoe UI" w:cs="Segoe UI"/>
            <w:b/>
            <w:bCs/>
            <w:i/>
            <w:iCs/>
            <w:color w:val="FF0000"/>
            <w:sz w:val="21"/>
            <w:szCs w:val="21"/>
          </w:rPr>
          <w:t>ARTÍCULO 335</w:t>
        </w:r>
      </w:hyperlink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. INGRESOS DE LA CÉDULA GENERAL.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&lt;Artículo modificado por el artículo 40 de la Ley 2010 de 2019. El nuevo texto es el siguiente:&gt; Para los efectos de este título, son ingresos de la cédula general los siguientes:</w:t>
      </w:r>
    </w:p>
    <w:p w14:paraId="68FE53D0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FE235EA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1. 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Rentas de trabajo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: las señaladas en el </w:t>
      </w:r>
      <w:hyperlink r:id="rId14" w:tooltip="Estatuto Tributario CETA" w:history="1">
        <w:r>
          <w:rPr>
            <w:rStyle w:val="Hipervnculo"/>
            <w:rFonts w:ascii="Segoe UI" w:eastAsiaTheme="majorEastAsia" w:hAnsi="Segoe UI" w:cs="Segoe UI"/>
            <w:i/>
            <w:iCs/>
            <w:color w:val="0645AD"/>
            <w:sz w:val="21"/>
            <w:szCs w:val="21"/>
          </w:rPr>
          <w:t>artículo 103</w:t>
        </w:r>
      </w:hyperlink>
      <w:r>
        <w:rPr>
          <w:rFonts w:ascii="Segoe UI" w:hAnsi="Segoe UI" w:cs="Segoe UI"/>
          <w:i/>
          <w:iCs/>
          <w:color w:val="000000"/>
          <w:sz w:val="21"/>
          <w:szCs w:val="21"/>
        </w:rPr>
        <w:t> de este Estatuto.</w:t>
      </w:r>
    </w:p>
    <w:p w14:paraId="243B4CAB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1F8FCF0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2. 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Rentas de capital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: las obtenidas por concepto de intereses, rendimientos financieros, arrendamientos, regalías y explotación de la propiedad intelectual.</w:t>
      </w:r>
    </w:p>
    <w:p w14:paraId="180C3B3D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849418B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3. 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Rentas no laborales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: se consideran ingresos de las rentas no laborales todos los que no se clasifiquen expresamente en ninguna otra cédula, con excepción de los dividendos y las ganancias ocasionales, que se rigen según sus reglas especiales.</w:t>
      </w:r>
    </w:p>
    <w:p w14:paraId="1D6435AF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86C394A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hyperlink r:id="rId15" w:tooltip="Estatuto Tributario CETA" w:history="1">
        <w:r>
          <w:rPr>
            <w:rStyle w:val="Hipervnculo"/>
            <w:rFonts w:ascii="Segoe UI" w:eastAsiaTheme="majorEastAsia" w:hAnsi="Segoe UI" w:cs="Segoe UI"/>
            <w:b/>
            <w:bCs/>
            <w:i/>
            <w:iCs/>
            <w:color w:val="0645AD"/>
            <w:sz w:val="21"/>
            <w:szCs w:val="21"/>
          </w:rPr>
          <w:t>ARTÍCULO 336</w:t>
        </w:r>
      </w:hyperlink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. RENTA LÍQUIDA GRAVABLE DE LA CÉDULA GENERAL.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&lt;Artículo modificado por el artículo 7 de la Ley 2277 de 2022. El nuevo texto es el siguiente:&gt; Para efectos de establecer la renta líquida de la cédula general, se seguirán las siguientes reglas:</w:t>
      </w:r>
    </w:p>
    <w:p w14:paraId="5ADEA6FF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AB959AF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1. 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Se sumarán los ingresos obtenidos por todo concepto excepto los correspondientes dividendos y ganancias ocasionales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.</w:t>
      </w:r>
    </w:p>
    <w:p w14:paraId="23B24845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98B53AA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2. A la suma anterior, se le restarán los ingresos no constitutivos de renta imputables a cada ingreso.</w:t>
      </w:r>
    </w:p>
    <w:p w14:paraId="41155702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AB7AEAE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3. Al valor resultante podrán restarse todas las rentas exentas y las deducciones especiales imputables a esta cédula,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 xml:space="preserve">siempre que no excedan el cuarenta (40%) del resultado del numeral anterior, que en todo caso no puede exceder de mil trescientas cuarenta (1.340) </w:t>
      </w:r>
      <w:proofErr w:type="spellStart"/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UVT</w:t>
      </w:r>
      <w:proofErr w:type="spellEnd"/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 xml:space="preserve"> anuales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.</w:t>
      </w:r>
    </w:p>
    <w:p w14:paraId="23B549F1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CE25845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Sin perjuicio de lo establecido en el inciso 2 del </w:t>
      </w:r>
      <w:hyperlink r:id="rId16" w:tooltip="Estatuto Tributario CETA" w:history="1">
        <w:r>
          <w:rPr>
            <w:rStyle w:val="Hipervnculo"/>
            <w:rFonts w:ascii="Segoe UI" w:eastAsiaTheme="majorEastAsia" w:hAnsi="Segoe UI" w:cs="Segoe UI"/>
            <w:i/>
            <w:iCs/>
            <w:color w:val="0645AD"/>
            <w:sz w:val="21"/>
            <w:szCs w:val="21"/>
          </w:rPr>
          <w:t>artículo 387</w:t>
        </w:r>
      </w:hyperlink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 del Estatuto Tributario, el trabajador podrá deducir, en adición al límite establecido en el inciso anterior, setenta y dos (72) </w:t>
      </w:r>
      <w:proofErr w:type="spellStart"/>
      <w:r>
        <w:rPr>
          <w:rFonts w:ascii="Segoe UI" w:hAnsi="Segoe UI" w:cs="Segoe UI"/>
          <w:i/>
          <w:iCs/>
          <w:color w:val="000000"/>
          <w:sz w:val="21"/>
          <w:szCs w:val="21"/>
        </w:rPr>
        <w:t>UVT</w:t>
      </w:r>
      <w:proofErr w:type="spellEnd"/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 por dependiente hasta un máximo de cuatro (4) dependientes.</w:t>
      </w:r>
    </w:p>
    <w:p w14:paraId="12615857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B86AC17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(...)»</w:t>
      </w:r>
      <w:r>
        <w:rPr>
          <w:rFonts w:ascii="Segoe UI" w:hAnsi="Segoe UI" w:cs="Segoe UI"/>
          <w:color w:val="000000"/>
          <w:sz w:val="21"/>
          <w:szCs w:val="21"/>
        </w:rPr>
        <w:t> (énfasis propio)</w:t>
      </w:r>
    </w:p>
    <w:p w14:paraId="7CA29C07" w14:textId="77777777" w:rsidR="006A0057" w:rsidRDefault="006A0057" w:rsidP="006A0057"/>
    <w:p w14:paraId="62100E63" w14:textId="5857F6B1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Nótese, entonces, que: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(i)</w:t>
      </w:r>
      <w:r>
        <w:rPr>
          <w:rFonts w:ascii="Segoe UI" w:hAnsi="Segoe UI" w:cs="Segoe UI"/>
          <w:color w:val="000000"/>
          <w:sz w:val="21"/>
          <w:szCs w:val="21"/>
        </w:rPr>
        <w:t> únicamente hacen parte de la cédula general las rentas de trabajo, de capital y no laborales, y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Segoe UI" w:hAnsi="Segoe UI" w:cs="Segoe UI"/>
          <w:i/>
          <w:iCs/>
          <w:color w:val="000000"/>
          <w:sz w:val="21"/>
          <w:szCs w:val="21"/>
        </w:rPr>
        <w:t>ii</w:t>
      </w:r>
      <w:proofErr w:type="spellEnd"/>
      <w:r>
        <w:rPr>
          <w:rFonts w:ascii="Segoe UI" w:hAnsi="Segoe UI" w:cs="Segoe UI"/>
          <w:i/>
          <w:iCs/>
          <w:color w:val="000000"/>
          <w:sz w:val="21"/>
          <w:szCs w:val="21"/>
        </w:rPr>
        <w:t>)</w:t>
      </w:r>
      <w:r>
        <w:rPr>
          <w:rFonts w:ascii="Segoe UI" w:hAnsi="Segoe UI" w:cs="Segoe UI"/>
          <w:color w:val="000000"/>
          <w:sz w:val="21"/>
          <w:szCs w:val="21"/>
        </w:rPr>
        <w:t> es en la cédula general en la que tienen lugar las limitaciones de que trata el numeral 3 del </w:t>
      </w:r>
      <w:hyperlink r:id="rId17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336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1D04E2A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F77EFB7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Ahora bien, en lo que se refiere a los ingresos por concepto de pensiones, debe aplicarse lo previsto en el </w:t>
      </w:r>
      <w:hyperlink r:id="rId18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337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:</w:t>
      </w:r>
    </w:p>
    <w:p w14:paraId="17343186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85CA6B0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«</w:t>
      </w:r>
      <w:hyperlink r:id="rId19" w:tooltip="Estatuto Tributario CETA" w:history="1">
        <w:r>
          <w:rPr>
            <w:rStyle w:val="Hipervnculo"/>
            <w:rFonts w:ascii="Segoe UI" w:eastAsiaTheme="majorEastAsia" w:hAnsi="Segoe UI" w:cs="Segoe UI"/>
            <w:b/>
            <w:bCs/>
            <w:i/>
            <w:iCs/>
            <w:color w:val="0645AD"/>
            <w:sz w:val="21"/>
            <w:szCs w:val="21"/>
          </w:rPr>
          <w:t>ARTÍCULO 337</w:t>
        </w:r>
      </w:hyperlink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. INGRESOS DE LAS RENTAS DE PENSIONES.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&lt;Artículo modificado por el artículo 1 de la Ley 1819 de 2016. El nuevo texto es el siguiente:&gt; Son ingresos de esta cédula las pensiones de jubilación, invalidez, vejez, de sobrevivientes y sobre riesgos laborales, así como aquellas provenientes de indemnizaciones sustitutivas de las pensiones o las devoluciones de saldos de ahorro pensional.</w:t>
      </w:r>
    </w:p>
    <w:p w14:paraId="257392F1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DD8FBB2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Para efectos de establecer la renta líquida cedular, del total de ingresos se restarán los ingresos no constitutivos de renta y las rentas exentas, considerando los límites previstos en este Estatuto, y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especialmente las rentas exentas a las que se refiere el numeral 5 del </w:t>
      </w:r>
      <w:hyperlink r:id="rId20" w:tooltip="Estatuto Tributario CETA" w:history="1">
        <w:r>
          <w:rPr>
            <w:rStyle w:val="Hipervnculo"/>
            <w:rFonts w:ascii="Segoe UI" w:eastAsiaTheme="majorEastAsia" w:hAnsi="Segoe UI" w:cs="Segoe UI"/>
            <w:i/>
            <w:iCs/>
            <w:color w:val="0645AD"/>
            <w:sz w:val="21"/>
            <w:szCs w:val="21"/>
          </w:rPr>
          <w:t>artículo 206</w:t>
        </w:r>
      </w:hyperlink>
      <w:r>
        <w:rPr>
          <w:rFonts w:ascii="Segoe UI" w:hAnsi="Segoe UI" w:cs="Segoe UI"/>
          <w:i/>
          <w:iCs/>
          <w:color w:val="000000"/>
          <w:sz w:val="21"/>
          <w:szCs w:val="21"/>
        </w:rPr>
        <w:t>.»</w:t>
      </w:r>
      <w:r>
        <w:rPr>
          <w:rFonts w:ascii="Segoe UI" w:hAnsi="Segoe UI" w:cs="Segoe UI"/>
          <w:color w:val="000000"/>
          <w:sz w:val="21"/>
          <w:szCs w:val="21"/>
        </w:rPr>
        <w:t> (énfasis propio)</w:t>
      </w:r>
    </w:p>
    <w:p w14:paraId="683CB4D4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BF208B2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Por ende, al hacer parte de una cédula especial (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i.e.</w:t>
      </w:r>
      <w:r>
        <w:rPr>
          <w:rFonts w:ascii="Segoe UI" w:hAnsi="Segoe UI" w:cs="Segoe UI"/>
          <w:color w:val="000000"/>
          <w:sz w:val="21"/>
          <w:szCs w:val="21"/>
        </w:rPr>
        <w:t> rentas de pensiones), se concluye que: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(i)</w:t>
      </w:r>
      <w:r>
        <w:rPr>
          <w:rFonts w:ascii="Segoe UI" w:hAnsi="Segoe UI" w:cs="Segoe UI"/>
          <w:color w:val="000000"/>
          <w:sz w:val="21"/>
          <w:szCs w:val="21"/>
        </w:rPr>
        <w:t> los ingresos por concepto de pensiones no hacen parte de la cédula general, y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Segoe UI" w:hAnsi="Segoe UI" w:cs="Segoe UI"/>
          <w:i/>
          <w:iCs/>
          <w:color w:val="000000"/>
          <w:sz w:val="21"/>
          <w:szCs w:val="21"/>
        </w:rPr>
        <w:t>ii</w:t>
      </w:r>
      <w:proofErr w:type="spellEnd"/>
      <w:r>
        <w:rPr>
          <w:rFonts w:ascii="Segoe UI" w:hAnsi="Segoe UI" w:cs="Segoe UI"/>
          <w:i/>
          <w:iCs/>
          <w:color w:val="000000"/>
          <w:sz w:val="21"/>
          <w:szCs w:val="21"/>
        </w:rPr>
        <w:t>)</w:t>
      </w:r>
      <w:r>
        <w:rPr>
          <w:rFonts w:ascii="Segoe UI" w:hAnsi="Segoe UI" w:cs="Segoe UI"/>
          <w:color w:val="000000"/>
          <w:sz w:val="21"/>
          <w:szCs w:val="21"/>
        </w:rPr>
        <w:t> consecuencia de lo anterior, los límites contemplados en el numeral 3° del </w:t>
      </w:r>
      <w:hyperlink r:id="rId21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336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 no son aplicables en relación con los ingresos por concepto de pensiones.</w:t>
      </w:r>
    </w:p>
    <w:p w14:paraId="0F449325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4CDBD4B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Así las cosas, aunque en el numeral 1 del </w:t>
      </w:r>
      <w:hyperlink r:id="rId22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336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 se indica que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«Se sumarán los ingresos obtenidos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por todo concepto excepto los correspondientes dividendos y ganancias ocasionales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»</w:t>
      </w:r>
      <w:r>
        <w:rPr>
          <w:rFonts w:ascii="Segoe UI" w:hAnsi="Segoe UI" w:cs="Segoe UI"/>
          <w:color w:val="000000"/>
          <w:sz w:val="21"/>
          <w:szCs w:val="21"/>
        </w:rPr>
        <w:t> (énfasis propio) para establecer la renta líquida de la cédula general, la expresión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«por todo concepto»</w:t>
      </w:r>
      <w:r>
        <w:rPr>
          <w:rFonts w:ascii="Segoe UI" w:hAnsi="Segoe UI" w:cs="Segoe UI"/>
          <w:color w:val="000000"/>
          <w:sz w:val="21"/>
          <w:szCs w:val="21"/>
        </w:rPr>
        <w:t> debe leerse de manera armónica y sistemática con lo contemplado en el </w:t>
      </w:r>
      <w:hyperlink r:id="rId23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335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; es decir, teniendo presente que únicamente hacen parte de la cédula general las rentas de trabajo, de capital y no laborales, como se explicó.</w:t>
      </w:r>
    </w:p>
    <w:p w14:paraId="31A3E130" w14:textId="77777777" w:rsidR="006A0057" w:rsidRDefault="006A0057" w:rsidP="006A0057"/>
    <w:p w14:paraId="19FA2E19" w14:textId="1BC46710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Valga recordar, por último, que:</w:t>
      </w:r>
    </w:p>
    <w:p w14:paraId="2DC735F9" w14:textId="77777777" w:rsidR="006A0057" w:rsidRDefault="006A0057" w:rsidP="006A0057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E6E5079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a) El </w:t>
      </w:r>
      <w:hyperlink r:id="rId24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330</w:t>
        </w:r>
      </w:hyperlink>
      <w:r>
        <w:rPr>
          <w:rFonts w:ascii="Segoe UI" w:hAnsi="Segoe UI" w:cs="Segoe UI"/>
          <w:color w:val="000000"/>
          <w:sz w:val="21"/>
          <w:szCs w:val="21"/>
        </w:rPr>
        <w:t> del Estatuto Tributario establece que la depuración de las rentas correspondientes a cada una de las cédulas (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i.e.</w:t>
      </w:r>
      <w:r>
        <w:rPr>
          <w:rFonts w:ascii="Segoe UI" w:hAnsi="Segoe UI" w:cs="Segoe UI"/>
          <w:color w:val="000000"/>
          <w:sz w:val="21"/>
          <w:szCs w:val="21"/>
        </w:rPr>
        <w:t> cédula general, cédula de rentas de pensiones, y cédula de dividendos y participaciones)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«se efectuará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de manera independiente,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siguiendo las reglas establecidas en el </w:t>
      </w:r>
      <w:hyperlink r:id="rId25" w:tooltip="Estatuto Tributario CETA" w:history="1">
        <w:r>
          <w:rPr>
            <w:rStyle w:val="Hipervnculo"/>
            <w:rFonts w:ascii="Segoe UI" w:eastAsiaTheme="majorEastAsia" w:hAnsi="Segoe UI" w:cs="Segoe UI"/>
            <w:i/>
            <w:iCs/>
            <w:color w:val="0645AD"/>
            <w:sz w:val="21"/>
            <w:szCs w:val="21"/>
          </w:rPr>
          <w:t>artículo 26</w:t>
        </w:r>
      </w:hyperlink>
      <w:r>
        <w:rPr>
          <w:rFonts w:ascii="Segoe UI" w:hAnsi="Segoe UI" w:cs="Segoe UI"/>
          <w:i/>
          <w:iCs/>
          <w:color w:val="000000"/>
          <w:sz w:val="21"/>
          <w:szCs w:val="21"/>
        </w:rPr>
        <w:t> de este Estatuto aplicables a cada caso»</w:t>
      </w:r>
      <w:r>
        <w:rPr>
          <w:rFonts w:ascii="Segoe UI" w:hAnsi="Segoe UI" w:cs="Segoe UI"/>
          <w:color w:val="000000"/>
          <w:sz w:val="21"/>
          <w:szCs w:val="21"/>
        </w:rPr>
        <w:t> (énfasis propio) y que el resultado constituirá la renta líquida cedular.</w:t>
      </w:r>
    </w:p>
    <w:p w14:paraId="79120294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2F9D2B0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Dicha independencia entre las cédulas permite reforzar lo antes concluido, en particular, que los límites contemplados en el numeral 3° del </w:t>
      </w:r>
      <w:hyperlink r:id="rId26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336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 para la cédula general no son aplicables en relación con los ingresos por concepto de pensiones.</w:t>
      </w:r>
    </w:p>
    <w:p w14:paraId="05148B93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03B2D85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b) En línea con el </w:t>
      </w:r>
      <w:hyperlink r:id="rId27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331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, las rentas líquidas cedulares de la cédula general, de la cédula de rentas de pensiones y de la cédula de dividendos y participaciones se suman para determinar la renta líquida gravable sobre la cual es aplicable la respectiva tarifa del Impuesto, de conformidad con el </w:t>
      </w:r>
      <w:hyperlink r:id="rId28" w:tooltip="Estatuto Tributario CETA" w:history="1">
        <w:r>
          <w:rPr>
            <w:rStyle w:val="Hipervnculo"/>
            <w:rFonts w:ascii="Segoe UI" w:eastAsiaTheme="majorEastAsia" w:hAnsi="Segoe UI" w:cs="Segoe UI"/>
            <w:color w:val="0645AD"/>
            <w:sz w:val="21"/>
            <w:szCs w:val="21"/>
          </w:rPr>
          <w:t>artículo 241</w:t>
        </w:r>
      </w:hyperlink>
      <w:r>
        <w:rPr>
          <w:rFonts w:ascii="Segoe UI" w:hAnsi="Segoe UI" w:cs="Segoe UI"/>
          <w:color w:val="000000"/>
          <w:sz w:val="21"/>
          <w:szCs w:val="21"/>
        </w:rPr>
        <w:t>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794DF3BF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E8CDB94" w14:textId="77777777" w:rsidR="006A0057" w:rsidRDefault="006A0057" w:rsidP="006A0057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Luego, es en esta etapa de la determinación del Impuesto en la que se conjugan las rentas liquidas cedulares de cada cédula, previamente depuradas siguiendo sus propias reglas.</w:t>
      </w:r>
    </w:p>
    <w:p w14:paraId="594636E7" w14:textId="77777777" w:rsidR="006A0057" w:rsidRDefault="006A0057" w:rsidP="006A0057"/>
    <w:p w14:paraId="3738F2B2" w14:textId="75B52497" w:rsidR="006A0057" w:rsidRDefault="006A0057" w:rsidP="006A0057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29" w:tgtFrame="_blank" w:history="1">
        <w:r>
          <w:rPr>
            <w:rStyle w:val="Hipervnculo"/>
            <w:rFonts w:ascii="Segoe UI" w:hAnsi="Segoe UI" w:cs="Segoe UI"/>
            <w:color w:val="0645AD"/>
            <w:sz w:val="21"/>
            <w:szCs w:val="21"/>
            <w:shd w:val="clear" w:color="auto" w:fill="FFFFFF"/>
          </w:rPr>
          <w:t>www.dian.gov.co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la base de conceptos en materia tributaria, aduanera y cambiaria expedidos desde el año 2001, la cual se puede ingresar por el ícono de «Normatividad»-«Doctrina», oprimiendo el vínculo «Doctrina Dirección de Gestión Jurídica».</w:t>
      </w:r>
    </w:p>
    <w:p w14:paraId="49DCCE63" w14:textId="77777777" w:rsidR="006A0057" w:rsidRDefault="006A0057" w:rsidP="006A0057"/>
    <w:p w14:paraId="5D153687" w14:textId="77777777" w:rsidR="006A0057" w:rsidRDefault="006A0057" w:rsidP="006A0057">
      <w:r>
        <w:t>Atentamente,</w:t>
      </w:r>
    </w:p>
    <w:p w14:paraId="23F01B93" w14:textId="41F7DE3A" w:rsidR="006A0057" w:rsidRDefault="006A0057" w:rsidP="006A0057">
      <w:r>
        <w:t>ALFREDO RAMÍREZ CASTAÑEDA</w:t>
      </w:r>
    </w:p>
    <w:p w14:paraId="42BEE1AA" w14:textId="77777777" w:rsidR="006A0057" w:rsidRDefault="006A0057" w:rsidP="006A0057">
      <w:r>
        <w:t>Subdirector de Normativa y Doctrina</w:t>
      </w:r>
    </w:p>
    <w:p w14:paraId="6933B75B" w14:textId="77777777" w:rsidR="006A0057" w:rsidRDefault="006A0057" w:rsidP="006A0057">
      <w:r>
        <w:t>Dirección de Gestión Jurídica</w:t>
      </w:r>
    </w:p>
    <w:p w14:paraId="1D4743F0" w14:textId="6A0BFE9D" w:rsidR="006A0057" w:rsidRDefault="006A0057" w:rsidP="006A0057">
      <w:proofErr w:type="spellStart"/>
      <w:r>
        <w:t>UAE</w:t>
      </w:r>
      <w:proofErr w:type="spellEnd"/>
      <w:r>
        <w:t>-Dirección de Impuestos y Aduanas Nacionales</w:t>
      </w:r>
    </w:p>
    <w:p w14:paraId="520604A9" w14:textId="77777777" w:rsidR="006A0057" w:rsidRDefault="006A0057" w:rsidP="006A0057"/>
    <w:p w14:paraId="7192FB81" w14:textId="4BEDA342" w:rsidR="002F3F02" w:rsidRDefault="006A0057" w:rsidP="006A0057">
      <w:r>
        <w:tab/>
      </w:r>
    </w:p>
    <w:sectPr w:rsidR="002F3F02" w:rsidSect="00A613E5">
      <w:pgSz w:w="12189" w:h="18709" w:code="10000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0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57"/>
    <w:rsid w:val="002F3F02"/>
    <w:rsid w:val="004A489D"/>
    <w:rsid w:val="004F1D2E"/>
    <w:rsid w:val="005173B2"/>
    <w:rsid w:val="006A0057"/>
    <w:rsid w:val="00840411"/>
    <w:rsid w:val="00885E73"/>
    <w:rsid w:val="009705EC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4699"/>
  <w15:chartTrackingRefBased/>
  <w15:docId w15:val="{0F9E71D6-6F70-4BAE-8951-6CD3E8D3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4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A00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0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15" TargetMode="External"/><Relationship Id="rId13" Type="http://schemas.openxmlformats.org/officeDocument/2006/relationships/hyperlink" Target="https://www.ceta.org.co/html/vista_de_un_articulo.asp?Norma=414" TargetMode="External"/><Relationship Id="rId18" Type="http://schemas.openxmlformats.org/officeDocument/2006/relationships/hyperlink" Target="https://www.ceta.org.co/html/vista_de_un_articulo.asp?Norma=416" TargetMode="External"/><Relationship Id="rId26" Type="http://schemas.openxmlformats.org/officeDocument/2006/relationships/hyperlink" Target="https://www.ceta.org.co/html/vista_de_un_articulo.asp?Norma=4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ta.org.co/html/vista_de_un_articulo.asp?Norma=415" TargetMode="External"/><Relationship Id="rId7" Type="http://schemas.openxmlformats.org/officeDocument/2006/relationships/hyperlink" Target="https://www.ceta.org.co/html/vista_de_un_articulo.asp?Norma=414" TargetMode="External"/><Relationship Id="rId12" Type="http://schemas.openxmlformats.org/officeDocument/2006/relationships/hyperlink" Target="https://www.ceta.org.co/html/vista_de_un_articulo.asp?Norma=415" TargetMode="External"/><Relationship Id="rId17" Type="http://schemas.openxmlformats.org/officeDocument/2006/relationships/hyperlink" Target="https://www.ceta.org.co/html/vista_de_un_articulo.asp?Norma=415" TargetMode="External"/><Relationship Id="rId25" Type="http://schemas.openxmlformats.org/officeDocument/2006/relationships/hyperlink" Target="https://www.ceta.org.co/html/vista_de_un_articulo.asp?Norma=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ta.org.co/html/vista_de_un_articulo.asp?Norma=480" TargetMode="External"/><Relationship Id="rId20" Type="http://schemas.openxmlformats.org/officeDocument/2006/relationships/hyperlink" Target="https://www.ceta.org.co/html/vista_de_un_articulo.asp?Norma=272" TargetMode="External"/><Relationship Id="rId29" Type="http://schemas.openxmlformats.org/officeDocument/2006/relationships/hyperlink" Target="http://www.dian.gov.c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410" TargetMode="External"/><Relationship Id="rId11" Type="http://schemas.openxmlformats.org/officeDocument/2006/relationships/hyperlink" Target="https://www.ceta.org.co/html/vista_de_un_articulo.asp?Norma=414" TargetMode="External"/><Relationship Id="rId24" Type="http://schemas.openxmlformats.org/officeDocument/2006/relationships/hyperlink" Target="https://www.ceta.org.co/html/vista_de_un_articulo.asp?Norma=409" TargetMode="External"/><Relationship Id="rId5" Type="http://schemas.openxmlformats.org/officeDocument/2006/relationships/hyperlink" Target="https://www.ceta.org.co/html/vista_de_un_articulo.asp?Norma=409" TargetMode="External"/><Relationship Id="rId15" Type="http://schemas.openxmlformats.org/officeDocument/2006/relationships/hyperlink" Target="https://www.ceta.org.co/html/vista_de_un_articulo.asp?Norma=415" TargetMode="External"/><Relationship Id="rId23" Type="http://schemas.openxmlformats.org/officeDocument/2006/relationships/hyperlink" Target="https://www.ceta.org.co/html/vista_de_un_articulo.asp?Norma=414" TargetMode="External"/><Relationship Id="rId28" Type="http://schemas.openxmlformats.org/officeDocument/2006/relationships/hyperlink" Target="https://www.ceta.org.co/html/vista_de_un_articulo.asp?Norma=312" TargetMode="External"/><Relationship Id="rId10" Type="http://schemas.openxmlformats.org/officeDocument/2006/relationships/hyperlink" Target="https://www.ceta.org.co/html/vista_de_un_articulo.asp?Norma=415" TargetMode="External"/><Relationship Id="rId19" Type="http://schemas.openxmlformats.org/officeDocument/2006/relationships/hyperlink" Target="https://www.ceta.org.co/html/vista_de_un_articulo.asp?Norma=41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416" TargetMode="External"/><Relationship Id="rId14" Type="http://schemas.openxmlformats.org/officeDocument/2006/relationships/hyperlink" Target="https://www.ceta.org.co/html/vista_de_un_articulo.asp?Norma=151" TargetMode="External"/><Relationship Id="rId22" Type="http://schemas.openxmlformats.org/officeDocument/2006/relationships/hyperlink" Target="https://www.ceta.org.co/html/vista_de_un_articulo.asp?Norma=415" TargetMode="External"/><Relationship Id="rId27" Type="http://schemas.openxmlformats.org/officeDocument/2006/relationships/hyperlink" Target="https://www.ceta.org.co/html/vista_de_un_articulo.asp?Norma=4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1553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2023-06-22T17:11:00Z</dcterms:created>
  <dcterms:modified xsi:type="dcterms:W3CDTF">2023-06-22T17:19:00Z</dcterms:modified>
</cp:coreProperties>
</file>