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DF36" w14:textId="77777777" w:rsidR="004218EB" w:rsidRPr="004218EB" w:rsidRDefault="004218EB" w:rsidP="004218EB">
      <w:pPr>
        <w:spacing w:line="480" w:lineRule="atLeast"/>
        <w:jc w:val="center"/>
        <w:rPr>
          <w:rFonts w:ascii="Arial" w:eastAsia="Times New Roman" w:hAnsi="Arial"/>
          <w:spacing w:val="2"/>
          <w:kern w:val="0"/>
          <w:lang w:eastAsia="es-419"/>
          <w14:ligatures w14:val="none"/>
        </w:rPr>
      </w:pPr>
      <w:r w:rsidRPr="004218EB">
        <w:rPr>
          <w:rFonts w:ascii="Arial" w:eastAsia="Times New Roman" w:hAnsi="Arial"/>
          <w:b/>
          <w:bCs/>
          <w:spacing w:val="2"/>
          <w:kern w:val="0"/>
          <w:lang w:eastAsia="es-419"/>
          <w14:ligatures w14:val="none"/>
        </w:rPr>
        <w:t>CONCEPTO 5639 (</w:t>
      </w:r>
      <w:proofErr w:type="spellStart"/>
      <w:r w:rsidRPr="004218EB">
        <w:rPr>
          <w:rFonts w:ascii="Arial" w:eastAsia="Times New Roman" w:hAnsi="Arial"/>
          <w:b/>
          <w:bCs/>
          <w:spacing w:val="2"/>
          <w:kern w:val="0"/>
          <w:lang w:eastAsia="es-419"/>
          <w14:ligatures w14:val="none"/>
        </w:rPr>
        <w:t>Int</w:t>
      </w:r>
      <w:proofErr w:type="spellEnd"/>
      <w:r w:rsidRPr="004218EB">
        <w:rPr>
          <w:rFonts w:ascii="Arial" w:eastAsia="Times New Roman" w:hAnsi="Arial"/>
          <w:b/>
          <w:bCs/>
          <w:spacing w:val="2"/>
          <w:kern w:val="0"/>
          <w:lang w:eastAsia="es-419"/>
          <w14:ligatures w14:val="none"/>
        </w:rPr>
        <w:t>. 1033) DE 2023</w:t>
      </w:r>
    </w:p>
    <w:p w14:paraId="605FE7F1" w14:textId="77777777" w:rsidR="004218EB" w:rsidRPr="004218EB" w:rsidRDefault="004218EB" w:rsidP="004218EB">
      <w:pPr>
        <w:spacing w:after="240" w:line="480" w:lineRule="atLeast"/>
        <w:jc w:val="center"/>
        <w:rPr>
          <w:rFonts w:ascii="Arial" w:eastAsia="Times New Roman" w:hAnsi="Arial"/>
          <w:spacing w:val="2"/>
          <w:kern w:val="0"/>
          <w:lang w:eastAsia="es-419"/>
          <w14:ligatures w14:val="none"/>
        </w:rPr>
      </w:pPr>
      <w:r w:rsidRPr="004218EB">
        <w:rPr>
          <w:rFonts w:ascii="Arial" w:eastAsia="Times New Roman" w:hAnsi="Arial"/>
          <w:spacing w:val="2"/>
          <w:kern w:val="0"/>
          <w:lang w:eastAsia="es-419"/>
          <w14:ligatures w14:val="none"/>
        </w:rPr>
        <w:t>(septiembre 29)</w:t>
      </w:r>
    </w:p>
    <w:p w14:paraId="5A51F3C6" w14:textId="77777777" w:rsidR="004218EB" w:rsidRPr="004218EB" w:rsidRDefault="004218EB" w:rsidP="004218EB">
      <w:pPr>
        <w:spacing w:after="240" w:line="480" w:lineRule="atLeast"/>
        <w:jc w:val="center"/>
        <w:rPr>
          <w:rFonts w:ascii="Arial" w:eastAsia="Times New Roman" w:hAnsi="Arial"/>
          <w:spacing w:val="2"/>
          <w:kern w:val="0"/>
          <w:lang w:eastAsia="es-419"/>
          <w14:ligatures w14:val="none"/>
        </w:rPr>
      </w:pPr>
      <w:r w:rsidRPr="004218EB">
        <w:rPr>
          <w:rFonts w:ascii="Arial" w:eastAsia="Times New Roman" w:hAnsi="Arial"/>
          <w:spacing w:val="2"/>
          <w:kern w:val="0"/>
          <w:lang w:eastAsia="es-419"/>
          <w14:ligatures w14:val="none"/>
        </w:rPr>
        <w:t>&lt;Fuente: Archivo interno entidad emisora&gt;</w:t>
      </w:r>
    </w:p>
    <w:p w14:paraId="1501CA00" w14:textId="77777777" w:rsidR="004218EB" w:rsidRPr="004218EB" w:rsidRDefault="004218EB" w:rsidP="004218EB">
      <w:pPr>
        <w:spacing w:after="240" w:line="480" w:lineRule="atLeast"/>
        <w:jc w:val="center"/>
        <w:rPr>
          <w:rFonts w:ascii="Arial" w:eastAsia="Times New Roman" w:hAnsi="Arial"/>
          <w:spacing w:val="2"/>
          <w:kern w:val="0"/>
          <w:lang w:eastAsia="es-419"/>
          <w14:ligatures w14:val="none"/>
        </w:rPr>
      </w:pPr>
      <w:r w:rsidRPr="004218EB">
        <w:rPr>
          <w:rFonts w:ascii="Arial" w:eastAsia="Times New Roman" w:hAnsi="Arial"/>
          <w:spacing w:val="2"/>
          <w:kern w:val="0"/>
          <w:lang w:eastAsia="es-419"/>
          <w14:ligatures w14:val="none"/>
        </w:rPr>
        <w:t>&lt;Publicado en la página web de la DIAN: 4 de octubre de 2023&gt;</w:t>
      </w:r>
    </w:p>
    <w:p w14:paraId="00AF1807" w14:textId="77777777" w:rsidR="004218EB" w:rsidRPr="004218EB" w:rsidRDefault="004218EB" w:rsidP="004218EB">
      <w:pPr>
        <w:spacing w:line="480" w:lineRule="atLeast"/>
        <w:jc w:val="center"/>
        <w:rPr>
          <w:rFonts w:ascii="Arial" w:eastAsia="Times New Roman" w:hAnsi="Arial"/>
          <w:spacing w:val="2"/>
          <w:kern w:val="0"/>
          <w:lang w:eastAsia="es-419"/>
          <w14:ligatures w14:val="none"/>
        </w:rPr>
      </w:pPr>
      <w:r w:rsidRPr="004218EB">
        <w:rPr>
          <w:rFonts w:ascii="Arial" w:eastAsia="Times New Roman" w:hAnsi="Arial"/>
          <w:b/>
          <w:bCs/>
          <w:spacing w:val="2"/>
          <w:kern w:val="0"/>
          <w:lang w:eastAsia="es-419"/>
          <w14:ligatures w14:val="none"/>
        </w:rPr>
        <w:t>DIRECCIÓN DE IMPUESTOS Y ADUANAS NACIONALES</w:t>
      </w:r>
    </w:p>
    <w:p w14:paraId="58397698" w14:textId="77777777" w:rsidR="004218EB" w:rsidRPr="004218EB" w:rsidRDefault="004218EB" w:rsidP="004218EB">
      <w:pPr>
        <w:spacing w:after="240" w:line="480" w:lineRule="atLeast"/>
        <w:jc w:val="center"/>
        <w:rPr>
          <w:rFonts w:ascii="Arial" w:eastAsia="Times New Roman" w:hAnsi="Arial"/>
          <w:spacing w:val="2"/>
          <w:kern w:val="0"/>
          <w:lang w:eastAsia="es-419"/>
          <w14:ligatures w14:val="none"/>
        </w:rPr>
      </w:pPr>
      <w:r w:rsidRPr="004218EB">
        <w:rPr>
          <w:rFonts w:ascii="Arial" w:eastAsia="Times New Roman" w:hAnsi="Arial"/>
          <w:spacing w:val="2"/>
          <w:kern w:val="0"/>
          <w:lang w:eastAsia="es-419"/>
          <w14:ligatures w14:val="none"/>
        </w:rPr>
        <w:t>Unidad Informática de Doctrina</w:t>
      </w:r>
    </w:p>
    <w:p w14:paraId="2F878BF3" w14:textId="77777777" w:rsidR="004218EB" w:rsidRPr="004218EB" w:rsidRDefault="004218EB" w:rsidP="004218EB">
      <w:pPr>
        <w:spacing w:after="240" w:line="480" w:lineRule="atLeast"/>
        <w:rPr>
          <w:rFonts w:ascii="Arial" w:eastAsia="Times New Roman" w:hAnsi="Arial"/>
          <w:spacing w:val="2"/>
          <w:kern w:val="0"/>
          <w:lang w:eastAsia="es-419"/>
          <w14:ligatures w14:val="none"/>
        </w:rPr>
      </w:pPr>
      <w:r w:rsidRPr="004218EB">
        <w:rPr>
          <w:rFonts w:ascii="Arial" w:eastAsia="Times New Roman" w:hAnsi="Arial"/>
          <w:spacing w:val="2"/>
          <w:kern w:val="0"/>
          <w:lang w:eastAsia="es-419"/>
          <w14:ligatures w14:val="none"/>
        </w:rPr>
        <w:t>Área del Derecho</w:t>
      </w:r>
    </w:p>
    <w:p w14:paraId="7E10A956" w14:textId="77777777" w:rsidR="004218EB" w:rsidRPr="004218EB" w:rsidRDefault="004218EB" w:rsidP="004218EB">
      <w:pPr>
        <w:spacing w:line="480" w:lineRule="atLeast"/>
        <w:rPr>
          <w:rFonts w:ascii="Arial" w:eastAsia="Times New Roman" w:hAnsi="Arial"/>
          <w:spacing w:val="2"/>
          <w:kern w:val="0"/>
          <w:lang w:eastAsia="es-419"/>
          <w14:ligatures w14:val="none"/>
        </w:rPr>
      </w:pPr>
      <w:r w:rsidRPr="004218EB">
        <w:rPr>
          <w:rFonts w:ascii="Arial" w:eastAsia="Times New Roman" w:hAnsi="Arial"/>
          <w:b/>
          <w:bCs/>
          <w:spacing w:val="2"/>
          <w:kern w:val="0"/>
          <w:lang w:eastAsia="es-419"/>
          <w14:ligatures w14:val="none"/>
        </w:rPr>
        <w:t>Tributario</w:t>
      </w:r>
    </w:p>
    <w:p w14:paraId="603D540F" w14:textId="77777777" w:rsidR="004218EB" w:rsidRPr="004218EB" w:rsidRDefault="004218EB" w:rsidP="004218EB">
      <w:pPr>
        <w:spacing w:after="240" w:line="480" w:lineRule="atLeast"/>
        <w:rPr>
          <w:rFonts w:ascii="Arial" w:eastAsia="Times New Roman" w:hAnsi="Arial"/>
          <w:spacing w:val="2"/>
          <w:kern w:val="0"/>
          <w:lang w:eastAsia="es-419"/>
          <w14:ligatures w14:val="none"/>
        </w:rPr>
      </w:pPr>
      <w:r w:rsidRPr="004218EB">
        <w:rPr>
          <w:rFonts w:ascii="Arial" w:eastAsia="Times New Roman" w:hAnsi="Arial"/>
          <w:spacing w:val="2"/>
          <w:kern w:val="0"/>
          <w:lang w:eastAsia="es-419"/>
          <w14:ligatures w14:val="none"/>
        </w:rPr>
        <w:t>Banco de Datos</w:t>
      </w:r>
    </w:p>
    <w:p w14:paraId="2BCE9B31" w14:textId="77777777" w:rsidR="004218EB" w:rsidRPr="004218EB" w:rsidRDefault="004218EB" w:rsidP="004218EB">
      <w:pPr>
        <w:spacing w:line="480" w:lineRule="atLeast"/>
        <w:rPr>
          <w:rFonts w:ascii="Arial" w:eastAsia="Times New Roman" w:hAnsi="Arial"/>
          <w:spacing w:val="2"/>
          <w:kern w:val="0"/>
          <w:lang w:eastAsia="es-419"/>
          <w14:ligatures w14:val="none"/>
        </w:rPr>
      </w:pPr>
      <w:r w:rsidRPr="004218EB">
        <w:rPr>
          <w:rFonts w:ascii="Arial" w:eastAsia="Times New Roman" w:hAnsi="Arial"/>
          <w:b/>
          <w:bCs/>
          <w:spacing w:val="2"/>
          <w:kern w:val="0"/>
          <w:lang w:eastAsia="es-419"/>
          <w14:ligatures w14:val="none"/>
        </w:rPr>
        <w:t>Impuesto sobre la Renta y Complementarios</w:t>
      </w:r>
    </w:p>
    <w:p w14:paraId="3024752D" w14:textId="77777777" w:rsidR="004218EB" w:rsidRPr="004218EB" w:rsidRDefault="004218EB" w:rsidP="004218EB">
      <w:pPr>
        <w:spacing w:after="240" w:line="480" w:lineRule="atLeast"/>
        <w:rPr>
          <w:rFonts w:ascii="Arial" w:eastAsia="Times New Roman" w:hAnsi="Arial"/>
          <w:spacing w:val="2"/>
          <w:kern w:val="0"/>
          <w:lang w:eastAsia="es-419"/>
          <w14:ligatures w14:val="none"/>
        </w:rPr>
      </w:pPr>
      <w:r w:rsidRPr="004218EB">
        <w:rPr>
          <w:rFonts w:ascii="Arial" w:eastAsia="Times New Roman" w:hAnsi="Arial"/>
          <w:spacing w:val="2"/>
          <w:kern w:val="0"/>
          <w:lang w:eastAsia="es-419"/>
          <w14:ligatures w14:val="none"/>
        </w:rPr>
        <w:t>Número de Problema 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8"/>
        <w:gridCol w:w="7219"/>
      </w:tblGrid>
      <w:tr w:rsidR="004218EB" w:rsidRPr="001E1B89" w14:paraId="09F3EFC9" w14:textId="77777777" w:rsidTr="004218EB">
        <w:trPr>
          <w:tblCellSpacing w:w="15" w:type="dxa"/>
        </w:trPr>
        <w:tc>
          <w:tcPr>
            <w:tcW w:w="1150" w:type="pct"/>
            <w:tcBorders>
              <w:top w:val="nil"/>
              <w:left w:val="nil"/>
              <w:bottom w:val="nil"/>
              <w:right w:val="nil"/>
            </w:tcBorders>
            <w:tcMar>
              <w:top w:w="0" w:type="dxa"/>
              <w:left w:w="0" w:type="dxa"/>
              <w:bottom w:w="0" w:type="dxa"/>
              <w:right w:w="0" w:type="dxa"/>
            </w:tcMar>
            <w:hideMark/>
          </w:tcPr>
          <w:p w14:paraId="01B0190A" w14:textId="77777777" w:rsidR="004218EB" w:rsidRPr="001E1B89" w:rsidRDefault="004218EB" w:rsidP="004218EB">
            <w:pPr>
              <w:spacing w:line="245" w:lineRule="atLeast"/>
              <w:rPr>
                <w:rFonts w:ascii="Arial" w:eastAsia="Times New Roman" w:hAnsi="Arial"/>
                <w:spacing w:val="2"/>
                <w:kern w:val="0"/>
                <w:highlight w:val="yellow"/>
                <w:lang w:eastAsia="es-419"/>
                <w14:ligatures w14:val="none"/>
              </w:rPr>
            </w:pPr>
            <w:r w:rsidRPr="001E1B89">
              <w:rPr>
                <w:rFonts w:ascii="Arial" w:eastAsia="Times New Roman" w:hAnsi="Arial"/>
                <w:spacing w:val="2"/>
                <w:kern w:val="0"/>
                <w:highlight w:val="yellow"/>
                <w:lang w:eastAsia="es-419"/>
                <w14:ligatures w14:val="none"/>
              </w:rPr>
              <w:t>Problema Jurídico</w:t>
            </w:r>
          </w:p>
        </w:tc>
        <w:tc>
          <w:tcPr>
            <w:tcW w:w="3850" w:type="pct"/>
            <w:tcBorders>
              <w:top w:val="nil"/>
              <w:left w:val="nil"/>
              <w:bottom w:val="nil"/>
              <w:right w:val="nil"/>
            </w:tcBorders>
            <w:tcMar>
              <w:top w:w="0" w:type="dxa"/>
              <w:left w:w="0" w:type="dxa"/>
              <w:bottom w:w="0" w:type="dxa"/>
              <w:right w:w="0" w:type="dxa"/>
            </w:tcMar>
            <w:hideMark/>
          </w:tcPr>
          <w:p w14:paraId="5BBD585E" w14:textId="77777777" w:rsidR="004218EB" w:rsidRPr="001E1B89" w:rsidRDefault="004218EB" w:rsidP="004218EB">
            <w:pPr>
              <w:spacing w:line="245" w:lineRule="atLeast"/>
              <w:rPr>
                <w:rFonts w:ascii="Arial" w:eastAsia="Times New Roman" w:hAnsi="Arial"/>
                <w:spacing w:val="2"/>
                <w:kern w:val="0"/>
                <w:highlight w:val="yellow"/>
                <w:lang w:eastAsia="es-419"/>
                <w14:ligatures w14:val="none"/>
              </w:rPr>
            </w:pPr>
            <w:r w:rsidRPr="001E1B89">
              <w:rPr>
                <w:rFonts w:ascii="Arial" w:eastAsia="Times New Roman" w:hAnsi="Arial"/>
                <w:spacing w:val="2"/>
                <w:kern w:val="0"/>
                <w:highlight w:val="yellow"/>
                <w:lang w:eastAsia="es-419"/>
                <w14:ligatures w14:val="none"/>
              </w:rPr>
              <w:t>¿Constituye ganancia ocasional el ingreso que percibe un contribuyente (deudor), perteneciente al régimen ordinario del impuesto sobre la renta, resultado de la condonación por mera liberalidad de una deuda?</w:t>
            </w:r>
          </w:p>
        </w:tc>
      </w:tr>
      <w:tr w:rsidR="004218EB" w:rsidRPr="001E1B89" w14:paraId="3C26FD10" w14:textId="77777777" w:rsidTr="004218EB">
        <w:trPr>
          <w:tblCellSpacing w:w="15" w:type="dxa"/>
        </w:trPr>
        <w:tc>
          <w:tcPr>
            <w:tcW w:w="1150" w:type="pct"/>
            <w:tcBorders>
              <w:top w:val="nil"/>
              <w:left w:val="nil"/>
              <w:bottom w:val="nil"/>
              <w:right w:val="nil"/>
            </w:tcBorders>
            <w:tcMar>
              <w:top w:w="0" w:type="dxa"/>
              <w:left w:w="0" w:type="dxa"/>
              <w:bottom w:w="0" w:type="dxa"/>
              <w:right w:w="0" w:type="dxa"/>
            </w:tcMar>
            <w:hideMark/>
          </w:tcPr>
          <w:p w14:paraId="6E42B022" w14:textId="77777777" w:rsidR="004218EB" w:rsidRPr="001E1B89" w:rsidRDefault="004218EB" w:rsidP="004218EB">
            <w:pPr>
              <w:spacing w:line="245" w:lineRule="atLeast"/>
              <w:rPr>
                <w:rFonts w:ascii="Arial" w:eastAsia="Times New Roman" w:hAnsi="Arial"/>
                <w:spacing w:val="2"/>
                <w:kern w:val="0"/>
                <w:highlight w:val="yellow"/>
                <w:lang w:eastAsia="es-419"/>
                <w14:ligatures w14:val="none"/>
              </w:rPr>
            </w:pPr>
            <w:r w:rsidRPr="001E1B89">
              <w:rPr>
                <w:rFonts w:ascii="Arial" w:eastAsia="Times New Roman" w:hAnsi="Arial"/>
                <w:spacing w:val="2"/>
                <w:kern w:val="0"/>
                <w:highlight w:val="yellow"/>
                <w:lang w:eastAsia="es-419"/>
                <w14:ligatures w14:val="none"/>
              </w:rPr>
              <w:t>Tesis Jurídica</w:t>
            </w:r>
          </w:p>
        </w:tc>
        <w:tc>
          <w:tcPr>
            <w:tcW w:w="3850" w:type="pct"/>
            <w:tcBorders>
              <w:top w:val="nil"/>
              <w:left w:val="nil"/>
              <w:bottom w:val="nil"/>
              <w:right w:val="nil"/>
            </w:tcBorders>
            <w:tcMar>
              <w:top w:w="0" w:type="dxa"/>
              <w:left w:w="0" w:type="dxa"/>
              <w:bottom w:w="0" w:type="dxa"/>
              <w:right w:w="0" w:type="dxa"/>
            </w:tcMar>
            <w:hideMark/>
          </w:tcPr>
          <w:p w14:paraId="0F6BF873" w14:textId="77777777" w:rsidR="004218EB" w:rsidRPr="001E1B89" w:rsidRDefault="004218EB" w:rsidP="004218EB">
            <w:pPr>
              <w:spacing w:line="245" w:lineRule="atLeast"/>
              <w:rPr>
                <w:rFonts w:ascii="Arial" w:eastAsia="Times New Roman" w:hAnsi="Arial"/>
                <w:spacing w:val="2"/>
                <w:kern w:val="0"/>
                <w:highlight w:val="yellow"/>
                <w:lang w:eastAsia="es-419"/>
                <w14:ligatures w14:val="none"/>
              </w:rPr>
            </w:pPr>
            <w:r w:rsidRPr="001E1B89">
              <w:rPr>
                <w:rFonts w:ascii="Arial" w:eastAsia="Times New Roman" w:hAnsi="Arial"/>
                <w:spacing w:val="2"/>
                <w:kern w:val="0"/>
                <w:highlight w:val="yellow"/>
                <w:lang w:eastAsia="es-419"/>
                <w14:ligatures w14:val="none"/>
              </w:rPr>
              <w:t>El ingreso que percibe un contribuyente (deudor), perteneciente al régimen ordinario del impuesto sobre la renta, resultado de la condonación por mera liberalidad de una deuda constituye ganancia ocasional, de conformidad con el artículo </w:t>
            </w:r>
            <w:hyperlink r:id="rId5" w:anchor="302" w:history="1">
              <w:r w:rsidRPr="001E1B89">
                <w:rPr>
                  <w:rFonts w:ascii="Arial" w:eastAsia="Times New Roman" w:hAnsi="Arial"/>
                  <w:color w:val="0000FF"/>
                  <w:spacing w:val="2"/>
                  <w:kern w:val="0"/>
                  <w:highlight w:val="yellow"/>
                  <w:u w:val="single"/>
                  <w:lang w:eastAsia="es-419"/>
                  <w14:ligatures w14:val="none"/>
                </w:rPr>
                <w:t>302</w:t>
              </w:r>
            </w:hyperlink>
            <w:r w:rsidRPr="001E1B89">
              <w:rPr>
                <w:rFonts w:ascii="Arial" w:eastAsia="Times New Roman" w:hAnsi="Arial"/>
                <w:spacing w:val="2"/>
                <w:kern w:val="0"/>
                <w:highlight w:val="yellow"/>
                <w:lang w:eastAsia="es-419"/>
                <w14:ligatures w14:val="none"/>
              </w:rPr>
              <w:t> del Estatuto Tributario.</w:t>
            </w:r>
          </w:p>
        </w:tc>
      </w:tr>
    </w:tbl>
    <w:p w14:paraId="3EC72BE0" w14:textId="77777777" w:rsidR="004218EB" w:rsidRPr="004218EB" w:rsidRDefault="004218EB" w:rsidP="004218EB">
      <w:pPr>
        <w:spacing w:after="240" w:line="480" w:lineRule="atLeast"/>
        <w:rPr>
          <w:rFonts w:ascii="Arial" w:eastAsia="Times New Roman" w:hAnsi="Arial"/>
          <w:spacing w:val="2"/>
          <w:kern w:val="0"/>
          <w:lang w:eastAsia="es-419"/>
          <w14:ligatures w14:val="none"/>
        </w:rPr>
      </w:pPr>
      <w:r w:rsidRPr="001E1B89">
        <w:rPr>
          <w:rFonts w:ascii="Arial" w:eastAsia="Times New Roman" w:hAnsi="Arial"/>
          <w:spacing w:val="2"/>
          <w:kern w:val="0"/>
          <w:lang w:eastAsia="es-419"/>
          <w14:ligatures w14:val="none"/>
        </w:rPr>
        <w:t>Descriptores</w:t>
      </w:r>
    </w:p>
    <w:p w14:paraId="79EAFAC7" w14:textId="77777777" w:rsidR="004218EB" w:rsidRPr="004218EB" w:rsidRDefault="004218EB" w:rsidP="004218EB">
      <w:pPr>
        <w:spacing w:after="240" w:line="480" w:lineRule="atLeast"/>
        <w:rPr>
          <w:rFonts w:ascii="Arial" w:eastAsia="Times New Roman" w:hAnsi="Arial"/>
          <w:spacing w:val="2"/>
          <w:kern w:val="0"/>
          <w:lang w:eastAsia="es-419"/>
          <w14:ligatures w14:val="none"/>
        </w:rPr>
      </w:pPr>
      <w:r w:rsidRPr="004218EB">
        <w:rPr>
          <w:rFonts w:ascii="Arial" w:eastAsia="Times New Roman" w:hAnsi="Arial"/>
          <w:spacing w:val="2"/>
          <w:kern w:val="0"/>
          <w:lang w:eastAsia="es-419"/>
          <w14:ligatures w14:val="none"/>
        </w:rPr>
        <w:t>Condonación de deudas</w:t>
      </w:r>
    </w:p>
    <w:p w14:paraId="46A38C4B" w14:textId="77777777" w:rsidR="004218EB" w:rsidRPr="004218EB" w:rsidRDefault="004218EB" w:rsidP="004218EB">
      <w:pPr>
        <w:spacing w:after="240" w:line="480" w:lineRule="atLeast"/>
        <w:rPr>
          <w:rFonts w:ascii="Arial" w:eastAsia="Times New Roman" w:hAnsi="Arial"/>
          <w:spacing w:val="2"/>
          <w:kern w:val="0"/>
          <w:lang w:eastAsia="es-419"/>
          <w14:ligatures w14:val="none"/>
        </w:rPr>
      </w:pPr>
      <w:r w:rsidRPr="004218EB">
        <w:rPr>
          <w:rFonts w:ascii="Arial" w:eastAsia="Times New Roman" w:hAnsi="Arial"/>
          <w:spacing w:val="2"/>
          <w:kern w:val="0"/>
          <w:lang w:eastAsia="es-419"/>
          <w14:ligatures w14:val="none"/>
        </w:rPr>
        <w:t>Ganancias ocasionales</w:t>
      </w:r>
    </w:p>
    <w:p w14:paraId="0B49F796" w14:textId="77777777" w:rsidR="004218EB" w:rsidRPr="004218EB" w:rsidRDefault="004218EB" w:rsidP="004218EB">
      <w:pPr>
        <w:spacing w:after="240" w:line="480" w:lineRule="atLeast"/>
        <w:rPr>
          <w:rFonts w:ascii="Arial" w:eastAsia="Times New Roman" w:hAnsi="Arial"/>
          <w:spacing w:val="2"/>
          <w:kern w:val="0"/>
          <w:lang w:eastAsia="es-419"/>
          <w14:ligatures w14:val="none"/>
        </w:rPr>
      </w:pPr>
      <w:r w:rsidRPr="004218EB">
        <w:rPr>
          <w:rFonts w:ascii="Arial" w:eastAsia="Times New Roman" w:hAnsi="Arial"/>
          <w:spacing w:val="2"/>
          <w:kern w:val="0"/>
          <w:lang w:eastAsia="es-419"/>
          <w14:ligatures w14:val="none"/>
        </w:rPr>
        <w:t>Fuentes Formales</w:t>
      </w:r>
    </w:p>
    <w:p w14:paraId="2FABDCE8" w14:textId="77777777" w:rsidR="004218EB" w:rsidRPr="004218EB" w:rsidRDefault="004218EB" w:rsidP="004218EB">
      <w:pPr>
        <w:spacing w:line="480" w:lineRule="atLeast"/>
        <w:rPr>
          <w:rFonts w:ascii="Arial" w:eastAsia="Times New Roman" w:hAnsi="Arial"/>
          <w:spacing w:val="2"/>
          <w:kern w:val="0"/>
          <w:lang w:eastAsia="es-419"/>
          <w14:ligatures w14:val="none"/>
        </w:rPr>
      </w:pPr>
      <w:r w:rsidRPr="004218EB">
        <w:rPr>
          <w:rFonts w:ascii="Arial" w:eastAsia="Times New Roman" w:hAnsi="Arial"/>
          <w:spacing w:val="2"/>
          <w:kern w:val="0"/>
          <w:lang w:eastAsia="es-419"/>
          <w14:ligatures w14:val="none"/>
        </w:rPr>
        <w:t>ESTATUTO TRIBUTARIO DECRETO 0624 DE 1989 ART. </w:t>
      </w:r>
      <w:hyperlink r:id="rId6" w:anchor="302" w:history="1">
        <w:r w:rsidRPr="004218EB">
          <w:rPr>
            <w:rFonts w:ascii="Arial" w:eastAsia="Times New Roman" w:hAnsi="Arial"/>
            <w:color w:val="0000FF"/>
            <w:spacing w:val="2"/>
            <w:kern w:val="0"/>
            <w:u w:val="single"/>
            <w:lang w:eastAsia="es-419"/>
            <w14:ligatures w14:val="none"/>
          </w:rPr>
          <w:t>302</w:t>
        </w:r>
      </w:hyperlink>
      <w:r w:rsidRPr="004218EB">
        <w:rPr>
          <w:rFonts w:ascii="Arial" w:eastAsia="Times New Roman" w:hAnsi="Arial"/>
          <w:spacing w:val="2"/>
          <w:kern w:val="0"/>
          <w:lang w:eastAsia="es-419"/>
          <w14:ligatures w14:val="none"/>
        </w:rPr>
        <w:t>.</w:t>
      </w:r>
    </w:p>
    <w:p w14:paraId="6F467896" w14:textId="77777777" w:rsidR="004218EB" w:rsidRPr="004218EB" w:rsidRDefault="004218EB" w:rsidP="004218EB">
      <w:pPr>
        <w:spacing w:after="240" w:line="480" w:lineRule="atLeast"/>
        <w:rPr>
          <w:rFonts w:ascii="Arial" w:eastAsia="Times New Roman" w:hAnsi="Arial"/>
          <w:spacing w:val="2"/>
          <w:kern w:val="0"/>
          <w:lang w:eastAsia="es-419"/>
          <w14:ligatures w14:val="none"/>
        </w:rPr>
      </w:pPr>
      <w:r w:rsidRPr="004218EB">
        <w:rPr>
          <w:rFonts w:ascii="Arial" w:eastAsia="Times New Roman" w:hAnsi="Arial"/>
          <w:spacing w:val="2"/>
          <w:kern w:val="0"/>
          <w:lang w:eastAsia="es-419"/>
          <w14:ligatures w14:val="none"/>
        </w:rPr>
        <w:t>Extracto</w:t>
      </w:r>
    </w:p>
    <w:p w14:paraId="7D8CF731" w14:textId="77777777" w:rsidR="004218EB" w:rsidRPr="004218EB" w:rsidRDefault="004218EB" w:rsidP="004218EB">
      <w:pPr>
        <w:spacing w:line="480" w:lineRule="atLeast"/>
        <w:rPr>
          <w:rFonts w:ascii="Arial" w:eastAsia="Times New Roman" w:hAnsi="Arial"/>
          <w:spacing w:val="2"/>
          <w:kern w:val="0"/>
          <w:lang w:eastAsia="es-419"/>
          <w14:ligatures w14:val="none"/>
        </w:rPr>
      </w:pPr>
      <w:r w:rsidRPr="004218EB">
        <w:rPr>
          <w:rFonts w:ascii="Arial" w:eastAsia="Times New Roman" w:hAnsi="Arial"/>
          <w:spacing w:val="2"/>
          <w:kern w:val="0"/>
          <w:lang w:eastAsia="es-419"/>
          <w14:ligatures w14:val="none"/>
        </w:rPr>
        <w:lastRenderedPageBreak/>
        <w:t>De conformidad con los artículos </w:t>
      </w:r>
      <w:hyperlink r:id="rId7" w:anchor="56" w:history="1">
        <w:r w:rsidRPr="004218EB">
          <w:rPr>
            <w:rFonts w:ascii="Arial" w:eastAsia="Times New Roman" w:hAnsi="Arial"/>
            <w:color w:val="0000FF"/>
            <w:spacing w:val="2"/>
            <w:kern w:val="0"/>
            <w:u w:val="single"/>
            <w:lang w:eastAsia="es-419"/>
            <w14:ligatures w14:val="none"/>
          </w:rPr>
          <w:t>56</w:t>
        </w:r>
      </w:hyperlink>
      <w:r w:rsidRPr="004218EB">
        <w:rPr>
          <w:rFonts w:ascii="Arial" w:eastAsia="Times New Roman" w:hAnsi="Arial"/>
          <w:spacing w:val="2"/>
          <w:kern w:val="0"/>
          <w:lang w:eastAsia="es-419"/>
          <w14:ligatures w14:val="none"/>
        </w:rPr>
        <w:t> del Decreto 1742 de 2020 y </w:t>
      </w:r>
      <w:hyperlink r:id="rId8" w:anchor="7-1" w:history="1">
        <w:r w:rsidRPr="004218EB">
          <w:rPr>
            <w:rFonts w:ascii="Arial" w:eastAsia="Times New Roman" w:hAnsi="Arial"/>
            <w:color w:val="0000FF"/>
            <w:spacing w:val="2"/>
            <w:kern w:val="0"/>
            <w:u w:val="single"/>
            <w:lang w:eastAsia="es-419"/>
            <w14:ligatures w14:val="none"/>
          </w:rPr>
          <w:t>7-1</w:t>
        </w:r>
      </w:hyperlink>
      <w:r w:rsidRPr="004218EB">
        <w:rPr>
          <w:rFonts w:ascii="Arial" w:eastAsia="Times New Roman" w:hAnsi="Arial"/>
          <w:spacing w:val="2"/>
          <w:kern w:val="0"/>
          <w:lang w:eastAsia="es-419"/>
          <w14:ligatures w14:val="none"/>
        </w:rPr>
        <w:t> de la Resolución DIAN No. 91 de 2021,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 DIAN. Por consiguiente, no corresponde a este Despacho, en ejercicio de las funciones descritas anteriormente, prestar asesoría específica para atender casos particulares, ni juzgar o calificar las decisiones tomadas por otras dependencias o entidades.</w:t>
      </w:r>
    </w:p>
    <w:p w14:paraId="19BFF8BB" w14:textId="77777777" w:rsidR="004218EB" w:rsidRPr="004218EB" w:rsidRDefault="004218EB" w:rsidP="004218EB">
      <w:pPr>
        <w:spacing w:line="480" w:lineRule="atLeast"/>
        <w:rPr>
          <w:rFonts w:ascii="Arial" w:eastAsia="Times New Roman" w:hAnsi="Arial"/>
          <w:b/>
          <w:bCs/>
          <w:spacing w:val="2"/>
          <w:kern w:val="0"/>
          <w:lang w:eastAsia="es-419"/>
          <w14:ligatures w14:val="none"/>
        </w:rPr>
      </w:pPr>
    </w:p>
    <w:p w14:paraId="23F417CD" w14:textId="63965822" w:rsidR="004218EB" w:rsidRPr="001E1B89" w:rsidRDefault="004218EB" w:rsidP="004218EB">
      <w:pPr>
        <w:spacing w:line="480" w:lineRule="atLeast"/>
        <w:rPr>
          <w:rFonts w:ascii="Arial" w:eastAsia="Times New Roman" w:hAnsi="Arial"/>
          <w:spacing w:val="2"/>
          <w:kern w:val="0"/>
          <w:highlight w:val="yellow"/>
          <w:lang w:eastAsia="es-419"/>
          <w14:ligatures w14:val="none"/>
        </w:rPr>
      </w:pPr>
      <w:r w:rsidRPr="001E1B89">
        <w:rPr>
          <w:rFonts w:ascii="Arial" w:eastAsia="Times New Roman" w:hAnsi="Arial"/>
          <w:b/>
          <w:bCs/>
          <w:spacing w:val="2"/>
          <w:kern w:val="0"/>
          <w:highlight w:val="yellow"/>
          <w:lang w:eastAsia="es-419"/>
          <w14:ligatures w14:val="none"/>
        </w:rPr>
        <w:t>PROBLEMA JURÍDICO</w:t>
      </w:r>
    </w:p>
    <w:p w14:paraId="6641D6D5" w14:textId="74B5D261" w:rsidR="004218EB" w:rsidRPr="001E1B89" w:rsidRDefault="004218EB" w:rsidP="004218EB">
      <w:pPr>
        <w:spacing w:after="240" w:line="480" w:lineRule="atLeast"/>
        <w:rPr>
          <w:rFonts w:ascii="Arial" w:eastAsia="Times New Roman" w:hAnsi="Arial"/>
          <w:spacing w:val="2"/>
          <w:kern w:val="0"/>
          <w:highlight w:val="yellow"/>
          <w:lang w:eastAsia="es-419"/>
          <w14:ligatures w14:val="none"/>
        </w:rPr>
      </w:pPr>
      <w:r w:rsidRPr="001E1B89">
        <w:rPr>
          <w:rFonts w:ascii="Arial" w:eastAsia="Times New Roman" w:hAnsi="Arial"/>
          <w:spacing w:val="2"/>
          <w:kern w:val="0"/>
          <w:highlight w:val="yellow"/>
          <w:lang w:eastAsia="es-419"/>
          <w14:ligatures w14:val="none"/>
        </w:rPr>
        <w:t>¿Constituye ganancia ocasional el ingreso que percibe un contribuyente (deudor), perteneciente al régimen ordinario del impuesto sobre la renta, resultado de la condonación por mera liberalidad de una deuda?</w:t>
      </w:r>
    </w:p>
    <w:p w14:paraId="06DB8E89" w14:textId="77777777" w:rsidR="004218EB" w:rsidRPr="001E1B89" w:rsidRDefault="004218EB" w:rsidP="004218EB">
      <w:pPr>
        <w:spacing w:line="480" w:lineRule="atLeast"/>
        <w:rPr>
          <w:rFonts w:ascii="Arial" w:eastAsia="Times New Roman" w:hAnsi="Arial"/>
          <w:spacing w:val="2"/>
          <w:kern w:val="0"/>
          <w:highlight w:val="yellow"/>
          <w:lang w:eastAsia="es-419"/>
          <w14:ligatures w14:val="none"/>
        </w:rPr>
      </w:pPr>
      <w:r w:rsidRPr="001E1B89">
        <w:rPr>
          <w:rFonts w:ascii="Arial" w:eastAsia="Times New Roman" w:hAnsi="Arial"/>
          <w:b/>
          <w:bCs/>
          <w:spacing w:val="2"/>
          <w:kern w:val="0"/>
          <w:highlight w:val="yellow"/>
          <w:lang w:eastAsia="es-419"/>
          <w14:ligatures w14:val="none"/>
        </w:rPr>
        <w:t>TESIS JURÍDICA</w:t>
      </w:r>
    </w:p>
    <w:p w14:paraId="2FF7D97D" w14:textId="77777777" w:rsidR="004218EB" w:rsidRPr="004218EB" w:rsidRDefault="004218EB" w:rsidP="004218EB">
      <w:pPr>
        <w:spacing w:line="480" w:lineRule="atLeast"/>
        <w:rPr>
          <w:rFonts w:ascii="Arial" w:eastAsia="Times New Roman" w:hAnsi="Arial"/>
          <w:spacing w:val="2"/>
          <w:kern w:val="0"/>
          <w:lang w:eastAsia="es-419"/>
          <w14:ligatures w14:val="none"/>
        </w:rPr>
      </w:pPr>
      <w:r w:rsidRPr="001E1B89">
        <w:rPr>
          <w:rFonts w:ascii="Arial" w:eastAsia="Times New Roman" w:hAnsi="Arial"/>
          <w:spacing w:val="2"/>
          <w:kern w:val="0"/>
          <w:highlight w:val="yellow"/>
          <w:lang w:eastAsia="es-419"/>
          <w14:ligatures w14:val="none"/>
        </w:rPr>
        <w:t>El ingreso que percibe un contribuyente (deudor), perteneciente al régimen ordinario del impuesto sobre la renta, resultado de la condonación por mera liberalidad de una deuda constituye ganancia ocasional, de conformidad con el artículo </w:t>
      </w:r>
      <w:hyperlink r:id="rId9" w:anchor="302" w:history="1">
        <w:r w:rsidRPr="001E1B89">
          <w:rPr>
            <w:rFonts w:ascii="Arial" w:eastAsia="Times New Roman" w:hAnsi="Arial"/>
            <w:color w:val="0000FF"/>
            <w:spacing w:val="2"/>
            <w:kern w:val="0"/>
            <w:highlight w:val="yellow"/>
            <w:u w:val="single"/>
            <w:lang w:eastAsia="es-419"/>
            <w14:ligatures w14:val="none"/>
          </w:rPr>
          <w:t>302</w:t>
        </w:r>
      </w:hyperlink>
      <w:r w:rsidRPr="001E1B89">
        <w:rPr>
          <w:rFonts w:ascii="Arial" w:eastAsia="Times New Roman" w:hAnsi="Arial"/>
          <w:spacing w:val="2"/>
          <w:kern w:val="0"/>
          <w:highlight w:val="yellow"/>
          <w:lang w:eastAsia="es-419"/>
          <w14:ligatures w14:val="none"/>
        </w:rPr>
        <w:t> del Estatuto Tributario.</w:t>
      </w:r>
    </w:p>
    <w:p w14:paraId="788D28DE" w14:textId="77777777" w:rsidR="004218EB" w:rsidRPr="004218EB" w:rsidRDefault="004218EB" w:rsidP="004218EB">
      <w:pPr>
        <w:spacing w:line="480" w:lineRule="atLeast"/>
        <w:rPr>
          <w:rFonts w:ascii="Arial" w:eastAsia="Times New Roman" w:hAnsi="Arial"/>
          <w:b/>
          <w:bCs/>
          <w:spacing w:val="2"/>
          <w:kern w:val="0"/>
          <w:lang w:eastAsia="es-419"/>
          <w14:ligatures w14:val="none"/>
        </w:rPr>
      </w:pPr>
    </w:p>
    <w:p w14:paraId="525F6155" w14:textId="4165C6EC" w:rsidR="004218EB" w:rsidRPr="004218EB" w:rsidRDefault="004218EB" w:rsidP="004218EB">
      <w:pPr>
        <w:spacing w:line="480" w:lineRule="atLeast"/>
        <w:rPr>
          <w:rFonts w:ascii="Arial" w:eastAsia="Times New Roman" w:hAnsi="Arial"/>
          <w:spacing w:val="2"/>
          <w:kern w:val="0"/>
          <w:lang w:eastAsia="es-419"/>
          <w14:ligatures w14:val="none"/>
        </w:rPr>
      </w:pPr>
      <w:r w:rsidRPr="004218EB">
        <w:rPr>
          <w:rFonts w:ascii="Arial" w:eastAsia="Times New Roman" w:hAnsi="Arial"/>
          <w:b/>
          <w:bCs/>
          <w:spacing w:val="2"/>
          <w:kern w:val="0"/>
          <w:lang w:eastAsia="es-419"/>
          <w14:ligatures w14:val="none"/>
        </w:rPr>
        <w:t>FUNDAMENTACIÓN</w:t>
      </w:r>
    </w:p>
    <w:p w14:paraId="3025DA50" w14:textId="77777777" w:rsidR="004218EB" w:rsidRPr="004218EB" w:rsidRDefault="004218EB" w:rsidP="004218EB">
      <w:pPr>
        <w:spacing w:line="480" w:lineRule="atLeast"/>
        <w:rPr>
          <w:rFonts w:ascii="Arial" w:eastAsia="Times New Roman" w:hAnsi="Arial"/>
          <w:spacing w:val="2"/>
          <w:kern w:val="0"/>
          <w:lang w:eastAsia="es-419"/>
          <w14:ligatures w14:val="none"/>
        </w:rPr>
      </w:pPr>
      <w:r w:rsidRPr="004218EB">
        <w:rPr>
          <w:rFonts w:ascii="Arial" w:eastAsia="Times New Roman" w:hAnsi="Arial"/>
          <w:spacing w:val="2"/>
          <w:kern w:val="0"/>
          <w:lang w:eastAsia="es-419"/>
          <w14:ligatures w14:val="none"/>
        </w:rPr>
        <w:t>De acuerdo con el artículo </w:t>
      </w:r>
      <w:hyperlink r:id="rId10" w:anchor="302" w:history="1">
        <w:r w:rsidRPr="004218EB">
          <w:rPr>
            <w:rFonts w:ascii="Arial" w:eastAsia="Times New Roman" w:hAnsi="Arial"/>
            <w:color w:val="0000FF"/>
            <w:spacing w:val="2"/>
            <w:kern w:val="0"/>
            <w:u w:val="single"/>
            <w:lang w:eastAsia="es-419"/>
            <w14:ligatures w14:val="none"/>
          </w:rPr>
          <w:t>302</w:t>
        </w:r>
      </w:hyperlink>
      <w:r w:rsidRPr="004218EB">
        <w:rPr>
          <w:rFonts w:ascii="Arial" w:eastAsia="Times New Roman" w:hAnsi="Arial"/>
          <w:spacing w:val="2"/>
          <w:kern w:val="0"/>
          <w:lang w:eastAsia="es-419"/>
          <w14:ligatures w14:val="none"/>
        </w:rPr>
        <w:t> del Estatuto Tributario se consideran ganancias ocasionales, entre otras, las provenientes de “cualquier otro acto jurídico celebrado inter vivos a </w:t>
      </w:r>
      <w:r w:rsidRPr="004218EB">
        <w:rPr>
          <w:rFonts w:ascii="Arial" w:eastAsia="Times New Roman" w:hAnsi="Arial"/>
          <w:spacing w:val="2"/>
          <w:kern w:val="0"/>
          <w:u w:val="single"/>
          <w:lang w:eastAsia="es-419"/>
          <w14:ligatures w14:val="none"/>
        </w:rPr>
        <w:t>título gratuito</w:t>
      </w:r>
      <w:r w:rsidRPr="004218EB">
        <w:rPr>
          <w:rFonts w:ascii="Arial" w:eastAsia="Times New Roman" w:hAnsi="Arial"/>
          <w:spacing w:val="2"/>
          <w:kern w:val="0"/>
          <w:lang w:eastAsia="es-419"/>
          <w14:ligatures w14:val="none"/>
        </w:rPr>
        <w:t>” (subrayado fuera de texto).</w:t>
      </w:r>
    </w:p>
    <w:p w14:paraId="0D2BC7A2" w14:textId="77777777" w:rsidR="004218EB" w:rsidRPr="004218EB" w:rsidRDefault="004218EB" w:rsidP="004218EB">
      <w:pPr>
        <w:spacing w:line="480" w:lineRule="atLeast"/>
        <w:rPr>
          <w:rFonts w:ascii="Arial" w:eastAsia="Times New Roman" w:hAnsi="Arial"/>
          <w:spacing w:val="2"/>
          <w:kern w:val="0"/>
          <w:lang w:eastAsia="es-419"/>
          <w14:ligatures w14:val="none"/>
        </w:rPr>
      </w:pPr>
    </w:p>
    <w:p w14:paraId="37350023" w14:textId="5A65C462" w:rsidR="004218EB" w:rsidRPr="004218EB" w:rsidRDefault="004218EB" w:rsidP="004218EB">
      <w:pPr>
        <w:spacing w:line="480" w:lineRule="atLeast"/>
        <w:rPr>
          <w:rFonts w:ascii="Arial" w:eastAsia="Times New Roman" w:hAnsi="Arial"/>
          <w:spacing w:val="2"/>
          <w:kern w:val="0"/>
          <w:lang w:eastAsia="es-419"/>
          <w14:ligatures w14:val="none"/>
        </w:rPr>
      </w:pPr>
      <w:r w:rsidRPr="004218EB">
        <w:rPr>
          <w:rFonts w:ascii="Arial" w:eastAsia="Times New Roman" w:hAnsi="Arial"/>
          <w:spacing w:val="2"/>
          <w:kern w:val="0"/>
          <w:lang w:eastAsia="es-419"/>
          <w14:ligatures w14:val="none"/>
        </w:rPr>
        <w:t xml:space="preserve">Para esta Subdirección, dicha categorización (residual) de los ingresos constitutivos de ganancia ocasional comprende los resultantes de la condonación por mera liberalidad </w:t>
      </w:r>
      <w:r w:rsidRPr="004218EB">
        <w:rPr>
          <w:rFonts w:ascii="Arial" w:eastAsia="Times New Roman" w:hAnsi="Arial"/>
          <w:spacing w:val="2"/>
          <w:kern w:val="0"/>
          <w:lang w:eastAsia="es-419"/>
          <w14:ligatures w14:val="none"/>
        </w:rPr>
        <w:lastRenderedPageBreak/>
        <w:t>de una deuda, bajo el entendido que dicho acto reúne los elementos de que trata el citado artículo </w:t>
      </w:r>
      <w:hyperlink r:id="rId11" w:anchor="302" w:history="1">
        <w:r w:rsidRPr="004218EB">
          <w:rPr>
            <w:rFonts w:ascii="Arial" w:eastAsia="Times New Roman" w:hAnsi="Arial"/>
            <w:color w:val="0000FF"/>
            <w:spacing w:val="2"/>
            <w:kern w:val="0"/>
            <w:u w:val="single"/>
            <w:lang w:eastAsia="es-419"/>
            <w14:ligatures w14:val="none"/>
          </w:rPr>
          <w:t>302</w:t>
        </w:r>
      </w:hyperlink>
      <w:r w:rsidRPr="004218EB">
        <w:rPr>
          <w:rFonts w:ascii="Arial" w:eastAsia="Times New Roman" w:hAnsi="Arial"/>
          <w:spacing w:val="2"/>
          <w:kern w:val="0"/>
          <w:lang w:eastAsia="es-419"/>
          <w14:ligatures w14:val="none"/>
        </w:rPr>
        <w:t>; en particular, el carácter gratuito del mismo</w:t>
      </w:r>
      <w:hyperlink r:id="rId12" w:anchor="NF1" w:history="1">
        <w:r w:rsidRPr="004218EB">
          <w:rPr>
            <w:rFonts w:ascii="Arial" w:eastAsia="Times New Roman" w:hAnsi="Arial"/>
            <w:b/>
            <w:bCs/>
            <w:spacing w:val="2"/>
            <w:kern w:val="0"/>
            <w:vertAlign w:val="superscript"/>
            <w:lang w:eastAsia="es-419"/>
            <w14:ligatures w14:val="none"/>
          </w:rPr>
          <w:t>[1]</w:t>
        </w:r>
      </w:hyperlink>
      <w:r w:rsidRPr="004218EB">
        <w:rPr>
          <w:rFonts w:ascii="Arial" w:eastAsia="Times New Roman" w:hAnsi="Arial"/>
          <w:spacing w:val="2"/>
          <w:kern w:val="0"/>
          <w:lang w:eastAsia="es-419"/>
          <w14:ligatures w14:val="none"/>
        </w:rPr>
        <w:t>.</w:t>
      </w:r>
    </w:p>
    <w:p w14:paraId="4F52E859" w14:textId="77777777" w:rsidR="004218EB" w:rsidRDefault="004218EB" w:rsidP="004218EB">
      <w:pPr>
        <w:spacing w:line="480" w:lineRule="atLeast"/>
        <w:rPr>
          <w:rFonts w:ascii="Arial" w:eastAsia="Times New Roman" w:hAnsi="Arial"/>
          <w:spacing w:val="2"/>
          <w:kern w:val="0"/>
          <w:lang w:eastAsia="es-419"/>
          <w14:ligatures w14:val="none"/>
        </w:rPr>
      </w:pPr>
    </w:p>
    <w:p w14:paraId="075306BA" w14:textId="13200B01" w:rsidR="004218EB" w:rsidRPr="004218EB" w:rsidRDefault="004218EB" w:rsidP="004218EB">
      <w:pPr>
        <w:spacing w:line="480" w:lineRule="atLeast"/>
        <w:rPr>
          <w:rFonts w:ascii="Arial" w:eastAsia="Times New Roman" w:hAnsi="Arial"/>
          <w:spacing w:val="2"/>
          <w:kern w:val="0"/>
          <w:lang w:eastAsia="es-419"/>
          <w14:ligatures w14:val="none"/>
        </w:rPr>
      </w:pPr>
      <w:r w:rsidRPr="004218EB">
        <w:rPr>
          <w:rFonts w:ascii="Arial" w:eastAsia="Times New Roman" w:hAnsi="Arial"/>
          <w:spacing w:val="2"/>
          <w:kern w:val="0"/>
          <w:lang w:eastAsia="es-419"/>
          <w14:ligatures w14:val="none"/>
        </w:rPr>
        <w:t>Por lo anterior, mediante este pronunciamiento se da un alcance al Oficio 00</w:t>
      </w:r>
      <w:hyperlink r:id="rId13" w:anchor="0" w:history="1">
        <w:r w:rsidRPr="004218EB">
          <w:rPr>
            <w:rFonts w:ascii="Arial" w:eastAsia="Times New Roman" w:hAnsi="Arial"/>
            <w:color w:val="0000FF"/>
            <w:spacing w:val="2"/>
            <w:kern w:val="0"/>
            <w:u w:val="single"/>
            <w:lang w:eastAsia="es-419"/>
            <w14:ligatures w14:val="none"/>
          </w:rPr>
          <w:t>1669</w:t>
        </w:r>
      </w:hyperlink>
      <w:r w:rsidRPr="004218EB">
        <w:rPr>
          <w:rFonts w:ascii="Arial" w:eastAsia="Times New Roman" w:hAnsi="Arial"/>
          <w:spacing w:val="2"/>
          <w:kern w:val="0"/>
          <w:lang w:eastAsia="es-419"/>
          <w14:ligatures w14:val="none"/>
        </w:rPr>
        <w:t> de septiembre 25 de 2018</w:t>
      </w:r>
      <w:hyperlink r:id="rId14" w:anchor="NF2" w:history="1">
        <w:r w:rsidRPr="004218EB">
          <w:rPr>
            <w:rFonts w:ascii="Arial" w:eastAsia="Times New Roman" w:hAnsi="Arial"/>
            <w:b/>
            <w:bCs/>
            <w:spacing w:val="2"/>
            <w:kern w:val="0"/>
            <w:vertAlign w:val="superscript"/>
            <w:lang w:eastAsia="es-419"/>
            <w14:ligatures w14:val="none"/>
          </w:rPr>
          <w:t>[2]</w:t>
        </w:r>
      </w:hyperlink>
      <w:r w:rsidRPr="004218EB">
        <w:rPr>
          <w:rFonts w:ascii="Arial" w:eastAsia="Times New Roman" w:hAnsi="Arial"/>
          <w:spacing w:val="2"/>
          <w:kern w:val="0"/>
          <w:lang w:eastAsia="es-419"/>
          <w14:ligatures w14:val="none"/>
        </w:rPr>
        <w:t>.</w:t>
      </w:r>
    </w:p>
    <w:p w14:paraId="6E50280C" w14:textId="77777777" w:rsidR="004218EB" w:rsidRDefault="004218EB" w:rsidP="004218EB">
      <w:pPr>
        <w:spacing w:line="480" w:lineRule="atLeast"/>
        <w:rPr>
          <w:rFonts w:ascii="Arial" w:eastAsia="Times New Roman" w:hAnsi="Arial"/>
          <w:spacing w:val="2"/>
          <w:kern w:val="0"/>
          <w:lang w:eastAsia="es-419"/>
          <w14:ligatures w14:val="none"/>
        </w:rPr>
      </w:pPr>
    </w:p>
    <w:p w14:paraId="01AF3864" w14:textId="77777777" w:rsidR="004218EB" w:rsidRPr="004218EB" w:rsidRDefault="004218EB" w:rsidP="004218EB">
      <w:pPr>
        <w:spacing w:line="480" w:lineRule="atLeast"/>
        <w:rPr>
          <w:rFonts w:ascii="Arial" w:eastAsia="Times New Roman" w:hAnsi="Arial"/>
          <w:spacing w:val="2"/>
          <w:kern w:val="0"/>
          <w:u w:val="single"/>
          <w:lang w:eastAsia="es-419"/>
          <w14:ligatures w14:val="none"/>
        </w:rPr>
      </w:pPr>
      <w:bookmarkStart w:id="0" w:name="NF"/>
      <w:r w:rsidRPr="004218EB">
        <w:rPr>
          <w:rFonts w:ascii="Arial" w:eastAsia="Times New Roman" w:hAnsi="Arial"/>
          <w:spacing w:val="2"/>
          <w:kern w:val="0"/>
          <w:u w:val="single"/>
          <w:lang w:eastAsia="es-419"/>
          <w14:ligatures w14:val="none"/>
        </w:rPr>
        <w:t>&lt;NOTAS DE PIE DE PAGINA&gt;.</w:t>
      </w:r>
      <w:bookmarkEnd w:id="0"/>
    </w:p>
    <w:p w14:paraId="1499B00D" w14:textId="77777777" w:rsidR="004218EB" w:rsidRPr="004218EB" w:rsidRDefault="004218EB" w:rsidP="004218EB">
      <w:pPr>
        <w:spacing w:line="480" w:lineRule="atLeast"/>
        <w:rPr>
          <w:rFonts w:ascii="Arial" w:eastAsia="Times New Roman" w:hAnsi="Arial"/>
          <w:spacing w:val="2"/>
          <w:kern w:val="0"/>
          <w:lang w:eastAsia="es-419"/>
          <w14:ligatures w14:val="none"/>
        </w:rPr>
      </w:pPr>
    </w:p>
    <w:p w14:paraId="3A13161E" w14:textId="77777777" w:rsidR="004218EB" w:rsidRPr="004218EB" w:rsidRDefault="004218EB" w:rsidP="004218EB">
      <w:pPr>
        <w:spacing w:line="480" w:lineRule="atLeast"/>
        <w:rPr>
          <w:rFonts w:ascii="Arial" w:eastAsia="Times New Roman" w:hAnsi="Arial"/>
          <w:spacing w:val="2"/>
          <w:kern w:val="0"/>
          <w:lang w:eastAsia="es-419"/>
          <w14:ligatures w14:val="none"/>
        </w:rPr>
      </w:pPr>
      <w:bookmarkStart w:id="1" w:name="NF1"/>
      <w:r w:rsidRPr="004218EB">
        <w:rPr>
          <w:rFonts w:ascii="Arial" w:eastAsia="Times New Roman" w:hAnsi="Arial"/>
          <w:spacing w:val="2"/>
          <w:kern w:val="0"/>
          <w:lang w:eastAsia="es-419"/>
          <w14:ligatures w14:val="none"/>
        </w:rPr>
        <w:t>1. </w:t>
      </w:r>
      <w:bookmarkEnd w:id="1"/>
      <w:r w:rsidRPr="004218EB">
        <w:rPr>
          <w:rFonts w:ascii="Arial" w:eastAsia="Times New Roman" w:hAnsi="Arial"/>
          <w:spacing w:val="2"/>
          <w:kern w:val="0"/>
          <w:lang w:eastAsia="es-419"/>
          <w14:ligatures w14:val="none"/>
        </w:rPr>
        <w:t xml:space="preserve">Precisamente, en el Oficio 025276 de marzo 27 de 2006 se reconoció que la condonación “consiste en el perdón de la deuda, por el acreedor al deudor” (subrayado fuera de texto) y que “la condonación que procede de mera liberalidad del </w:t>
      </w:r>
      <w:proofErr w:type="gramStart"/>
      <w:r w:rsidRPr="004218EB">
        <w:rPr>
          <w:rFonts w:ascii="Arial" w:eastAsia="Times New Roman" w:hAnsi="Arial"/>
          <w:spacing w:val="2"/>
          <w:kern w:val="0"/>
          <w:lang w:eastAsia="es-419"/>
          <w14:ligatures w14:val="none"/>
        </w:rPr>
        <w:t>acreedor,</w:t>
      </w:r>
      <w:proofErr w:type="gramEnd"/>
      <w:r w:rsidRPr="004218EB">
        <w:rPr>
          <w:rFonts w:ascii="Arial" w:eastAsia="Times New Roman" w:hAnsi="Arial"/>
          <w:spacing w:val="2"/>
          <w:kern w:val="0"/>
          <w:lang w:eastAsia="es-419"/>
          <w14:ligatures w14:val="none"/>
        </w:rPr>
        <w:t> </w:t>
      </w:r>
      <w:r w:rsidRPr="001E1B89">
        <w:rPr>
          <w:rFonts w:ascii="Arial" w:eastAsia="Times New Roman" w:hAnsi="Arial"/>
          <w:spacing w:val="2"/>
          <w:kern w:val="0"/>
          <w:highlight w:val="yellow"/>
          <w:lang w:eastAsia="es-419"/>
          <w14:ligatures w14:val="none"/>
        </w:rPr>
        <w:t>está en todo sujeta a las reglas de la donación entre vivos y necesita de insinuación en los casos en que la donación entre vivos la necesita” (subrayado fuera de texto), tal y como lo prevé el artículo 1712 del Código Civil.</w:t>
      </w:r>
    </w:p>
    <w:p w14:paraId="13604944" w14:textId="77777777" w:rsidR="004218EB" w:rsidRPr="004218EB" w:rsidRDefault="004218EB" w:rsidP="004218EB">
      <w:pPr>
        <w:spacing w:line="480" w:lineRule="atLeast"/>
        <w:rPr>
          <w:rFonts w:ascii="Arial" w:eastAsia="Times New Roman" w:hAnsi="Arial"/>
          <w:spacing w:val="2"/>
          <w:kern w:val="0"/>
          <w:lang w:eastAsia="es-419"/>
          <w14:ligatures w14:val="none"/>
        </w:rPr>
      </w:pPr>
    </w:p>
    <w:p w14:paraId="094442D0" w14:textId="77777777" w:rsidR="004218EB" w:rsidRPr="004218EB" w:rsidRDefault="004218EB" w:rsidP="004218EB">
      <w:pPr>
        <w:spacing w:line="480" w:lineRule="atLeast"/>
        <w:rPr>
          <w:rFonts w:ascii="Arial" w:eastAsia="Times New Roman" w:hAnsi="Arial"/>
          <w:spacing w:val="2"/>
          <w:kern w:val="0"/>
          <w:lang w:eastAsia="es-419"/>
          <w14:ligatures w14:val="none"/>
        </w:rPr>
      </w:pPr>
      <w:bookmarkStart w:id="2" w:name="NF2"/>
      <w:r w:rsidRPr="004218EB">
        <w:rPr>
          <w:rFonts w:ascii="Arial" w:eastAsia="Times New Roman" w:hAnsi="Arial"/>
          <w:spacing w:val="2"/>
          <w:kern w:val="0"/>
          <w:lang w:eastAsia="es-419"/>
          <w14:ligatures w14:val="none"/>
        </w:rPr>
        <w:t>2. </w:t>
      </w:r>
      <w:bookmarkEnd w:id="2"/>
      <w:r w:rsidRPr="004218EB">
        <w:rPr>
          <w:rFonts w:ascii="Arial" w:eastAsia="Times New Roman" w:hAnsi="Arial"/>
          <w:spacing w:val="2"/>
          <w:kern w:val="0"/>
          <w:lang w:eastAsia="es-419"/>
          <w14:ligatures w14:val="none"/>
        </w:rPr>
        <w:t>Frente al acreedor que condona la deuda, se genera una aminoración en su patrimonio como consecuencia de dicho acto.</w:t>
      </w:r>
    </w:p>
    <w:p w14:paraId="5F66605B" w14:textId="77777777" w:rsidR="001E1B89" w:rsidRDefault="001E1B89" w:rsidP="004218EB">
      <w:pPr>
        <w:spacing w:line="480" w:lineRule="atLeast"/>
        <w:rPr>
          <w:rFonts w:ascii="Arial" w:eastAsia="Times New Roman" w:hAnsi="Arial"/>
          <w:spacing w:val="2"/>
          <w:kern w:val="0"/>
          <w:lang w:eastAsia="es-419"/>
          <w14:ligatures w14:val="none"/>
        </w:rPr>
      </w:pPr>
    </w:p>
    <w:p w14:paraId="1AC3DBBD" w14:textId="74BF066C" w:rsidR="004218EB" w:rsidRPr="004218EB" w:rsidRDefault="004218EB" w:rsidP="004218EB">
      <w:pPr>
        <w:spacing w:line="480" w:lineRule="atLeast"/>
        <w:rPr>
          <w:rFonts w:ascii="Arial" w:eastAsia="Times New Roman" w:hAnsi="Arial"/>
          <w:spacing w:val="2"/>
          <w:kern w:val="0"/>
          <w:lang w:eastAsia="es-419"/>
          <w14:ligatures w14:val="none"/>
        </w:rPr>
      </w:pPr>
      <w:r w:rsidRPr="004218EB">
        <w:rPr>
          <w:rFonts w:ascii="Arial" w:eastAsia="Times New Roman" w:hAnsi="Arial"/>
          <w:spacing w:val="2"/>
          <w:kern w:val="0"/>
          <w:lang w:eastAsia="es-419"/>
          <w14:ligatures w14:val="none"/>
        </w:rPr>
        <w:t>En cabeza del condonado se genera un correlativo ingreso, en virtud de un acto espontáneo, que debe ser gravado para efectos del impuesto sobre la renta y complementario, toda vez que dicha condonación genera un incremento dentro de su patrimonio.</w:t>
      </w:r>
    </w:p>
    <w:p w14:paraId="66D1A1A6" w14:textId="77777777" w:rsidR="004218EB" w:rsidRPr="001E1B89" w:rsidRDefault="004218EB" w:rsidP="004218EB">
      <w:pPr>
        <w:spacing w:line="480" w:lineRule="atLeast"/>
        <w:rPr>
          <w:rFonts w:ascii="Arial" w:eastAsia="Times New Roman" w:hAnsi="Arial"/>
          <w:spacing w:val="2"/>
          <w:kern w:val="0"/>
          <w:highlight w:val="yellow"/>
          <w:lang w:eastAsia="es-419"/>
          <w14:ligatures w14:val="none"/>
        </w:rPr>
      </w:pPr>
      <w:r w:rsidRPr="001E1B89">
        <w:rPr>
          <w:rFonts w:ascii="Arial" w:eastAsia="Times New Roman" w:hAnsi="Arial"/>
          <w:spacing w:val="2"/>
          <w:kern w:val="0"/>
          <w:highlight w:val="yellow"/>
          <w:lang w:eastAsia="es-419"/>
          <w14:ligatures w14:val="none"/>
        </w:rPr>
        <w:t>Así las cosas, este ingreso deberá incluirse por el condonado en su declaración de renta como un ingreso ordinario o extraordinario (ganancia ocasional), análisis que corresponderá en efecto al contribuyente, según su situación particular.</w:t>
      </w:r>
    </w:p>
    <w:p w14:paraId="13333BCB" w14:textId="77777777" w:rsidR="004218EB" w:rsidRPr="004218EB" w:rsidRDefault="004218EB" w:rsidP="004218EB">
      <w:pPr>
        <w:spacing w:line="480" w:lineRule="atLeast"/>
        <w:rPr>
          <w:rFonts w:ascii="Arial" w:eastAsia="Times New Roman" w:hAnsi="Arial"/>
          <w:spacing w:val="2"/>
          <w:kern w:val="0"/>
          <w:lang w:eastAsia="es-419"/>
          <w14:ligatures w14:val="none"/>
        </w:rPr>
      </w:pPr>
      <w:r w:rsidRPr="001E1B89">
        <w:rPr>
          <w:rFonts w:ascii="Arial" w:eastAsia="Times New Roman" w:hAnsi="Arial"/>
          <w:spacing w:val="2"/>
          <w:kern w:val="0"/>
          <w:highlight w:val="yellow"/>
          <w:lang w:eastAsia="es-419"/>
          <w14:ligatures w14:val="none"/>
        </w:rPr>
        <w:t>(subrayado fuera de texto)</w:t>
      </w:r>
    </w:p>
    <w:p w14:paraId="3220FEBE" w14:textId="77777777" w:rsidR="002F3F02" w:rsidRPr="004218EB" w:rsidRDefault="002F3F02">
      <w:pPr>
        <w:rPr>
          <w:rFonts w:ascii="Arial" w:hAnsi="Arial"/>
        </w:rPr>
      </w:pPr>
    </w:p>
    <w:sectPr w:rsidR="002F3F02" w:rsidRPr="004218EB"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EB"/>
    <w:rsid w:val="001E1B89"/>
    <w:rsid w:val="002F3F02"/>
    <w:rsid w:val="004218EB"/>
    <w:rsid w:val="004A489D"/>
    <w:rsid w:val="004F1D2E"/>
    <w:rsid w:val="005173B2"/>
    <w:rsid w:val="005B14BF"/>
    <w:rsid w:val="00840411"/>
    <w:rsid w:val="00885E73"/>
    <w:rsid w:val="009705EC"/>
    <w:rsid w:val="00A613E5"/>
    <w:rsid w:val="00A91F78"/>
    <w:rsid w:val="00AE7AD8"/>
    <w:rsid w:val="00B21583"/>
    <w:rsid w:val="00B76269"/>
    <w:rsid w:val="00BE074B"/>
    <w:rsid w:val="00CA1F22"/>
    <w:rsid w:val="00CC19F3"/>
    <w:rsid w:val="00CC2D9A"/>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1115"/>
  <w15:chartTrackingRefBased/>
  <w15:docId w15:val="{7FC77B4E-FE9A-4449-906C-9F8C7C63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compilacion/docs/resolucion_dian_0091_2021.htm" TargetMode="External"/><Relationship Id="rId13" Type="http://schemas.openxmlformats.org/officeDocument/2006/relationships/hyperlink" Target="https://normograma.dian.gov.co/dian/compilacion/docs/oficio_dian_1669_2018.htm" TargetMode="External"/><Relationship Id="rId3" Type="http://schemas.openxmlformats.org/officeDocument/2006/relationships/settings" Target="settings.xml"/><Relationship Id="rId7" Type="http://schemas.openxmlformats.org/officeDocument/2006/relationships/hyperlink" Target="https://normograma.dian.gov.co/dian/compilacion/docs/decreto_1742_2020.htm" TargetMode="External"/><Relationship Id="rId12" Type="http://schemas.openxmlformats.org/officeDocument/2006/relationships/hyperlink" Target="https://normograma.dian.gov.co/dian/compilacion/docs/oficio_dian_5639_2023.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ormograma.dian.gov.co/dian/compilacion/docs/estatuto_tributario.htm" TargetMode="External"/><Relationship Id="rId11" Type="http://schemas.openxmlformats.org/officeDocument/2006/relationships/hyperlink" Target="https://normograma.dian.gov.co/dian/compilacion/docs/estatuto_tributario.htm" TargetMode="External"/><Relationship Id="rId5" Type="http://schemas.openxmlformats.org/officeDocument/2006/relationships/hyperlink" Target="https://normograma.dian.gov.co/dian/compilacion/docs/estatuto_tributario.htm" TargetMode="External"/><Relationship Id="rId15" Type="http://schemas.openxmlformats.org/officeDocument/2006/relationships/fontTable" Target="fontTable.xml"/><Relationship Id="rId10" Type="http://schemas.openxmlformats.org/officeDocument/2006/relationships/hyperlink" Target="https://normograma.dian.gov.co/dian/compilacion/docs/estatuto_tributario.htm" TargetMode="External"/><Relationship Id="rId4" Type="http://schemas.openxmlformats.org/officeDocument/2006/relationships/webSettings" Target="webSettings.xml"/><Relationship Id="rId9" Type="http://schemas.openxmlformats.org/officeDocument/2006/relationships/hyperlink" Target="https://normograma.dian.gov.co/dian/compilacion/docs/estatuto_tributario.htm" TargetMode="External"/><Relationship Id="rId14" Type="http://schemas.openxmlformats.org/officeDocument/2006/relationships/hyperlink" Target="https://normograma.dian.gov.co/dian/compilacion/docs/oficio_dian_5639_202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763</Words>
  <Characters>4198</Characters>
  <Application>Microsoft Office Word</Application>
  <DocSecurity>0</DocSecurity>
  <Lines>34</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2023-10-23T13:40:00Z</dcterms:created>
  <dcterms:modified xsi:type="dcterms:W3CDTF">2023-11-06T22:47:00Z</dcterms:modified>
</cp:coreProperties>
</file>