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E164" w14:textId="77777777" w:rsidR="00BA1984" w:rsidRPr="00BA1984" w:rsidRDefault="00BA1984" w:rsidP="00BA1984">
      <w:pPr>
        <w:spacing w:line="480" w:lineRule="atLeast"/>
        <w:jc w:val="center"/>
        <w:rPr>
          <w:rFonts w:ascii="Arial" w:eastAsia="Times New Roman" w:hAnsi="Arial"/>
          <w:spacing w:val="2"/>
          <w:kern w:val="0"/>
          <w:lang w:eastAsia="es-419"/>
          <w14:ligatures w14:val="none"/>
        </w:rPr>
      </w:pPr>
      <w:r w:rsidRPr="00BA1984">
        <w:rPr>
          <w:rFonts w:ascii="Arial" w:eastAsia="Times New Roman" w:hAnsi="Arial"/>
          <w:b/>
          <w:bCs/>
          <w:spacing w:val="2"/>
          <w:kern w:val="0"/>
          <w:lang w:eastAsia="es-419"/>
          <w14:ligatures w14:val="none"/>
        </w:rPr>
        <w:t>CONCEPTO 5445 (</w:t>
      </w:r>
      <w:proofErr w:type="spellStart"/>
      <w:r w:rsidRPr="00BA1984">
        <w:rPr>
          <w:rFonts w:ascii="Arial" w:eastAsia="Times New Roman" w:hAnsi="Arial"/>
          <w:b/>
          <w:bCs/>
          <w:spacing w:val="2"/>
          <w:kern w:val="0"/>
          <w:lang w:eastAsia="es-419"/>
          <w14:ligatures w14:val="none"/>
        </w:rPr>
        <w:t>Int</w:t>
      </w:r>
      <w:proofErr w:type="spellEnd"/>
      <w:r w:rsidRPr="00BA1984">
        <w:rPr>
          <w:rFonts w:ascii="Arial" w:eastAsia="Times New Roman" w:hAnsi="Arial"/>
          <w:b/>
          <w:bCs/>
          <w:spacing w:val="2"/>
          <w:kern w:val="0"/>
          <w:lang w:eastAsia="es-419"/>
          <w14:ligatures w14:val="none"/>
        </w:rPr>
        <w:t>. 1471) DE 2023</w:t>
      </w:r>
    </w:p>
    <w:p w14:paraId="072B7234" w14:textId="77777777" w:rsidR="00BA1984" w:rsidRPr="00BA1984" w:rsidRDefault="00BA1984" w:rsidP="00BA1984">
      <w:pPr>
        <w:spacing w:after="240" w:line="480" w:lineRule="atLeast"/>
        <w:jc w:val="center"/>
        <w:rPr>
          <w:rFonts w:ascii="Arial" w:eastAsia="Times New Roman" w:hAnsi="Arial"/>
          <w:spacing w:val="2"/>
          <w:kern w:val="0"/>
          <w:lang w:eastAsia="es-419"/>
          <w14:ligatures w14:val="none"/>
        </w:rPr>
      </w:pPr>
      <w:r w:rsidRPr="00BA1984">
        <w:rPr>
          <w:rFonts w:ascii="Arial" w:eastAsia="Times New Roman" w:hAnsi="Arial"/>
          <w:spacing w:val="2"/>
          <w:kern w:val="0"/>
          <w:lang w:eastAsia="es-419"/>
          <w14:ligatures w14:val="none"/>
        </w:rPr>
        <w:t>(septiembre 26)</w:t>
      </w:r>
    </w:p>
    <w:p w14:paraId="28C8E333" w14:textId="77777777" w:rsidR="00BA1984" w:rsidRPr="00BA1984" w:rsidRDefault="00BA1984" w:rsidP="00BA1984">
      <w:pPr>
        <w:spacing w:after="240" w:line="480" w:lineRule="atLeast"/>
        <w:jc w:val="center"/>
        <w:rPr>
          <w:rFonts w:ascii="Arial" w:eastAsia="Times New Roman" w:hAnsi="Arial"/>
          <w:spacing w:val="2"/>
          <w:kern w:val="0"/>
          <w:lang w:eastAsia="es-419"/>
          <w14:ligatures w14:val="none"/>
        </w:rPr>
      </w:pPr>
      <w:r w:rsidRPr="00BA1984">
        <w:rPr>
          <w:rFonts w:ascii="Arial" w:eastAsia="Times New Roman" w:hAnsi="Arial"/>
          <w:spacing w:val="2"/>
          <w:kern w:val="0"/>
          <w:lang w:eastAsia="es-419"/>
          <w14:ligatures w14:val="none"/>
        </w:rPr>
        <w:t>&lt;Fuente: Archivo interno entidad emisora&gt;</w:t>
      </w:r>
    </w:p>
    <w:p w14:paraId="3DC0D8BF" w14:textId="77777777" w:rsidR="00BA1984" w:rsidRPr="00BA1984" w:rsidRDefault="00BA1984" w:rsidP="00BA1984">
      <w:pPr>
        <w:spacing w:after="240" w:line="480" w:lineRule="atLeast"/>
        <w:jc w:val="center"/>
        <w:rPr>
          <w:rFonts w:ascii="Arial" w:eastAsia="Times New Roman" w:hAnsi="Arial"/>
          <w:spacing w:val="2"/>
          <w:kern w:val="0"/>
          <w:lang w:eastAsia="es-419"/>
          <w14:ligatures w14:val="none"/>
        </w:rPr>
      </w:pPr>
      <w:r w:rsidRPr="00BA1984">
        <w:rPr>
          <w:rFonts w:ascii="Arial" w:eastAsia="Times New Roman" w:hAnsi="Arial"/>
          <w:spacing w:val="2"/>
          <w:kern w:val="0"/>
          <w:lang w:eastAsia="es-419"/>
          <w14:ligatures w14:val="none"/>
        </w:rPr>
        <w:t>&lt;Publicado en la página web de la DIAN: 28 de septiembre de 2023&gt;</w:t>
      </w:r>
    </w:p>
    <w:p w14:paraId="2A47DA39" w14:textId="77777777" w:rsidR="00BA1984" w:rsidRPr="00BA1984" w:rsidRDefault="00BA1984" w:rsidP="00BA1984">
      <w:pPr>
        <w:spacing w:line="480" w:lineRule="atLeast"/>
        <w:jc w:val="center"/>
        <w:rPr>
          <w:rFonts w:ascii="Arial" w:eastAsia="Times New Roman" w:hAnsi="Arial"/>
          <w:spacing w:val="2"/>
          <w:kern w:val="0"/>
          <w:lang w:eastAsia="es-419"/>
          <w14:ligatures w14:val="none"/>
        </w:rPr>
      </w:pPr>
      <w:r w:rsidRPr="00BA1984">
        <w:rPr>
          <w:rFonts w:ascii="Arial" w:eastAsia="Times New Roman" w:hAnsi="Arial"/>
          <w:b/>
          <w:bCs/>
          <w:spacing w:val="2"/>
          <w:kern w:val="0"/>
          <w:lang w:eastAsia="es-419"/>
          <w14:ligatures w14:val="none"/>
        </w:rPr>
        <w:t>DIRECCIÓN DE IMPUESTOS Y ADUANAS NACIONALES</w:t>
      </w:r>
    </w:p>
    <w:p w14:paraId="218B9773" w14:textId="77777777" w:rsidR="00BA1984" w:rsidRPr="00BA1984" w:rsidRDefault="00BA1984" w:rsidP="00BA1984">
      <w:pPr>
        <w:spacing w:after="240" w:line="480" w:lineRule="atLeast"/>
        <w:jc w:val="center"/>
        <w:rPr>
          <w:rFonts w:ascii="Arial" w:eastAsia="Times New Roman" w:hAnsi="Arial"/>
          <w:spacing w:val="2"/>
          <w:kern w:val="0"/>
          <w:lang w:eastAsia="es-419"/>
          <w14:ligatures w14:val="none"/>
        </w:rPr>
      </w:pPr>
      <w:r w:rsidRPr="00BA1984">
        <w:rPr>
          <w:rFonts w:ascii="Arial" w:eastAsia="Times New Roman" w:hAnsi="Arial"/>
          <w:spacing w:val="2"/>
          <w:kern w:val="0"/>
          <w:lang w:eastAsia="es-419"/>
          <w14:ligatures w14:val="none"/>
        </w:rPr>
        <w:t>Unidad Informática de Doctrina</w:t>
      </w:r>
    </w:p>
    <w:p w14:paraId="034B12E1" w14:textId="77777777" w:rsidR="00BA1984" w:rsidRDefault="00BA1984" w:rsidP="00BA1984">
      <w:pPr>
        <w:spacing w:after="240" w:line="480" w:lineRule="atLeast"/>
        <w:rPr>
          <w:rFonts w:ascii="Arial" w:eastAsia="Times New Roman" w:hAnsi="Arial"/>
          <w:spacing w:val="2"/>
          <w:kern w:val="0"/>
          <w:lang w:eastAsia="es-419"/>
          <w14:ligatures w14:val="none"/>
        </w:rPr>
      </w:pPr>
    </w:p>
    <w:p w14:paraId="033DC8FC" w14:textId="1E60D153" w:rsidR="00BA1984" w:rsidRPr="00BA1984" w:rsidRDefault="00BA1984" w:rsidP="00BA1984">
      <w:pPr>
        <w:spacing w:after="240" w:line="480" w:lineRule="atLeast"/>
        <w:rPr>
          <w:rFonts w:ascii="Arial" w:eastAsia="Times New Roman" w:hAnsi="Arial"/>
          <w:spacing w:val="2"/>
          <w:kern w:val="0"/>
          <w:lang w:eastAsia="es-419"/>
          <w14:ligatures w14:val="none"/>
        </w:rPr>
      </w:pPr>
      <w:r w:rsidRPr="00BA1984">
        <w:rPr>
          <w:rFonts w:ascii="Arial" w:eastAsia="Times New Roman" w:hAnsi="Arial"/>
          <w:spacing w:val="2"/>
          <w:kern w:val="0"/>
          <w:lang w:eastAsia="es-419"/>
          <w14:ligatures w14:val="none"/>
        </w:rPr>
        <w:t>Área del Derecho</w:t>
      </w:r>
    </w:p>
    <w:p w14:paraId="7454137B" w14:textId="77777777" w:rsidR="00BA1984" w:rsidRPr="00BA1984" w:rsidRDefault="00BA1984" w:rsidP="00BA1984">
      <w:pPr>
        <w:spacing w:line="480" w:lineRule="atLeast"/>
        <w:rPr>
          <w:rFonts w:ascii="Arial" w:eastAsia="Times New Roman" w:hAnsi="Arial"/>
          <w:spacing w:val="2"/>
          <w:kern w:val="0"/>
          <w:lang w:eastAsia="es-419"/>
          <w14:ligatures w14:val="none"/>
        </w:rPr>
      </w:pPr>
      <w:r w:rsidRPr="00BA1984">
        <w:rPr>
          <w:rFonts w:ascii="Arial" w:eastAsia="Times New Roman" w:hAnsi="Arial"/>
          <w:b/>
          <w:bCs/>
          <w:spacing w:val="2"/>
          <w:kern w:val="0"/>
          <w:lang w:eastAsia="es-419"/>
          <w14:ligatures w14:val="none"/>
        </w:rPr>
        <w:t>Tributario</w:t>
      </w:r>
    </w:p>
    <w:p w14:paraId="587C4EC5" w14:textId="77777777" w:rsidR="00BA1984" w:rsidRPr="00BA1984" w:rsidRDefault="00BA1984" w:rsidP="00BA1984">
      <w:pPr>
        <w:spacing w:after="240" w:line="480" w:lineRule="atLeast"/>
        <w:rPr>
          <w:rFonts w:ascii="Arial" w:eastAsia="Times New Roman" w:hAnsi="Arial"/>
          <w:spacing w:val="2"/>
          <w:kern w:val="0"/>
          <w:lang w:eastAsia="es-419"/>
          <w14:ligatures w14:val="none"/>
        </w:rPr>
      </w:pPr>
      <w:r w:rsidRPr="00BA1984">
        <w:rPr>
          <w:rFonts w:ascii="Arial" w:eastAsia="Times New Roman" w:hAnsi="Arial"/>
          <w:spacing w:val="2"/>
          <w:kern w:val="0"/>
          <w:lang w:eastAsia="es-419"/>
          <w14:ligatures w14:val="none"/>
        </w:rPr>
        <w:t>Banco de Datos</w:t>
      </w:r>
    </w:p>
    <w:p w14:paraId="33E6BA80" w14:textId="77777777" w:rsidR="00BA1984" w:rsidRPr="00BA1984" w:rsidRDefault="00BA1984" w:rsidP="00BA1984">
      <w:pPr>
        <w:spacing w:line="480" w:lineRule="atLeast"/>
        <w:rPr>
          <w:rFonts w:ascii="Arial" w:eastAsia="Times New Roman" w:hAnsi="Arial"/>
          <w:spacing w:val="2"/>
          <w:kern w:val="0"/>
          <w:lang w:eastAsia="es-419"/>
          <w14:ligatures w14:val="none"/>
        </w:rPr>
      </w:pPr>
      <w:r w:rsidRPr="00BA1984">
        <w:rPr>
          <w:rFonts w:ascii="Arial" w:eastAsia="Times New Roman" w:hAnsi="Arial"/>
          <w:b/>
          <w:bCs/>
          <w:spacing w:val="2"/>
          <w:kern w:val="0"/>
          <w:lang w:eastAsia="es-419"/>
          <w14:ligatures w14:val="none"/>
        </w:rPr>
        <w:t>Impuesto Sobre las Ventas - IVA</w:t>
      </w:r>
    </w:p>
    <w:p w14:paraId="358D9FA9" w14:textId="77777777" w:rsidR="00BA1984" w:rsidRPr="00BA1984" w:rsidRDefault="00BA1984" w:rsidP="00BA1984">
      <w:pPr>
        <w:spacing w:after="240" w:line="480" w:lineRule="atLeast"/>
        <w:rPr>
          <w:rFonts w:ascii="Arial" w:eastAsia="Times New Roman" w:hAnsi="Arial"/>
          <w:spacing w:val="2"/>
          <w:kern w:val="0"/>
          <w:lang w:eastAsia="es-419"/>
          <w14:ligatures w14:val="none"/>
        </w:rPr>
      </w:pPr>
      <w:r w:rsidRPr="00BA1984">
        <w:rPr>
          <w:rFonts w:ascii="Arial" w:eastAsia="Times New Roman" w:hAnsi="Arial"/>
          <w:spacing w:val="2"/>
          <w:kern w:val="0"/>
          <w:lang w:eastAsia="es-419"/>
          <w14:ligatures w14:val="none"/>
        </w:rPr>
        <w:t>Extracto</w:t>
      </w:r>
    </w:p>
    <w:p w14:paraId="1532E419" w14:textId="77777777" w:rsidR="00BA1984" w:rsidRPr="00BA1984" w:rsidRDefault="00BA1984" w:rsidP="00BA1984">
      <w:pPr>
        <w:spacing w:line="480" w:lineRule="atLeast"/>
        <w:rPr>
          <w:rFonts w:ascii="Arial" w:eastAsia="Times New Roman" w:hAnsi="Arial"/>
          <w:spacing w:val="2"/>
          <w:kern w:val="0"/>
          <w:lang w:eastAsia="es-419"/>
          <w14:ligatures w14:val="none"/>
        </w:rPr>
      </w:pPr>
      <w:r w:rsidRPr="00BA1984">
        <w:rPr>
          <w:rFonts w:ascii="Arial" w:eastAsia="Times New Roman" w:hAnsi="Arial"/>
          <w:spacing w:val="2"/>
          <w:kern w:val="0"/>
          <w:lang w:eastAsia="es-419"/>
          <w14:ligatures w14:val="none"/>
        </w:rPr>
        <w:t>Compete a este Despacho absolver las peticiones de reconsideración de la doctrina expedida por la Subdirección de Normativa y Doctrina de acuerdo con el artículo </w:t>
      </w:r>
      <w:hyperlink r:id="rId5" w:anchor="55" w:history="1">
        <w:r w:rsidRPr="00BA1984">
          <w:rPr>
            <w:rFonts w:ascii="Arial" w:eastAsia="Times New Roman" w:hAnsi="Arial"/>
            <w:color w:val="0000FF"/>
            <w:spacing w:val="2"/>
            <w:kern w:val="0"/>
            <w:u w:val="single"/>
            <w:lang w:eastAsia="es-419"/>
            <w14:ligatures w14:val="none"/>
          </w:rPr>
          <w:t>55</w:t>
        </w:r>
      </w:hyperlink>
      <w:r w:rsidRPr="00BA1984">
        <w:rPr>
          <w:rFonts w:ascii="Arial" w:eastAsia="Times New Roman" w:hAnsi="Arial"/>
          <w:spacing w:val="2"/>
          <w:kern w:val="0"/>
          <w:lang w:eastAsia="es-419"/>
          <w14:ligatures w14:val="none"/>
        </w:rPr>
        <w:t>(20) del Decreto 1742 de 2020.</w:t>
      </w:r>
    </w:p>
    <w:p w14:paraId="506AE101" w14:textId="77777777" w:rsidR="00BA1984" w:rsidRDefault="00BA1984" w:rsidP="00BA1984">
      <w:pPr>
        <w:spacing w:line="480" w:lineRule="atLeast"/>
        <w:rPr>
          <w:rFonts w:ascii="Arial" w:eastAsia="Times New Roman" w:hAnsi="Arial"/>
          <w:spacing w:val="2"/>
          <w:kern w:val="0"/>
          <w:lang w:eastAsia="es-419"/>
          <w14:ligatures w14:val="none"/>
        </w:rPr>
      </w:pPr>
    </w:p>
    <w:p w14:paraId="5C65546B" w14:textId="721FFE47" w:rsidR="00BA1984" w:rsidRPr="00BA1984" w:rsidRDefault="00BA1984" w:rsidP="00BA1984">
      <w:pPr>
        <w:spacing w:line="480" w:lineRule="atLeast"/>
        <w:rPr>
          <w:rFonts w:ascii="Arial" w:eastAsia="Times New Roman" w:hAnsi="Arial"/>
          <w:spacing w:val="2"/>
          <w:kern w:val="0"/>
          <w:lang w:eastAsia="es-419"/>
          <w14:ligatures w14:val="none"/>
        </w:rPr>
      </w:pPr>
      <w:r w:rsidRPr="00BA1984">
        <w:rPr>
          <w:rFonts w:ascii="Arial" w:eastAsia="Times New Roman" w:hAnsi="Arial"/>
          <w:spacing w:val="2"/>
          <w:kern w:val="0"/>
          <w:lang w:eastAsia="es-419"/>
          <w14:ligatures w14:val="none"/>
        </w:rPr>
        <w:t>El peticionario solicita la reconsideración de los Oficios 0</w:t>
      </w:r>
      <w:hyperlink r:id="rId6" w:anchor="0" w:history="1">
        <w:r w:rsidRPr="00BA1984">
          <w:rPr>
            <w:rFonts w:ascii="Arial" w:eastAsia="Times New Roman" w:hAnsi="Arial"/>
            <w:color w:val="0000FF"/>
            <w:spacing w:val="2"/>
            <w:kern w:val="0"/>
            <w:u w:val="single"/>
            <w:lang w:eastAsia="es-419"/>
            <w14:ligatures w14:val="none"/>
          </w:rPr>
          <w:t>31237</w:t>
        </w:r>
      </w:hyperlink>
      <w:r w:rsidRPr="00BA1984">
        <w:rPr>
          <w:rFonts w:ascii="Arial" w:eastAsia="Times New Roman" w:hAnsi="Arial"/>
          <w:spacing w:val="2"/>
          <w:kern w:val="0"/>
          <w:lang w:eastAsia="es-419"/>
          <w14:ligatures w14:val="none"/>
        </w:rPr>
        <w:t> de octubre 25 de 2018, 901534 de julio 26 de 2019 y 0</w:t>
      </w:r>
      <w:hyperlink r:id="rId7" w:anchor="0" w:history="1">
        <w:r w:rsidRPr="00BA1984">
          <w:rPr>
            <w:rFonts w:ascii="Arial" w:eastAsia="Times New Roman" w:hAnsi="Arial"/>
            <w:color w:val="0000FF"/>
            <w:spacing w:val="2"/>
            <w:kern w:val="0"/>
            <w:u w:val="single"/>
            <w:lang w:eastAsia="es-419"/>
            <w14:ligatures w14:val="none"/>
          </w:rPr>
          <w:t>24038</w:t>
        </w:r>
      </w:hyperlink>
      <w:r w:rsidRPr="00BA1984">
        <w:rPr>
          <w:rFonts w:ascii="Arial" w:eastAsia="Times New Roman" w:hAnsi="Arial"/>
          <w:spacing w:val="2"/>
          <w:kern w:val="0"/>
          <w:lang w:eastAsia="es-419"/>
          <w14:ligatures w14:val="none"/>
        </w:rPr>
        <w:t> de septiembre 24 de 2019 que se refieren a la exclusión del IVA de ciertos computadores. En criterio del peticionario, estos oficios implican un trato discriminatorio entre el consumidor que importa directamente y quien adquiere el bien de un comercializador. De otra parte, sostiene que los argumentos plasmados en la Sentencia </w:t>
      </w:r>
      <w:hyperlink r:id="rId8" w:anchor="0" w:history="1">
        <w:r w:rsidRPr="00BA1984">
          <w:rPr>
            <w:rFonts w:ascii="Arial" w:eastAsia="Times New Roman" w:hAnsi="Arial"/>
            <w:color w:val="0000FF"/>
            <w:spacing w:val="2"/>
            <w:kern w:val="0"/>
            <w:u w:val="single"/>
            <w:lang w:eastAsia="es-419"/>
            <w14:ligatures w14:val="none"/>
          </w:rPr>
          <w:t>16798</w:t>
        </w:r>
      </w:hyperlink>
      <w:r w:rsidRPr="00BA1984">
        <w:rPr>
          <w:rFonts w:ascii="Arial" w:eastAsia="Times New Roman" w:hAnsi="Arial"/>
          <w:spacing w:val="2"/>
          <w:kern w:val="0"/>
          <w:lang w:eastAsia="es-419"/>
          <w14:ligatures w14:val="none"/>
        </w:rPr>
        <w:t> del 10 de febrero del Consejo de Estado son suficientes para que se interprete que entre la derogatoria del Decreto </w:t>
      </w:r>
      <w:hyperlink r:id="rId9" w:anchor="0" w:history="1">
        <w:r w:rsidRPr="00BA1984">
          <w:rPr>
            <w:rFonts w:ascii="Arial" w:eastAsia="Times New Roman" w:hAnsi="Arial"/>
            <w:color w:val="0000FF"/>
            <w:spacing w:val="2"/>
            <w:kern w:val="0"/>
            <w:u w:val="single"/>
            <w:lang w:eastAsia="es-419"/>
            <w14:ligatures w14:val="none"/>
          </w:rPr>
          <w:t>379</w:t>
        </w:r>
      </w:hyperlink>
      <w:r w:rsidRPr="00BA1984">
        <w:rPr>
          <w:rFonts w:ascii="Arial" w:eastAsia="Times New Roman" w:hAnsi="Arial"/>
          <w:spacing w:val="2"/>
          <w:kern w:val="0"/>
          <w:lang w:eastAsia="es-419"/>
          <w14:ligatures w14:val="none"/>
        </w:rPr>
        <w:t> de 2007 y la expedición del Decreto </w:t>
      </w:r>
      <w:hyperlink r:id="rId10" w:anchor="0" w:history="1">
        <w:r w:rsidRPr="00BA1984">
          <w:rPr>
            <w:rFonts w:ascii="Arial" w:eastAsia="Times New Roman" w:hAnsi="Arial"/>
            <w:color w:val="0000FF"/>
            <w:spacing w:val="2"/>
            <w:kern w:val="0"/>
            <w:u w:val="single"/>
            <w:lang w:eastAsia="es-419"/>
            <w14:ligatures w14:val="none"/>
          </w:rPr>
          <w:t>478</w:t>
        </w:r>
      </w:hyperlink>
      <w:r w:rsidRPr="00BA1984">
        <w:rPr>
          <w:rFonts w:ascii="Arial" w:eastAsia="Times New Roman" w:hAnsi="Arial"/>
          <w:spacing w:val="2"/>
          <w:kern w:val="0"/>
          <w:lang w:eastAsia="es-419"/>
          <w14:ligatures w14:val="none"/>
        </w:rPr>
        <w:t> de 2020, el valor de referencia del artículo </w:t>
      </w:r>
      <w:hyperlink r:id="rId11" w:anchor="424" w:history="1">
        <w:r w:rsidRPr="00BA1984">
          <w:rPr>
            <w:rFonts w:ascii="Arial" w:eastAsia="Times New Roman" w:hAnsi="Arial"/>
            <w:color w:val="0000FF"/>
            <w:spacing w:val="2"/>
            <w:kern w:val="0"/>
            <w:u w:val="single"/>
            <w:lang w:eastAsia="es-419"/>
            <w14:ligatures w14:val="none"/>
          </w:rPr>
          <w:t>424</w:t>
        </w:r>
      </w:hyperlink>
      <w:r w:rsidRPr="00BA1984">
        <w:rPr>
          <w:rFonts w:ascii="Arial" w:eastAsia="Times New Roman" w:hAnsi="Arial"/>
          <w:spacing w:val="2"/>
          <w:kern w:val="0"/>
          <w:lang w:eastAsia="es-419"/>
          <w14:ligatures w14:val="none"/>
        </w:rPr>
        <w:t xml:space="preserve">(5) del </w:t>
      </w:r>
      <w:r w:rsidRPr="00BA1984">
        <w:rPr>
          <w:rFonts w:ascii="Arial" w:eastAsia="Times New Roman" w:hAnsi="Arial"/>
          <w:spacing w:val="2"/>
          <w:kern w:val="0"/>
          <w:lang w:eastAsia="es-419"/>
          <w14:ligatures w14:val="none"/>
        </w:rPr>
        <w:lastRenderedPageBreak/>
        <w:t xml:space="preserve">Estatuto Tributario aplica en la venta cuando el valor en aduanas del bien no supere el monto en </w:t>
      </w:r>
      <w:proofErr w:type="spellStart"/>
      <w:r w:rsidRPr="00BA1984">
        <w:rPr>
          <w:rFonts w:ascii="Arial" w:eastAsia="Times New Roman" w:hAnsi="Arial"/>
          <w:spacing w:val="2"/>
          <w:kern w:val="0"/>
          <w:lang w:eastAsia="es-419"/>
          <w14:ligatures w14:val="none"/>
        </w:rPr>
        <w:t>UVT</w:t>
      </w:r>
      <w:proofErr w:type="spellEnd"/>
      <w:r w:rsidRPr="00BA1984">
        <w:rPr>
          <w:rFonts w:ascii="Arial" w:eastAsia="Times New Roman" w:hAnsi="Arial"/>
          <w:spacing w:val="2"/>
          <w:kern w:val="0"/>
          <w:lang w:eastAsia="es-419"/>
          <w14:ligatures w14:val="none"/>
        </w:rPr>
        <w:t xml:space="preserve"> allí establecido.</w:t>
      </w:r>
    </w:p>
    <w:p w14:paraId="4B395E81" w14:textId="77777777" w:rsidR="00BA1984" w:rsidRDefault="00BA1984" w:rsidP="00BA1984">
      <w:pPr>
        <w:spacing w:after="240" w:line="480" w:lineRule="atLeast"/>
        <w:rPr>
          <w:rFonts w:ascii="Arial" w:eastAsia="Times New Roman" w:hAnsi="Arial"/>
          <w:spacing w:val="2"/>
          <w:kern w:val="0"/>
          <w:lang w:eastAsia="es-419"/>
          <w14:ligatures w14:val="none"/>
        </w:rPr>
      </w:pPr>
    </w:p>
    <w:p w14:paraId="366475B2" w14:textId="2F46D3D5" w:rsidR="00BA1984" w:rsidRPr="00BA1984" w:rsidRDefault="00BA1984" w:rsidP="00BA1984">
      <w:pPr>
        <w:spacing w:after="240" w:line="480" w:lineRule="atLeast"/>
        <w:rPr>
          <w:rFonts w:ascii="Arial" w:eastAsia="Times New Roman" w:hAnsi="Arial"/>
          <w:spacing w:val="2"/>
          <w:kern w:val="0"/>
          <w:lang w:eastAsia="es-419"/>
          <w14:ligatures w14:val="none"/>
        </w:rPr>
      </w:pPr>
      <w:r w:rsidRPr="00BA1984">
        <w:rPr>
          <w:rFonts w:ascii="Arial" w:eastAsia="Times New Roman" w:hAnsi="Arial"/>
          <w:spacing w:val="2"/>
          <w:kern w:val="0"/>
          <w:lang w:eastAsia="es-419"/>
          <w14:ligatures w14:val="none"/>
        </w:rPr>
        <w:t>En los pronunciamientos objeto de disenso, se indicó:</w:t>
      </w:r>
    </w:p>
    <w:p w14:paraId="47040BEC" w14:textId="77777777" w:rsidR="00BA1984" w:rsidRPr="00BA1984" w:rsidRDefault="00BA1984" w:rsidP="00BA1984">
      <w:pPr>
        <w:spacing w:line="480" w:lineRule="atLeast"/>
        <w:rPr>
          <w:rFonts w:ascii="Arial" w:eastAsia="Times New Roman" w:hAnsi="Arial"/>
          <w:spacing w:val="2"/>
          <w:kern w:val="0"/>
          <w:lang w:eastAsia="es-419"/>
          <w14:ligatures w14:val="none"/>
        </w:rPr>
      </w:pPr>
      <w:r w:rsidRPr="00BA1984">
        <w:rPr>
          <w:rFonts w:ascii="Arial" w:eastAsia="Times New Roman" w:hAnsi="Arial"/>
          <w:b/>
          <w:bCs/>
          <w:spacing w:val="2"/>
          <w:kern w:val="0"/>
          <w:lang w:eastAsia="es-419"/>
          <w14:ligatures w14:val="none"/>
        </w:rPr>
        <w:t>Oficio 0</w:t>
      </w:r>
      <w:hyperlink r:id="rId12" w:anchor="0" w:history="1">
        <w:r w:rsidRPr="00BA1984">
          <w:rPr>
            <w:rFonts w:ascii="Arial" w:eastAsia="Times New Roman" w:hAnsi="Arial"/>
            <w:color w:val="0000FF"/>
            <w:spacing w:val="2"/>
            <w:kern w:val="0"/>
            <w:u w:val="single"/>
            <w:lang w:eastAsia="es-419"/>
            <w14:ligatures w14:val="none"/>
          </w:rPr>
          <w:t>31237</w:t>
        </w:r>
      </w:hyperlink>
      <w:r w:rsidRPr="00BA1984">
        <w:rPr>
          <w:rFonts w:ascii="Arial" w:eastAsia="Times New Roman" w:hAnsi="Arial"/>
          <w:b/>
          <w:bCs/>
          <w:spacing w:val="2"/>
          <w:kern w:val="0"/>
          <w:lang w:eastAsia="es-419"/>
          <w14:ligatures w14:val="none"/>
        </w:rPr>
        <w:t> de octubre 25 de 2018 (...)</w:t>
      </w:r>
    </w:p>
    <w:p w14:paraId="56238F9A" w14:textId="77777777" w:rsidR="00BA1984" w:rsidRDefault="00BA1984" w:rsidP="00BA1984">
      <w:pPr>
        <w:spacing w:line="480" w:lineRule="atLeast"/>
        <w:rPr>
          <w:rFonts w:ascii="Arial" w:eastAsia="Times New Roman" w:hAnsi="Arial"/>
          <w:spacing w:val="2"/>
          <w:kern w:val="0"/>
          <w:lang w:eastAsia="es-419"/>
          <w14:ligatures w14:val="none"/>
        </w:rPr>
      </w:pPr>
    </w:p>
    <w:p w14:paraId="014A49E9" w14:textId="6F7E2A24" w:rsidR="00BA1984" w:rsidRPr="00BA1984" w:rsidRDefault="00BA1984" w:rsidP="00BA1984">
      <w:pPr>
        <w:spacing w:line="480" w:lineRule="atLeast"/>
        <w:rPr>
          <w:rFonts w:ascii="Arial" w:eastAsia="Times New Roman" w:hAnsi="Arial"/>
          <w:spacing w:val="2"/>
          <w:kern w:val="0"/>
          <w:lang w:eastAsia="es-419"/>
          <w14:ligatures w14:val="none"/>
        </w:rPr>
      </w:pPr>
      <w:r w:rsidRPr="00BA1984">
        <w:rPr>
          <w:rFonts w:ascii="Arial" w:eastAsia="Times New Roman" w:hAnsi="Arial"/>
          <w:spacing w:val="2"/>
          <w:kern w:val="0"/>
          <w:lang w:eastAsia="es-419"/>
          <w14:ligatures w14:val="none"/>
        </w:rPr>
        <w:t>.- Mediante oficio 00</w:t>
      </w:r>
      <w:hyperlink r:id="rId13" w:anchor="0" w:history="1">
        <w:r w:rsidRPr="00BA1984">
          <w:rPr>
            <w:rFonts w:ascii="Arial" w:eastAsia="Times New Roman" w:hAnsi="Arial"/>
            <w:color w:val="0000FF"/>
            <w:spacing w:val="2"/>
            <w:kern w:val="0"/>
            <w:u w:val="single"/>
            <w:lang w:eastAsia="es-419"/>
            <w14:ligatures w14:val="none"/>
          </w:rPr>
          <w:t>5989</w:t>
        </w:r>
      </w:hyperlink>
      <w:r w:rsidRPr="00BA1984">
        <w:rPr>
          <w:rFonts w:ascii="Arial" w:eastAsia="Times New Roman" w:hAnsi="Arial"/>
          <w:spacing w:val="2"/>
          <w:kern w:val="0"/>
          <w:lang w:eastAsia="es-419"/>
          <w14:ligatures w14:val="none"/>
        </w:rPr>
        <w:t> de 17 de marzo de 2017 se explicó acerca de la reglamentación contenida en Decretos </w:t>
      </w:r>
      <w:hyperlink r:id="rId14" w:anchor="0" w:history="1">
        <w:r w:rsidRPr="00BA1984">
          <w:rPr>
            <w:rFonts w:ascii="Arial" w:eastAsia="Times New Roman" w:hAnsi="Arial"/>
            <w:color w:val="0000FF"/>
            <w:spacing w:val="2"/>
            <w:kern w:val="0"/>
            <w:u w:val="single"/>
            <w:lang w:eastAsia="es-419"/>
            <w14:ligatures w14:val="none"/>
          </w:rPr>
          <w:t>567</w:t>
        </w:r>
      </w:hyperlink>
      <w:r w:rsidRPr="00BA1984">
        <w:rPr>
          <w:rFonts w:ascii="Arial" w:eastAsia="Times New Roman" w:hAnsi="Arial"/>
          <w:spacing w:val="2"/>
          <w:kern w:val="0"/>
          <w:lang w:eastAsia="es-419"/>
          <w14:ligatures w14:val="none"/>
        </w:rPr>
        <w:t> de 2007 y </w:t>
      </w:r>
      <w:hyperlink r:id="rId15" w:anchor="0" w:history="1">
        <w:r w:rsidRPr="00BA1984">
          <w:rPr>
            <w:rFonts w:ascii="Arial" w:eastAsia="Times New Roman" w:hAnsi="Arial"/>
            <w:color w:val="0000FF"/>
            <w:spacing w:val="2"/>
            <w:kern w:val="0"/>
            <w:u w:val="single"/>
            <w:lang w:eastAsia="es-419"/>
            <w14:ligatures w14:val="none"/>
          </w:rPr>
          <w:t>379</w:t>
        </w:r>
      </w:hyperlink>
      <w:r w:rsidRPr="00BA1984">
        <w:rPr>
          <w:rFonts w:ascii="Arial" w:eastAsia="Times New Roman" w:hAnsi="Arial"/>
          <w:spacing w:val="2"/>
          <w:kern w:val="0"/>
          <w:lang w:eastAsia="es-419"/>
          <w14:ligatures w14:val="none"/>
        </w:rPr>
        <w:t> de 2007; anteriores al Decreto Único Reglamentario Tributario </w:t>
      </w:r>
      <w:hyperlink r:id="rId16" w:anchor="0" w:history="1">
        <w:r w:rsidRPr="00BA1984">
          <w:rPr>
            <w:rFonts w:ascii="Arial" w:eastAsia="Times New Roman" w:hAnsi="Arial"/>
            <w:color w:val="0000FF"/>
            <w:spacing w:val="2"/>
            <w:kern w:val="0"/>
            <w:u w:val="single"/>
            <w:lang w:eastAsia="es-419"/>
            <w14:ligatures w14:val="none"/>
          </w:rPr>
          <w:t>1625</w:t>
        </w:r>
      </w:hyperlink>
      <w:r w:rsidRPr="00BA1984">
        <w:rPr>
          <w:rFonts w:ascii="Arial" w:eastAsia="Times New Roman" w:hAnsi="Arial"/>
          <w:spacing w:val="2"/>
          <w:kern w:val="0"/>
          <w:lang w:eastAsia="es-419"/>
          <w14:ligatures w14:val="none"/>
        </w:rPr>
        <w:t xml:space="preserve"> de 2016 y la vigencia de los oficios proferidos con anterioridad a la entrada en vigencia del </w:t>
      </w:r>
      <w:proofErr w:type="spellStart"/>
      <w:r w:rsidRPr="00BA1984">
        <w:rPr>
          <w:rFonts w:ascii="Arial" w:eastAsia="Times New Roman" w:hAnsi="Arial"/>
          <w:spacing w:val="2"/>
          <w:kern w:val="0"/>
          <w:lang w:eastAsia="es-419"/>
          <w14:ligatures w14:val="none"/>
        </w:rPr>
        <w:t>DUR</w:t>
      </w:r>
      <w:proofErr w:type="spellEnd"/>
      <w:r w:rsidRPr="00BA1984">
        <w:rPr>
          <w:rFonts w:ascii="Arial" w:eastAsia="Times New Roman" w:hAnsi="Arial"/>
          <w:spacing w:val="2"/>
          <w:kern w:val="0"/>
          <w:lang w:eastAsia="es-419"/>
          <w14:ligatures w14:val="none"/>
        </w:rPr>
        <w:t xml:space="preserve"> citado. Los apartes pertinentes expresan:</w:t>
      </w:r>
    </w:p>
    <w:p w14:paraId="4C422ADA" w14:textId="77777777" w:rsidR="00BA1984" w:rsidRDefault="00BA1984" w:rsidP="00BA1984">
      <w:pPr>
        <w:spacing w:line="480" w:lineRule="atLeast"/>
        <w:rPr>
          <w:rFonts w:ascii="Arial" w:eastAsia="Times New Roman" w:hAnsi="Arial"/>
          <w:spacing w:val="2"/>
          <w:kern w:val="0"/>
          <w:lang w:eastAsia="es-419"/>
          <w14:ligatures w14:val="none"/>
        </w:rPr>
      </w:pPr>
    </w:p>
    <w:p w14:paraId="1A0215B6" w14:textId="72EB69AE" w:rsidR="00BA1984" w:rsidRPr="00BA1984" w:rsidRDefault="00BA1984" w:rsidP="00BA1984">
      <w:pPr>
        <w:spacing w:line="480" w:lineRule="atLeast"/>
        <w:rPr>
          <w:rFonts w:ascii="Arial" w:eastAsia="Times New Roman" w:hAnsi="Arial"/>
          <w:spacing w:val="2"/>
          <w:kern w:val="0"/>
          <w:lang w:eastAsia="es-419"/>
          <w14:ligatures w14:val="none"/>
        </w:rPr>
      </w:pPr>
      <w:r w:rsidRPr="00BA1984">
        <w:rPr>
          <w:rFonts w:ascii="Arial" w:eastAsia="Times New Roman" w:hAnsi="Arial"/>
          <w:spacing w:val="2"/>
          <w:kern w:val="0"/>
          <w:lang w:eastAsia="es-419"/>
          <w14:ligatures w14:val="none"/>
        </w:rPr>
        <w:t>(...) es válido preguntarse si la citada reglamentación y doctrina están vigentes, teniendo en cuenta que la modificación que trajo la Ley </w:t>
      </w:r>
      <w:hyperlink r:id="rId17" w:anchor="0" w:history="1">
        <w:r w:rsidRPr="00BA1984">
          <w:rPr>
            <w:rFonts w:ascii="Arial" w:eastAsia="Times New Roman" w:hAnsi="Arial"/>
            <w:color w:val="0000FF"/>
            <w:spacing w:val="2"/>
            <w:kern w:val="0"/>
            <w:u w:val="single"/>
            <w:lang w:eastAsia="es-419"/>
            <w14:ligatures w14:val="none"/>
          </w:rPr>
          <w:t>1819</w:t>
        </w:r>
      </w:hyperlink>
      <w:r w:rsidRPr="00BA1984">
        <w:rPr>
          <w:rFonts w:ascii="Arial" w:eastAsia="Times New Roman" w:hAnsi="Arial"/>
          <w:spacing w:val="2"/>
          <w:kern w:val="0"/>
          <w:lang w:eastAsia="es-419"/>
          <w14:ligatures w14:val="none"/>
        </w:rPr>
        <w:t xml:space="preserve"> de 2016 consistió en reducir el valor de las </w:t>
      </w:r>
      <w:proofErr w:type="spellStart"/>
      <w:r w:rsidRPr="00BA1984">
        <w:rPr>
          <w:rFonts w:ascii="Arial" w:eastAsia="Times New Roman" w:hAnsi="Arial"/>
          <w:spacing w:val="2"/>
          <w:kern w:val="0"/>
          <w:lang w:eastAsia="es-419"/>
          <w14:ligatures w14:val="none"/>
        </w:rPr>
        <w:t>UVT</w:t>
      </w:r>
      <w:proofErr w:type="spellEnd"/>
      <w:r w:rsidRPr="00BA1984">
        <w:rPr>
          <w:rFonts w:ascii="Arial" w:eastAsia="Times New Roman" w:hAnsi="Arial"/>
          <w:spacing w:val="2"/>
          <w:kern w:val="0"/>
          <w:lang w:eastAsia="es-419"/>
          <w14:ligatures w14:val="none"/>
        </w:rPr>
        <w:t xml:space="preserve"> de 82 a 50 de los computadores personales de escritorio o portátiles, para efectos de la exclusión del impuesto sobre las ventas.</w:t>
      </w:r>
    </w:p>
    <w:p w14:paraId="4ACBFBA2" w14:textId="77777777" w:rsidR="00BA1984" w:rsidRDefault="00BA1984" w:rsidP="00BA1984">
      <w:pPr>
        <w:spacing w:line="480" w:lineRule="atLeast"/>
        <w:rPr>
          <w:rFonts w:ascii="Arial" w:eastAsia="Times New Roman" w:hAnsi="Arial"/>
          <w:spacing w:val="2"/>
          <w:kern w:val="0"/>
          <w:lang w:eastAsia="es-419"/>
          <w14:ligatures w14:val="none"/>
        </w:rPr>
      </w:pPr>
    </w:p>
    <w:p w14:paraId="5D07A515" w14:textId="2172C3BD" w:rsidR="00BA1984" w:rsidRPr="00BA1984" w:rsidRDefault="00BA1984" w:rsidP="00BA1984">
      <w:pPr>
        <w:spacing w:line="480" w:lineRule="atLeast"/>
        <w:rPr>
          <w:rFonts w:ascii="Arial" w:eastAsia="Times New Roman" w:hAnsi="Arial"/>
          <w:spacing w:val="2"/>
          <w:kern w:val="0"/>
          <w:lang w:eastAsia="es-419"/>
          <w14:ligatures w14:val="none"/>
        </w:rPr>
      </w:pPr>
      <w:r w:rsidRPr="00BA1984">
        <w:rPr>
          <w:rFonts w:ascii="Arial" w:eastAsia="Times New Roman" w:hAnsi="Arial"/>
          <w:spacing w:val="2"/>
          <w:kern w:val="0"/>
          <w:lang w:eastAsia="es-419"/>
          <w14:ligatures w14:val="none"/>
        </w:rPr>
        <w:t>Para este Despacho la respuesta es </w:t>
      </w:r>
      <w:r w:rsidRPr="00BA1984">
        <w:rPr>
          <w:rFonts w:ascii="Arial" w:eastAsia="Times New Roman" w:hAnsi="Arial"/>
          <w:spacing w:val="2"/>
          <w:kern w:val="0"/>
          <w:u w:val="single"/>
          <w:lang w:eastAsia="es-419"/>
          <w14:ligatures w14:val="none"/>
        </w:rPr>
        <w:t>negativa en razón a que los artículos artículo </w:t>
      </w:r>
      <w:hyperlink r:id="rId18" w:anchor="5" w:history="1">
        <w:r w:rsidRPr="00BA1984">
          <w:rPr>
            <w:rFonts w:ascii="Arial" w:eastAsia="Times New Roman" w:hAnsi="Arial"/>
            <w:color w:val="0000FF"/>
            <w:spacing w:val="2"/>
            <w:kern w:val="0"/>
            <w:u w:val="single"/>
            <w:lang w:eastAsia="es-419"/>
            <w14:ligatures w14:val="none"/>
          </w:rPr>
          <w:t>5o</w:t>
        </w:r>
      </w:hyperlink>
      <w:r w:rsidRPr="00BA1984">
        <w:rPr>
          <w:rFonts w:ascii="Arial" w:eastAsia="Times New Roman" w:hAnsi="Arial"/>
          <w:spacing w:val="2"/>
          <w:kern w:val="0"/>
          <w:u w:val="single"/>
          <w:lang w:eastAsia="es-419"/>
          <w14:ligatures w14:val="none"/>
        </w:rPr>
        <w:t> y </w:t>
      </w:r>
      <w:hyperlink r:id="rId19" w:anchor="1" w:history="1">
        <w:r w:rsidRPr="00BA1984">
          <w:rPr>
            <w:rFonts w:ascii="Arial" w:eastAsia="Times New Roman" w:hAnsi="Arial"/>
            <w:color w:val="0000FF"/>
            <w:spacing w:val="2"/>
            <w:kern w:val="0"/>
            <w:u w:val="single"/>
            <w:lang w:eastAsia="es-419"/>
            <w14:ligatures w14:val="none"/>
          </w:rPr>
          <w:t>1o</w:t>
        </w:r>
      </w:hyperlink>
      <w:r w:rsidRPr="00BA1984">
        <w:rPr>
          <w:rFonts w:ascii="Arial" w:eastAsia="Times New Roman" w:hAnsi="Arial"/>
          <w:spacing w:val="2"/>
          <w:kern w:val="0"/>
          <w:u w:val="single"/>
          <w:lang w:eastAsia="es-419"/>
          <w14:ligatures w14:val="none"/>
        </w:rPr>
        <w:t> de los decretos 567 de 2007 y </w:t>
      </w:r>
      <w:hyperlink r:id="rId20" w:anchor="0" w:history="1">
        <w:r w:rsidRPr="00BA1984">
          <w:rPr>
            <w:rFonts w:ascii="Arial" w:eastAsia="Times New Roman" w:hAnsi="Arial"/>
            <w:color w:val="0000FF"/>
            <w:spacing w:val="2"/>
            <w:kern w:val="0"/>
            <w:u w:val="single"/>
            <w:lang w:eastAsia="es-419"/>
            <w14:ligatures w14:val="none"/>
          </w:rPr>
          <w:t>379</w:t>
        </w:r>
      </w:hyperlink>
      <w:r w:rsidRPr="00BA1984">
        <w:rPr>
          <w:rFonts w:ascii="Arial" w:eastAsia="Times New Roman" w:hAnsi="Arial"/>
          <w:spacing w:val="2"/>
          <w:kern w:val="0"/>
          <w:u w:val="single"/>
          <w:lang w:eastAsia="es-419"/>
          <w14:ligatures w14:val="none"/>
        </w:rPr>
        <w:t> de 2007 respectivamente, no fueron compilados en el Decreto </w:t>
      </w:r>
      <w:hyperlink r:id="rId21" w:anchor="0" w:history="1">
        <w:r w:rsidRPr="00BA1984">
          <w:rPr>
            <w:rFonts w:ascii="Arial" w:eastAsia="Times New Roman" w:hAnsi="Arial"/>
            <w:color w:val="0000FF"/>
            <w:spacing w:val="2"/>
            <w:kern w:val="0"/>
            <w:u w:val="single"/>
            <w:lang w:eastAsia="es-419"/>
            <w14:ligatures w14:val="none"/>
          </w:rPr>
          <w:t>1625</w:t>
        </w:r>
      </w:hyperlink>
      <w:r w:rsidRPr="00BA1984">
        <w:rPr>
          <w:rFonts w:ascii="Arial" w:eastAsia="Times New Roman" w:hAnsi="Arial"/>
          <w:spacing w:val="2"/>
          <w:kern w:val="0"/>
          <w:u w:val="single"/>
          <w:lang w:eastAsia="es-419"/>
          <w14:ligatures w14:val="none"/>
        </w:rPr>
        <w:t> de 2016</w:t>
      </w:r>
      <w:r w:rsidRPr="00BA1984">
        <w:rPr>
          <w:rFonts w:ascii="Arial" w:eastAsia="Times New Roman" w:hAnsi="Arial"/>
          <w:spacing w:val="2"/>
          <w:kern w:val="0"/>
          <w:lang w:eastAsia="es-419"/>
          <w14:ligatures w14:val="none"/>
        </w:rPr>
        <w:t> (...) situación que implica su derogatoria (...)</w:t>
      </w:r>
    </w:p>
    <w:p w14:paraId="0955044A" w14:textId="77777777" w:rsidR="00BA1984" w:rsidRPr="00BA1984" w:rsidRDefault="00BA1984" w:rsidP="00BA1984">
      <w:pPr>
        <w:spacing w:after="240" w:line="480" w:lineRule="atLeast"/>
        <w:rPr>
          <w:rFonts w:ascii="Arial" w:eastAsia="Times New Roman" w:hAnsi="Arial"/>
          <w:spacing w:val="2"/>
          <w:kern w:val="0"/>
          <w:lang w:eastAsia="es-419"/>
          <w14:ligatures w14:val="none"/>
        </w:rPr>
      </w:pPr>
      <w:r w:rsidRPr="00BA1984">
        <w:rPr>
          <w:rFonts w:ascii="Arial" w:eastAsia="Times New Roman" w:hAnsi="Arial"/>
          <w:spacing w:val="2"/>
          <w:kern w:val="0"/>
          <w:lang w:eastAsia="es-419"/>
          <w14:ligatures w14:val="none"/>
        </w:rPr>
        <w:t>(...)</w:t>
      </w:r>
    </w:p>
    <w:p w14:paraId="1D924B06" w14:textId="77777777" w:rsidR="00BA1984" w:rsidRPr="00BA1984" w:rsidRDefault="00BA1984" w:rsidP="00BA1984">
      <w:pPr>
        <w:spacing w:line="480" w:lineRule="atLeast"/>
        <w:rPr>
          <w:rFonts w:ascii="Arial" w:eastAsia="Times New Roman" w:hAnsi="Arial"/>
          <w:spacing w:val="2"/>
          <w:kern w:val="0"/>
          <w:lang w:eastAsia="es-419"/>
          <w14:ligatures w14:val="none"/>
        </w:rPr>
      </w:pPr>
      <w:r w:rsidRPr="00BA1984">
        <w:rPr>
          <w:rFonts w:ascii="Arial" w:eastAsia="Times New Roman" w:hAnsi="Arial"/>
          <w:spacing w:val="2"/>
          <w:kern w:val="0"/>
          <w:lang w:eastAsia="es-419"/>
          <w14:ligatures w14:val="none"/>
        </w:rPr>
        <w:t>Así las cosas, para efectos de la exclusión contenida en el artículo </w:t>
      </w:r>
      <w:hyperlink r:id="rId22" w:anchor="424" w:history="1">
        <w:r w:rsidRPr="00BA1984">
          <w:rPr>
            <w:rFonts w:ascii="Arial" w:eastAsia="Times New Roman" w:hAnsi="Arial"/>
            <w:color w:val="0000FF"/>
            <w:spacing w:val="2"/>
            <w:kern w:val="0"/>
            <w:u w:val="single"/>
            <w:lang w:eastAsia="es-419"/>
            <w14:ligatures w14:val="none"/>
          </w:rPr>
          <w:t>424</w:t>
        </w:r>
      </w:hyperlink>
      <w:r w:rsidRPr="00BA1984">
        <w:rPr>
          <w:rFonts w:ascii="Arial" w:eastAsia="Times New Roman" w:hAnsi="Arial"/>
          <w:spacing w:val="2"/>
          <w:kern w:val="0"/>
          <w:lang w:eastAsia="es-419"/>
          <w14:ligatures w14:val="none"/>
        </w:rPr>
        <w:t> del Estatuto Tributario respecto de los computadores personales de escritorio o portátiles, </w:t>
      </w:r>
      <w:r w:rsidRPr="00BA1984">
        <w:rPr>
          <w:rFonts w:ascii="Arial" w:eastAsia="Times New Roman" w:hAnsi="Arial"/>
          <w:spacing w:val="2"/>
          <w:kern w:val="0"/>
          <w:u w:val="single"/>
          <w:lang w:eastAsia="es-419"/>
          <w14:ligatures w14:val="none"/>
        </w:rPr>
        <w:t>es necesario estar sujetos a la reglamentación que para estos efectos emita el Gobierno Nacional</w:t>
      </w:r>
      <w:r w:rsidRPr="00BA1984">
        <w:rPr>
          <w:rFonts w:ascii="Arial" w:eastAsia="Times New Roman" w:hAnsi="Arial"/>
          <w:spacing w:val="2"/>
          <w:kern w:val="0"/>
          <w:lang w:eastAsia="es-419"/>
          <w14:ligatures w14:val="none"/>
        </w:rPr>
        <w:t> y sobre este base se emitirá la correspondiente doctrina.</w:t>
      </w:r>
    </w:p>
    <w:p w14:paraId="10375DDC" w14:textId="77777777" w:rsidR="00BA1984" w:rsidRDefault="00BA1984" w:rsidP="00BA1984">
      <w:pPr>
        <w:spacing w:line="480" w:lineRule="atLeast"/>
        <w:rPr>
          <w:rFonts w:ascii="Arial" w:eastAsia="Times New Roman" w:hAnsi="Arial"/>
          <w:spacing w:val="2"/>
          <w:kern w:val="0"/>
          <w:lang w:eastAsia="es-419"/>
          <w14:ligatures w14:val="none"/>
        </w:rPr>
      </w:pPr>
    </w:p>
    <w:p w14:paraId="1054EB3E" w14:textId="0E8144C1" w:rsidR="00BA1984" w:rsidRPr="00BA1984" w:rsidRDefault="00BA1984" w:rsidP="00BA1984">
      <w:pPr>
        <w:spacing w:line="480" w:lineRule="atLeast"/>
        <w:rPr>
          <w:rFonts w:ascii="Arial" w:eastAsia="Times New Roman" w:hAnsi="Arial"/>
          <w:spacing w:val="2"/>
          <w:kern w:val="0"/>
          <w:lang w:eastAsia="es-419"/>
          <w14:ligatures w14:val="none"/>
        </w:rPr>
      </w:pPr>
      <w:r w:rsidRPr="00BA1984">
        <w:rPr>
          <w:rFonts w:ascii="Arial" w:eastAsia="Times New Roman" w:hAnsi="Arial"/>
          <w:spacing w:val="2"/>
          <w:kern w:val="0"/>
          <w:lang w:eastAsia="es-419"/>
          <w14:ligatures w14:val="none"/>
        </w:rPr>
        <w:t>.- En el oficio 00</w:t>
      </w:r>
      <w:hyperlink r:id="rId23" w:anchor="0" w:history="1">
        <w:r w:rsidRPr="00BA1984">
          <w:rPr>
            <w:rFonts w:ascii="Arial" w:eastAsia="Times New Roman" w:hAnsi="Arial"/>
            <w:color w:val="0000FF"/>
            <w:spacing w:val="2"/>
            <w:kern w:val="0"/>
            <w:u w:val="single"/>
            <w:lang w:eastAsia="es-419"/>
            <w14:ligatures w14:val="none"/>
          </w:rPr>
          <w:t>6410</w:t>
        </w:r>
      </w:hyperlink>
      <w:r w:rsidRPr="00BA1984">
        <w:rPr>
          <w:rFonts w:ascii="Arial" w:eastAsia="Times New Roman" w:hAnsi="Arial"/>
          <w:spacing w:val="2"/>
          <w:kern w:val="0"/>
          <w:lang w:eastAsia="es-419"/>
          <w14:ligatures w14:val="none"/>
        </w:rPr>
        <w:t> de 22 de marzo de 2017, se reiteró la doctrina sobre el particular señalando:</w:t>
      </w:r>
    </w:p>
    <w:p w14:paraId="24D156A2" w14:textId="77777777" w:rsidR="00BA1984" w:rsidRPr="00BA1984" w:rsidRDefault="00BA1984" w:rsidP="00BA1984">
      <w:pPr>
        <w:spacing w:after="240" w:line="480" w:lineRule="atLeast"/>
        <w:rPr>
          <w:rFonts w:ascii="Arial" w:eastAsia="Times New Roman" w:hAnsi="Arial"/>
          <w:spacing w:val="2"/>
          <w:kern w:val="0"/>
          <w:lang w:eastAsia="es-419"/>
          <w14:ligatures w14:val="none"/>
        </w:rPr>
      </w:pPr>
      <w:r w:rsidRPr="00BA1984">
        <w:rPr>
          <w:rFonts w:ascii="Arial" w:eastAsia="Times New Roman" w:hAnsi="Arial"/>
          <w:spacing w:val="2"/>
          <w:kern w:val="0"/>
          <w:lang w:eastAsia="es-419"/>
          <w14:ligatures w14:val="none"/>
        </w:rPr>
        <w:t>(...)</w:t>
      </w:r>
    </w:p>
    <w:p w14:paraId="0DF545AB" w14:textId="77777777" w:rsidR="00BA1984" w:rsidRPr="00BA1984" w:rsidRDefault="00BA1984" w:rsidP="00BA1984">
      <w:pPr>
        <w:spacing w:line="480" w:lineRule="atLeast"/>
        <w:rPr>
          <w:rFonts w:ascii="Arial" w:eastAsia="Times New Roman" w:hAnsi="Arial"/>
          <w:spacing w:val="2"/>
          <w:kern w:val="0"/>
          <w:highlight w:val="yellow"/>
          <w:lang w:eastAsia="es-419"/>
          <w14:ligatures w14:val="none"/>
        </w:rPr>
      </w:pPr>
      <w:r w:rsidRPr="00BA1984">
        <w:rPr>
          <w:rFonts w:ascii="Arial" w:eastAsia="Times New Roman" w:hAnsi="Arial"/>
          <w:spacing w:val="2"/>
          <w:kern w:val="0"/>
          <w:lang w:eastAsia="es-419"/>
          <w14:ligatures w14:val="none"/>
        </w:rPr>
        <w:t>(...) por efectos de la modificación legal que el artículo </w:t>
      </w:r>
      <w:hyperlink r:id="rId24" w:anchor="175" w:history="1">
        <w:r w:rsidRPr="00BA1984">
          <w:rPr>
            <w:rFonts w:ascii="Arial" w:eastAsia="Times New Roman" w:hAnsi="Arial"/>
            <w:color w:val="0000FF"/>
            <w:spacing w:val="2"/>
            <w:kern w:val="0"/>
            <w:u w:val="single"/>
            <w:lang w:eastAsia="es-419"/>
            <w14:ligatures w14:val="none"/>
          </w:rPr>
          <w:t>175</w:t>
        </w:r>
      </w:hyperlink>
      <w:r w:rsidRPr="00BA1984">
        <w:rPr>
          <w:rFonts w:ascii="Arial" w:eastAsia="Times New Roman" w:hAnsi="Arial"/>
          <w:spacing w:val="2"/>
          <w:kern w:val="0"/>
          <w:lang w:eastAsia="es-419"/>
          <w14:ligatures w14:val="none"/>
        </w:rPr>
        <w:t> de la Ley 1819 de 2016 introduce al artículo </w:t>
      </w:r>
      <w:hyperlink r:id="rId25" w:anchor="424" w:history="1">
        <w:r w:rsidRPr="00BA1984">
          <w:rPr>
            <w:rFonts w:ascii="Arial" w:eastAsia="Times New Roman" w:hAnsi="Arial"/>
            <w:color w:val="0000FF"/>
            <w:spacing w:val="2"/>
            <w:kern w:val="0"/>
            <w:u w:val="single"/>
            <w:lang w:eastAsia="es-419"/>
            <w14:ligatures w14:val="none"/>
          </w:rPr>
          <w:t>424</w:t>
        </w:r>
      </w:hyperlink>
      <w:r w:rsidRPr="00BA1984">
        <w:rPr>
          <w:rFonts w:ascii="Arial" w:eastAsia="Times New Roman" w:hAnsi="Arial"/>
          <w:spacing w:val="2"/>
          <w:kern w:val="0"/>
          <w:lang w:eastAsia="es-419"/>
          <w14:ligatures w14:val="none"/>
        </w:rPr>
        <w:t> del Estatuto Tributario y, en particular, en lo que se refiere a los computadores personales de escritorio o portátiles, lo que hace la norma es reducir el valor para efectos de la exclusión, </w:t>
      </w:r>
      <w:r w:rsidRPr="00BA1984">
        <w:rPr>
          <w:rFonts w:ascii="Arial" w:eastAsia="Times New Roman" w:hAnsi="Arial"/>
          <w:spacing w:val="2"/>
          <w:kern w:val="0"/>
          <w:u w:val="single"/>
          <w:lang w:eastAsia="es-419"/>
          <w14:ligatures w14:val="none"/>
        </w:rPr>
        <w:t>sin tener a la fecha decreto que regule la materia</w:t>
      </w:r>
      <w:r w:rsidRPr="00BA1984">
        <w:rPr>
          <w:rFonts w:ascii="Arial" w:eastAsia="Times New Roman" w:hAnsi="Arial"/>
          <w:spacing w:val="2"/>
          <w:kern w:val="0"/>
          <w:lang w:eastAsia="es-419"/>
          <w14:ligatures w14:val="none"/>
        </w:rPr>
        <w:t> en particular como si sucedió en su momento la reglamentación que hizo el Decreto </w:t>
      </w:r>
      <w:hyperlink r:id="rId26" w:anchor="0" w:history="1">
        <w:r w:rsidRPr="00BA1984">
          <w:rPr>
            <w:rFonts w:ascii="Arial" w:eastAsia="Times New Roman" w:hAnsi="Arial"/>
            <w:color w:val="0000FF"/>
            <w:spacing w:val="2"/>
            <w:kern w:val="0"/>
            <w:u w:val="single"/>
            <w:lang w:eastAsia="es-419"/>
            <w14:ligatures w14:val="none"/>
          </w:rPr>
          <w:t>567</w:t>
        </w:r>
      </w:hyperlink>
      <w:r w:rsidRPr="00BA1984">
        <w:rPr>
          <w:rFonts w:ascii="Arial" w:eastAsia="Times New Roman" w:hAnsi="Arial"/>
          <w:spacing w:val="2"/>
          <w:kern w:val="0"/>
          <w:lang w:eastAsia="es-419"/>
          <w14:ligatures w14:val="none"/>
        </w:rPr>
        <w:t> de 2007 a la Ley. </w:t>
      </w:r>
      <w:r w:rsidRPr="00BA1984">
        <w:rPr>
          <w:rFonts w:ascii="Arial" w:eastAsia="Times New Roman" w:hAnsi="Arial"/>
          <w:spacing w:val="2"/>
          <w:kern w:val="0"/>
          <w:highlight w:val="yellow"/>
          <w:u w:val="single"/>
          <w:lang w:eastAsia="es-419"/>
          <w14:ligatures w14:val="none"/>
        </w:rPr>
        <w:t xml:space="preserve">En consecuencia, en general, la importación o venta de computadores que superen las 50 </w:t>
      </w:r>
      <w:proofErr w:type="spellStart"/>
      <w:r w:rsidRPr="00BA1984">
        <w:rPr>
          <w:rFonts w:ascii="Arial" w:eastAsia="Times New Roman" w:hAnsi="Arial"/>
          <w:spacing w:val="2"/>
          <w:kern w:val="0"/>
          <w:highlight w:val="yellow"/>
          <w:u w:val="single"/>
          <w:lang w:eastAsia="es-419"/>
          <w14:ligatures w14:val="none"/>
        </w:rPr>
        <w:t>UVT</w:t>
      </w:r>
      <w:proofErr w:type="spellEnd"/>
      <w:r w:rsidRPr="00BA1984">
        <w:rPr>
          <w:rFonts w:ascii="Arial" w:eastAsia="Times New Roman" w:hAnsi="Arial"/>
          <w:spacing w:val="2"/>
          <w:kern w:val="0"/>
          <w:highlight w:val="yellow"/>
          <w:u w:val="single"/>
          <w:lang w:eastAsia="es-419"/>
          <w14:ligatures w14:val="none"/>
        </w:rPr>
        <w:t xml:space="preserve"> está gravada con el IVA</w:t>
      </w:r>
      <w:r w:rsidRPr="00BA1984">
        <w:rPr>
          <w:rFonts w:ascii="Arial" w:eastAsia="Times New Roman" w:hAnsi="Arial"/>
          <w:spacing w:val="2"/>
          <w:kern w:val="0"/>
          <w:highlight w:val="yellow"/>
          <w:lang w:eastAsia="es-419"/>
          <w14:ligatures w14:val="none"/>
        </w:rPr>
        <w:t>.</w:t>
      </w:r>
    </w:p>
    <w:p w14:paraId="157E692C" w14:textId="77777777" w:rsidR="00BA1984" w:rsidRPr="00BA1984" w:rsidRDefault="00BA1984" w:rsidP="00BA1984">
      <w:pPr>
        <w:spacing w:after="240" w:line="480" w:lineRule="atLeast"/>
        <w:rPr>
          <w:rFonts w:ascii="Arial" w:eastAsia="Times New Roman" w:hAnsi="Arial"/>
          <w:spacing w:val="2"/>
          <w:kern w:val="0"/>
          <w:lang w:eastAsia="es-419"/>
          <w14:ligatures w14:val="none"/>
        </w:rPr>
      </w:pPr>
      <w:r w:rsidRPr="00BA1984">
        <w:rPr>
          <w:rFonts w:ascii="Arial" w:eastAsia="Times New Roman" w:hAnsi="Arial"/>
          <w:spacing w:val="2"/>
          <w:kern w:val="0"/>
          <w:highlight w:val="yellow"/>
          <w:lang w:eastAsia="es-419"/>
          <w14:ligatures w14:val="none"/>
        </w:rPr>
        <w:t>(...)</w:t>
      </w:r>
    </w:p>
    <w:p w14:paraId="2D956B5E" w14:textId="2D48EFC5" w:rsidR="00BA1984" w:rsidRPr="00BA1984" w:rsidRDefault="00BA1984" w:rsidP="00BA1984">
      <w:pPr>
        <w:spacing w:line="480" w:lineRule="atLeast"/>
        <w:rPr>
          <w:rFonts w:ascii="Arial" w:eastAsia="Times New Roman" w:hAnsi="Arial"/>
          <w:spacing w:val="2"/>
          <w:kern w:val="0"/>
          <w:lang w:eastAsia="es-419"/>
          <w14:ligatures w14:val="none"/>
        </w:rPr>
      </w:pPr>
      <w:r w:rsidRPr="00BA1984">
        <w:rPr>
          <w:rFonts w:ascii="Arial" w:eastAsia="Times New Roman" w:hAnsi="Arial"/>
          <w:spacing w:val="2"/>
          <w:kern w:val="0"/>
          <w:lang w:eastAsia="es-419"/>
          <w14:ligatures w14:val="none"/>
        </w:rPr>
        <w:t>Los computadores importados y nacionalizados con anterioridad a la vigencia de la Ley </w:t>
      </w:r>
      <w:hyperlink r:id="rId27" w:anchor="0" w:history="1">
        <w:r w:rsidRPr="00BA1984">
          <w:rPr>
            <w:rFonts w:ascii="Arial" w:eastAsia="Times New Roman" w:hAnsi="Arial"/>
            <w:color w:val="0000FF"/>
            <w:spacing w:val="2"/>
            <w:kern w:val="0"/>
            <w:u w:val="single"/>
            <w:lang w:eastAsia="es-419"/>
            <w14:ligatures w14:val="none"/>
          </w:rPr>
          <w:t>1819</w:t>
        </w:r>
      </w:hyperlink>
      <w:r w:rsidRPr="00BA1984">
        <w:rPr>
          <w:rFonts w:ascii="Arial" w:eastAsia="Times New Roman" w:hAnsi="Arial"/>
          <w:spacing w:val="2"/>
          <w:kern w:val="0"/>
          <w:lang w:eastAsia="es-419"/>
          <w14:ligatures w14:val="none"/>
        </w:rPr>
        <w:t> de 2016, que sean enajenados en el año 2017, gozarán de la exclusión en la comercialización </w:t>
      </w:r>
      <w:r w:rsidRPr="00BA1984">
        <w:rPr>
          <w:rFonts w:ascii="Arial" w:eastAsia="Times New Roman" w:hAnsi="Arial"/>
          <w:spacing w:val="2"/>
          <w:kern w:val="0"/>
          <w:u w:val="single"/>
          <w:lang w:eastAsia="es-419"/>
          <w14:ligatures w14:val="none"/>
        </w:rPr>
        <w:t xml:space="preserve">siempre y cuando su valor no supere las 50 </w:t>
      </w:r>
      <w:proofErr w:type="spellStart"/>
      <w:r w:rsidRPr="00BA1984">
        <w:rPr>
          <w:rFonts w:ascii="Arial" w:eastAsia="Times New Roman" w:hAnsi="Arial"/>
          <w:spacing w:val="2"/>
          <w:kern w:val="0"/>
          <w:u w:val="single"/>
          <w:lang w:eastAsia="es-419"/>
          <w14:ligatures w14:val="none"/>
        </w:rPr>
        <w:t>UVT</w:t>
      </w:r>
      <w:proofErr w:type="spellEnd"/>
      <w:r w:rsidRPr="00BA1984">
        <w:rPr>
          <w:rFonts w:ascii="Arial" w:eastAsia="Times New Roman" w:hAnsi="Arial"/>
          <w:spacing w:val="2"/>
          <w:kern w:val="0"/>
          <w:u w:val="single"/>
          <w:lang w:eastAsia="es-419"/>
          <w14:ligatures w14:val="none"/>
        </w:rPr>
        <w:t xml:space="preserve"> (Se insiste, sin perjuicio de la reglamentación que se</w:t>
      </w:r>
      <w:r>
        <w:rPr>
          <w:rFonts w:ascii="Arial" w:eastAsia="Times New Roman" w:hAnsi="Arial"/>
          <w:spacing w:val="2"/>
          <w:kern w:val="0"/>
          <w:u w:val="single"/>
          <w:lang w:eastAsia="es-419"/>
          <w14:ligatures w14:val="none"/>
        </w:rPr>
        <w:t xml:space="preserve"> </w:t>
      </w:r>
      <w:r w:rsidRPr="00BA1984">
        <w:rPr>
          <w:rFonts w:ascii="Arial" w:eastAsia="Times New Roman" w:hAnsi="Arial"/>
          <w:spacing w:val="2"/>
          <w:kern w:val="0"/>
          <w:u w:val="single"/>
          <w:lang w:eastAsia="es-419"/>
          <w14:ligatures w14:val="none"/>
        </w:rPr>
        <w:t>expida sobre el tema)</w:t>
      </w:r>
      <w:r w:rsidRPr="00BA1984">
        <w:rPr>
          <w:rFonts w:ascii="Arial" w:eastAsia="Times New Roman" w:hAnsi="Arial"/>
          <w:spacing w:val="2"/>
          <w:kern w:val="0"/>
          <w:lang w:eastAsia="es-419"/>
          <w14:ligatures w14:val="none"/>
        </w:rPr>
        <w:t>. La ley no dispuso un tratamiento especial respecto de los computadores importados con anterioridad a la misma y enajenados con posterioridad a ella</w:t>
      </w:r>
      <w:r w:rsidRPr="00BA1984">
        <w:rPr>
          <w:rFonts w:ascii="Arial" w:eastAsia="Times New Roman" w:hAnsi="Arial"/>
          <w:spacing w:val="2"/>
          <w:kern w:val="0"/>
          <w:highlight w:val="yellow"/>
          <w:lang w:eastAsia="es-419"/>
          <w14:ligatures w14:val="none"/>
        </w:rPr>
        <w:t>. En consecuencia, </w:t>
      </w:r>
      <w:r w:rsidRPr="00BA1984">
        <w:rPr>
          <w:rFonts w:ascii="Arial" w:eastAsia="Times New Roman" w:hAnsi="Arial"/>
          <w:spacing w:val="2"/>
          <w:kern w:val="0"/>
          <w:highlight w:val="yellow"/>
          <w:u w:val="single"/>
          <w:lang w:eastAsia="es-419"/>
          <w14:ligatures w14:val="none"/>
        </w:rPr>
        <w:t>no es posible bajo la nueva normatividad, extender el beneficio de la exclusión a computadores que superen ese valor, por corresponder a un tratamiento de excepción en materia tributaria que aplica de manera restrictiva</w:t>
      </w:r>
      <w:r w:rsidRPr="00BA1984">
        <w:rPr>
          <w:rFonts w:ascii="Arial" w:eastAsia="Times New Roman" w:hAnsi="Arial"/>
          <w:spacing w:val="2"/>
          <w:kern w:val="0"/>
          <w:highlight w:val="yellow"/>
          <w:lang w:eastAsia="es-419"/>
          <w14:ligatures w14:val="none"/>
        </w:rPr>
        <w:t>.</w:t>
      </w:r>
    </w:p>
    <w:p w14:paraId="3E535474" w14:textId="77777777" w:rsidR="00BA1984" w:rsidRDefault="00BA1984" w:rsidP="00BA1984">
      <w:pPr>
        <w:spacing w:after="240" w:line="480" w:lineRule="atLeast"/>
        <w:rPr>
          <w:rFonts w:ascii="Arial" w:eastAsia="Times New Roman" w:hAnsi="Arial"/>
          <w:spacing w:val="2"/>
          <w:kern w:val="0"/>
          <w:lang w:eastAsia="es-419"/>
          <w14:ligatures w14:val="none"/>
        </w:rPr>
      </w:pPr>
    </w:p>
    <w:p w14:paraId="5844B955" w14:textId="371867CF" w:rsidR="00BA1984" w:rsidRPr="00BA1984" w:rsidRDefault="00BA1984" w:rsidP="00BA1984">
      <w:pPr>
        <w:spacing w:after="240" w:line="480" w:lineRule="atLeast"/>
        <w:rPr>
          <w:rFonts w:ascii="Arial" w:eastAsia="Times New Roman" w:hAnsi="Arial"/>
          <w:spacing w:val="2"/>
          <w:kern w:val="0"/>
          <w:lang w:eastAsia="es-419"/>
          <w14:ligatures w14:val="none"/>
        </w:rPr>
      </w:pPr>
      <w:r w:rsidRPr="00BA1984">
        <w:rPr>
          <w:rFonts w:ascii="Arial" w:eastAsia="Times New Roman" w:hAnsi="Arial"/>
          <w:spacing w:val="2"/>
          <w:kern w:val="0"/>
          <w:highlight w:val="yellow"/>
          <w:lang w:eastAsia="es-419"/>
          <w14:ligatures w14:val="none"/>
        </w:rPr>
        <w:t>.- Lo anterior se reitera en el Oficio 902068 de 24 de marzo de 2017, tal como se transcribe a continuación:</w:t>
      </w:r>
    </w:p>
    <w:p w14:paraId="5F86D6F5" w14:textId="77777777" w:rsidR="00BA1984" w:rsidRPr="00BA1984" w:rsidRDefault="00BA1984" w:rsidP="00BA1984">
      <w:pPr>
        <w:spacing w:line="480" w:lineRule="atLeast"/>
        <w:rPr>
          <w:rFonts w:ascii="Arial" w:eastAsia="Times New Roman" w:hAnsi="Arial"/>
          <w:spacing w:val="2"/>
          <w:kern w:val="0"/>
          <w:lang w:eastAsia="es-419"/>
          <w14:ligatures w14:val="none"/>
        </w:rPr>
      </w:pPr>
      <w:r w:rsidRPr="00BA1984">
        <w:rPr>
          <w:rFonts w:ascii="Arial" w:eastAsia="Times New Roman" w:hAnsi="Arial"/>
          <w:spacing w:val="2"/>
          <w:kern w:val="0"/>
          <w:highlight w:val="yellow"/>
          <w:lang w:eastAsia="es-419"/>
          <w14:ligatures w14:val="none"/>
        </w:rPr>
        <w:t>Conforme las normas transcritas, se puede inferir que para efectos de aplicar la exclusión prevista en el numeral 5 del artículo </w:t>
      </w:r>
      <w:hyperlink r:id="rId28" w:anchor="424" w:history="1">
        <w:r w:rsidRPr="00BA1984">
          <w:rPr>
            <w:rFonts w:ascii="Arial" w:eastAsia="Times New Roman" w:hAnsi="Arial"/>
            <w:color w:val="0000FF"/>
            <w:spacing w:val="2"/>
            <w:kern w:val="0"/>
            <w:highlight w:val="yellow"/>
            <w:u w:val="single"/>
            <w:lang w:eastAsia="es-419"/>
            <w14:ligatures w14:val="none"/>
          </w:rPr>
          <w:t>424</w:t>
        </w:r>
      </w:hyperlink>
      <w:r w:rsidRPr="00BA1984">
        <w:rPr>
          <w:rFonts w:ascii="Arial" w:eastAsia="Times New Roman" w:hAnsi="Arial"/>
          <w:spacing w:val="2"/>
          <w:kern w:val="0"/>
          <w:highlight w:val="yellow"/>
          <w:lang w:eastAsia="es-419"/>
          <w14:ligatures w14:val="none"/>
        </w:rPr>
        <w:t xml:space="preserve"> del </w:t>
      </w:r>
      <w:proofErr w:type="spellStart"/>
      <w:r w:rsidRPr="00BA1984">
        <w:rPr>
          <w:rFonts w:ascii="Arial" w:eastAsia="Times New Roman" w:hAnsi="Arial"/>
          <w:spacing w:val="2"/>
          <w:kern w:val="0"/>
          <w:highlight w:val="yellow"/>
          <w:lang w:eastAsia="es-419"/>
          <w14:ligatures w14:val="none"/>
        </w:rPr>
        <w:t>E.T</w:t>
      </w:r>
      <w:proofErr w:type="spellEnd"/>
      <w:r w:rsidRPr="00BA1984">
        <w:rPr>
          <w:rFonts w:ascii="Arial" w:eastAsia="Times New Roman" w:hAnsi="Arial"/>
          <w:spacing w:val="2"/>
          <w:kern w:val="0"/>
          <w:highlight w:val="yellow"/>
          <w:lang w:eastAsia="es-419"/>
          <w14:ligatures w14:val="none"/>
        </w:rPr>
        <w:t>. modificado por el artículo </w:t>
      </w:r>
      <w:hyperlink r:id="rId29" w:anchor="175" w:history="1">
        <w:r w:rsidRPr="00BA1984">
          <w:rPr>
            <w:rFonts w:ascii="Arial" w:eastAsia="Times New Roman" w:hAnsi="Arial"/>
            <w:color w:val="0000FF"/>
            <w:spacing w:val="2"/>
            <w:kern w:val="0"/>
            <w:highlight w:val="yellow"/>
            <w:u w:val="single"/>
            <w:lang w:eastAsia="es-419"/>
            <w14:ligatures w14:val="none"/>
          </w:rPr>
          <w:t>175</w:t>
        </w:r>
      </w:hyperlink>
      <w:r w:rsidRPr="00BA1984">
        <w:rPr>
          <w:rFonts w:ascii="Arial" w:eastAsia="Times New Roman" w:hAnsi="Arial"/>
          <w:spacing w:val="2"/>
          <w:kern w:val="0"/>
          <w:highlight w:val="yellow"/>
          <w:lang w:eastAsia="es-419"/>
          <w14:ligatures w14:val="none"/>
        </w:rPr>
        <w:t> de la Ley 1819 de 2016, </w:t>
      </w:r>
      <w:r w:rsidRPr="00BA1984">
        <w:rPr>
          <w:rFonts w:ascii="Arial" w:eastAsia="Times New Roman" w:hAnsi="Arial"/>
          <w:spacing w:val="2"/>
          <w:kern w:val="0"/>
          <w:highlight w:val="yellow"/>
          <w:u w:val="single"/>
          <w:lang w:eastAsia="es-419"/>
          <w14:ligatures w14:val="none"/>
        </w:rPr>
        <w:t xml:space="preserve">el interesado deberá ubicarse en cada caso y en la operación que corresponde (importación o venta) para determinar si el valor del computador personal de escritorio o portátil cumple con el requisito y no excede de cincuenta (50) </w:t>
      </w:r>
      <w:proofErr w:type="spellStart"/>
      <w:r w:rsidRPr="00BA1984">
        <w:rPr>
          <w:rFonts w:ascii="Arial" w:eastAsia="Times New Roman" w:hAnsi="Arial"/>
          <w:spacing w:val="2"/>
          <w:kern w:val="0"/>
          <w:highlight w:val="yellow"/>
          <w:u w:val="single"/>
          <w:lang w:eastAsia="es-419"/>
          <w14:ligatures w14:val="none"/>
        </w:rPr>
        <w:t>UVT</w:t>
      </w:r>
      <w:proofErr w:type="spellEnd"/>
      <w:r w:rsidRPr="00BA1984">
        <w:rPr>
          <w:rFonts w:ascii="Arial" w:eastAsia="Times New Roman" w:hAnsi="Arial"/>
          <w:spacing w:val="2"/>
          <w:kern w:val="0"/>
          <w:highlight w:val="yellow"/>
          <w:lang w:eastAsia="es-419"/>
          <w14:ligatures w14:val="none"/>
        </w:rPr>
        <w:t>.</w:t>
      </w:r>
    </w:p>
    <w:p w14:paraId="52F1501E" w14:textId="77777777" w:rsidR="00BA1984" w:rsidRPr="00BA1984" w:rsidRDefault="00BA1984" w:rsidP="00BA1984">
      <w:pPr>
        <w:spacing w:after="240" w:line="480" w:lineRule="atLeast"/>
        <w:rPr>
          <w:rFonts w:ascii="Arial" w:eastAsia="Times New Roman" w:hAnsi="Arial"/>
          <w:spacing w:val="2"/>
          <w:kern w:val="0"/>
          <w:lang w:eastAsia="es-419"/>
          <w14:ligatures w14:val="none"/>
        </w:rPr>
      </w:pPr>
      <w:r w:rsidRPr="00BA1984">
        <w:rPr>
          <w:rFonts w:ascii="Arial" w:eastAsia="Times New Roman" w:hAnsi="Arial"/>
          <w:spacing w:val="2"/>
          <w:kern w:val="0"/>
          <w:lang w:eastAsia="es-419"/>
          <w14:ligatures w14:val="none"/>
        </w:rPr>
        <w:t>(...)</w:t>
      </w:r>
    </w:p>
    <w:p w14:paraId="0E9B63F2" w14:textId="77777777" w:rsidR="00BA1984" w:rsidRPr="00BA1984" w:rsidRDefault="00BA1984" w:rsidP="00BA1984">
      <w:pPr>
        <w:spacing w:after="240" w:line="480" w:lineRule="atLeast"/>
        <w:rPr>
          <w:rFonts w:ascii="Arial" w:eastAsia="Times New Roman" w:hAnsi="Arial"/>
          <w:spacing w:val="2"/>
          <w:kern w:val="0"/>
          <w:lang w:eastAsia="es-419"/>
          <w14:ligatures w14:val="none"/>
        </w:rPr>
      </w:pPr>
      <w:r w:rsidRPr="00BA1984">
        <w:rPr>
          <w:rFonts w:ascii="Arial" w:eastAsia="Times New Roman" w:hAnsi="Arial"/>
          <w:spacing w:val="2"/>
          <w:kern w:val="0"/>
          <w:lang w:eastAsia="es-419"/>
          <w14:ligatures w14:val="none"/>
        </w:rPr>
        <w:t>(...) (subrayado fuera de texto)</w:t>
      </w:r>
    </w:p>
    <w:p w14:paraId="7A55F49B" w14:textId="77777777" w:rsidR="00BA1984" w:rsidRPr="00BA1984" w:rsidRDefault="00BA1984" w:rsidP="00BA1984">
      <w:pPr>
        <w:spacing w:line="480" w:lineRule="atLeast"/>
        <w:rPr>
          <w:rFonts w:ascii="Arial" w:eastAsia="Times New Roman" w:hAnsi="Arial"/>
          <w:spacing w:val="2"/>
          <w:kern w:val="0"/>
          <w:lang w:eastAsia="es-419"/>
          <w14:ligatures w14:val="none"/>
        </w:rPr>
      </w:pPr>
      <w:r w:rsidRPr="00BA1984">
        <w:rPr>
          <w:rFonts w:ascii="Arial" w:eastAsia="Times New Roman" w:hAnsi="Arial"/>
          <w:b/>
          <w:bCs/>
          <w:spacing w:val="2"/>
          <w:kern w:val="0"/>
          <w:lang w:eastAsia="es-419"/>
          <w14:ligatures w14:val="none"/>
        </w:rPr>
        <w:t>Oficio 901534 de julio 26 de 2019</w:t>
      </w:r>
    </w:p>
    <w:p w14:paraId="12948F88" w14:textId="77777777" w:rsidR="00BA1984" w:rsidRDefault="00BA1984" w:rsidP="00BA1984">
      <w:pPr>
        <w:spacing w:line="480" w:lineRule="atLeast"/>
        <w:rPr>
          <w:rFonts w:ascii="Arial" w:eastAsia="Times New Roman" w:hAnsi="Arial"/>
          <w:spacing w:val="2"/>
          <w:kern w:val="0"/>
          <w:lang w:eastAsia="es-419"/>
          <w14:ligatures w14:val="none"/>
        </w:rPr>
      </w:pPr>
    </w:p>
    <w:p w14:paraId="4E95D944" w14:textId="1DDBC155" w:rsidR="00BA1984" w:rsidRPr="00BA1984" w:rsidRDefault="00BA1984" w:rsidP="00BA1984">
      <w:pPr>
        <w:spacing w:line="480" w:lineRule="atLeast"/>
        <w:rPr>
          <w:rFonts w:ascii="Arial" w:eastAsia="Times New Roman" w:hAnsi="Arial"/>
          <w:spacing w:val="2"/>
          <w:kern w:val="0"/>
          <w:lang w:eastAsia="es-419"/>
          <w14:ligatures w14:val="none"/>
        </w:rPr>
      </w:pPr>
      <w:r w:rsidRPr="00BA1984">
        <w:rPr>
          <w:rFonts w:ascii="Arial" w:eastAsia="Times New Roman" w:hAnsi="Arial"/>
          <w:spacing w:val="2"/>
          <w:kern w:val="0"/>
          <w:highlight w:val="yellow"/>
          <w:lang w:eastAsia="es-419"/>
          <w14:ligatures w14:val="none"/>
        </w:rPr>
        <w:t>Teniendo en cuenta lo mencionado en el Oficio No. 0</w:t>
      </w:r>
      <w:hyperlink r:id="rId30" w:anchor="0" w:history="1">
        <w:r w:rsidRPr="00BA1984">
          <w:rPr>
            <w:rFonts w:ascii="Arial" w:eastAsia="Times New Roman" w:hAnsi="Arial"/>
            <w:color w:val="0000FF"/>
            <w:spacing w:val="2"/>
            <w:kern w:val="0"/>
            <w:highlight w:val="yellow"/>
            <w:u w:val="single"/>
            <w:lang w:eastAsia="es-419"/>
            <w14:ligatures w14:val="none"/>
          </w:rPr>
          <w:t>31237</w:t>
        </w:r>
      </w:hyperlink>
      <w:r w:rsidRPr="00BA1984">
        <w:rPr>
          <w:rFonts w:ascii="Arial" w:eastAsia="Times New Roman" w:hAnsi="Arial"/>
          <w:spacing w:val="2"/>
          <w:kern w:val="0"/>
          <w:highlight w:val="yellow"/>
          <w:lang w:eastAsia="es-419"/>
          <w14:ligatures w14:val="none"/>
        </w:rPr>
        <w:t> del 25 de octubre de 2018, es posible concluir que </w:t>
      </w:r>
      <w:r w:rsidRPr="00BA1984">
        <w:rPr>
          <w:rFonts w:ascii="Arial" w:eastAsia="Times New Roman" w:hAnsi="Arial"/>
          <w:spacing w:val="2"/>
          <w:kern w:val="0"/>
          <w:highlight w:val="yellow"/>
          <w:u w:val="single"/>
          <w:lang w:eastAsia="es-419"/>
          <w14:ligatures w14:val="none"/>
        </w:rPr>
        <w:t xml:space="preserve">aquellos computadores que son importados como excluidos de IVA, porque su valor es inferior a 50 </w:t>
      </w:r>
      <w:proofErr w:type="spellStart"/>
      <w:r w:rsidRPr="00BA1984">
        <w:rPr>
          <w:rFonts w:ascii="Arial" w:eastAsia="Times New Roman" w:hAnsi="Arial"/>
          <w:spacing w:val="2"/>
          <w:kern w:val="0"/>
          <w:highlight w:val="yellow"/>
          <w:u w:val="single"/>
          <w:lang w:eastAsia="es-419"/>
          <w14:ligatures w14:val="none"/>
        </w:rPr>
        <w:t>UVT</w:t>
      </w:r>
      <w:proofErr w:type="spellEnd"/>
      <w:r w:rsidRPr="00BA1984">
        <w:rPr>
          <w:rFonts w:ascii="Arial" w:eastAsia="Times New Roman" w:hAnsi="Arial"/>
          <w:spacing w:val="2"/>
          <w:kern w:val="0"/>
          <w:highlight w:val="yellow"/>
          <w:u w:val="single"/>
          <w:lang w:eastAsia="es-419"/>
          <w14:ligatures w14:val="none"/>
        </w:rPr>
        <w:t xml:space="preserve">, estarán gravados con dicho impuesto a la tarifa general cuando sean comercializados con un precio superior a las 50 </w:t>
      </w:r>
      <w:proofErr w:type="spellStart"/>
      <w:r w:rsidRPr="00BA1984">
        <w:rPr>
          <w:rFonts w:ascii="Arial" w:eastAsia="Times New Roman" w:hAnsi="Arial"/>
          <w:spacing w:val="2"/>
          <w:kern w:val="0"/>
          <w:highlight w:val="yellow"/>
          <w:u w:val="single"/>
          <w:lang w:eastAsia="es-419"/>
          <w14:ligatures w14:val="none"/>
        </w:rPr>
        <w:t>UVT</w:t>
      </w:r>
      <w:proofErr w:type="spellEnd"/>
      <w:r w:rsidRPr="00BA1984">
        <w:rPr>
          <w:rFonts w:ascii="Arial" w:eastAsia="Times New Roman" w:hAnsi="Arial"/>
          <w:spacing w:val="2"/>
          <w:kern w:val="0"/>
          <w:highlight w:val="yellow"/>
          <w:lang w:eastAsia="es-419"/>
          <w14:ligatures w14:val="none"/>
        </w:rPr>
        <w:t>. (subrayado fuera de texto)</w:t>
      </w:r>
    </w:p>
    <w:p w14:paraId="54B2B727" w14:textId="77777777" w:rsidR="00BA1984" w:rsidRDefault="00BA1984" w:rsidP="00BA1984">
      <w:pPr>
        <w:spacing w:line="480" w:lineRule="atLeast"/>
        <w:rPr>
          <w:rFonts w:ascii="Arial" w:eastAsia="Times New Roman" w:hAnsi="Arial"/>
          <w:spacing w:val="2"/>
          <w:kern w:val="0"/>
          <w:lang w:eastAsia="es-419"/>
          <w14:ligatures w14:val="none"/>
        </w:rPr>
      </w:pPr>
    </w:p>
    <w:p w14:paraId="65BCE263" w14:textId="685309FA" w:rsidR="00BA1984" w:rsidRPr="00BA1984" w:rsidRDefault="00BA1984" w:rsidP="00BA1984">
      <w:pPr>
        <w:spacing w:line="480" w:lineRule="atLeast"/>
        <w:rPr>
          <w:rFonts w:ascii="Arial" w:eastAsia="Times New Roman" w:hAnsi="Arial"/>
          <w:spacing w:val="2"/>
          <w:kern w:val="0"/>
          <w:lang w:eastAsia="es-419"/>
          <w14:ligatures w14:val="none"/>
        </w:rPr>
      </w:pPr>
      <w:r w:rsidRPr="00BA1984">
        <w:rPr>
          <w:rFonts w:ascii="Arial" w:eastAsia="Times New Roman" w:hAnsi="Arial"/>
          <w:spacing w:val="2"/>
          <w:kern w:val="0"/>
          <w:lang w:eastAsia="es-419"/>
          <w14:ligatures w14:val="none"/>
        </w:rPr>
        <w:t>En lo atinente al Oficio 0</w:t>
      </w:r>
      <w:hyperlink r:id="rId31" w:anchor="0" w:history="1">
        <w:r w:rsidRPr="00BA1984">
          <w:rPr>
            <w:rFonts w:ascii="Arial" w:eastAsia="Times New Roman" w:hAnsi="Arial"/>
            <w:color w:val="0000FF"/>
            <w:spacing w:val="2"/>
            <w:kern w:val="0"/>
            <w:u w:val="single"/>
            <w:lang w:eastAsia="es-419"/>
            <w14:ligatures w14:val="none"/>
          </w:rPr>
          <w:t>24038</w:t>
        </w:r>
      </w:hyperlink>
      <w:r w:rsidRPr="00BA1984">
        <w:rPr>
          <w:rFonts w:ascii="Arial" w:eastAsia="Times New Roman" w:hAnsi="Arial"/>
          <w:spacing w:val="2"/>
          <w:kern w:val="0"/>
          <w:lang w:eastAsia="es-419"/>
          <w14:ligatures w14:val="none"/>
        </w:rPr>
        <w:t> de septiembre 24 de 2019, este se refirió a la tarifa del 5% del IVA aplicable a las bicicletas eléctricas, tema que no corresponde al objeto de la solicitud de reconsideración y que -por lo tanto- no será materia de análisis.</w:t>
      </w:r>
    </w:p>
    <w:p w14:paraId="1A45E442" w14:textId="77777777" w:rsidR="00BA1984" w:rsidRPr="00BA1984" w:rsidRDefault="00BA1984" w:rsidP="00BA1984">
      <w:pPr>
        <w:spacing w:after="240" w:line="480" w:lineRule="atLeast"/>
        <w:rPr>
          <w:rFonts w:ascii="Arial" w:eastAsia="Times New Roman" w:hAnsi="Arial"/>
          <w:spacing w:val="2"/>
          <w:kern w:val="0"/>
          <w:lang w:eastAsia="es-419"/>
          <w14:ligatures w14:val="none"/>
        </w:rPr>
      </w:pPr>
      <w:r w:rsidRPr="00BA1984">
        <w:rPr>
          <w:rFonts w:ascii="Arial" w:eastAsia="Times New Roman" w:hAnsi="Arial"/>
          <w:spacing w:val="2"/>
          <w:kern w:val="0"/>
          <w:lang w:eastAsia="es-419"/>
          <w14:ligatures w14:val="none"/>
        </w:rPr>
        <w:t>Al respecto, considera esta Dirección:</w:t>
      </w:r>
    </w:p>
    <w:p w14:paraId="065267DC" w14:textId="77777777" w:rsidR="00BA1984" w:rsidRPr="00BA1984" w:rsidRDefault="00BA1984" w:rsidP="00BA1984">
      <w:pPr>
        <w:spacing w:line="480" w:lineRule="atLeast"/>
        <w:rPr>
          <w:rFonts w:ascii="Arial" w:eastAsia="Times New Roman" w:hAnsi="Arial"/>
          <w:spacing w:val="2"/>
          <w:kern w:val="0"/>
          <w:lang w:eastAsia="es-419"/>
          <w14:ligatures w14:val="none"/>
        </w:rPr>
      </w:pPr>
      <w:r w:rsidRPr="00BA1984">
        <w:rPr>
          <w:rFonts w:ascii="Arial" w:eastAsia="Times New Roman" w:hAnsi="Arial"/>
          <w:spacing w:val="2"/>
          <w:kern w:val="0"/>
          <w:lang w:eastAsia="es-419"/>
          <w14:ligatures w14:val="none"/>
        </w:rPr>
        <w:t>I. </w:t>
      </w:r>
      <w:r w:rsidRPr="00BA1984">
        <w:rPr>
          <w:rFonts w:ascii="Arial" w:eastAsia="Times New Roman" w:hAnsi="Arial"/>
          <w:b/>
          <w:bCs/>
          <w:spacing w:val="2"/>
          <w:kern w:val="0"/>
          <w:lang w:eastAsia="es-419"/>
          <w14:ligatures w14:val="none"/>
        </w:rPr>
        <w:t>Sobre la aplicación de lo manifestado por el Consejo de Estado, Sala de lo Contencioso Administrativo, Sección Cuarta, en la Sentencia de febrero 10 de 2011, Radicación No. 11001-03-27-000-2007-00040-01(</w:t>
      </w:r>
      <w:hyperlink r:id="rId32" w:anchor="0" w:history="1">
        <w:r w:rsidRPr="00BA1984">
          <w:rPr>
            <w:rFonts w:ascii="Arial" w:eastAsia="Times New Roman" w:hAnsi="Arial"/>
            <w:color w:val="0000FF"/>
            <w:spacing w:val="2"/>
            <w:kern w:val="0"/>
            <w:u w:val="single"/>
            <w:lang w:eastAsia="es-419"/>
            <w14:ligatures w14:val="none"/>
          </w:rPr>
          <w:t>16798</w:t>
        </w:r>
      </w:hyperlink>
      <w:r w:rsidRPr="00BA1984">
        <w:rPr>
          <w:rFonts w:ascii="Arial" w:eastAsia="Times New Roman" w:hAnsi="Arial"/>
          <w:b/>
          <w:bCs/>
          <w:spacing w:val="2"/>
          <w:kern w:val="0"/>
          <w:lang w:eastAsia="es-419"/>
          <w14:ligatures w14:val="none"/>
        </w:rPr>
        <w:t>).</w:t>
      </w:r>
    </w:p>
    <w:p w14:paraId="3193B8B1" w14:textId="77777777" w:rsidR="00BA1984" w:rsidRDefault="00BA1984" w:rsidP="00BA1984">
      <w:pPr>
        <w:spacing w:line="480" w:lineRule="atLeast"/>
        <w:rPr>
          <w:rFonts w:ascii="Arial" w:eastAsia="Times New Roman" w:hAnsi="Arial"/>
          <w:spacing w:val="2"/>
          <w:kern w:val="0"/>
          <w:lang w:eastAsia="es-419"/>
          <w14:ligatures w14:val="none"/>
        </w:rPr>
      </w:pPr>
    </w:p>
    <w:p w14:paraId="22671906" w14:textId="67292C41" w:rsidR="00BA1984" w:rsidRPr="00BA1984" w:rsidRDefault="00BA1984" w:rsidP="00BA1984">
      <w:pPr>
        <w:spacing w:line="480" w:lineRule="atLeast"/>
        <w:rPr>
          <w:rFonts w:ascii="Arial" w:eastAsia="Times New Roman" w:hAnsi="Arial"/>
          <w:spacing w:val="2"/>
          <w:kern w:val="0"/>
          <w:lang w:eastAsia="es-419"/>
          <w14:ligatures w14:val="none"/>
        </w:rPr>
      </w:pPr>
      <w:r w:rsidRPr="00BA1984">
        <w:rPr>
          <w:rFonts w:ascii="Arial" w:eastAsia="Times New Roman" w:hAnsi="Arial"/>
          <w:spacing w:val="2"/>
          <w:kern w:val="0"/>
          <w:lang w:eastAsia="es-419"/>
          <w14:ligatures w14:val="none"/>
        </w:rPr>
        <w:t>Es preciso señalar que no es viable atender lo contemplado en el artículo </w:t>
      </w:r>
      <w:hyperlink r:id="rId33" w:anchor="10" w:history="1">
        <w:r w:rsidRPr="00BA1984">
          <w:rPr>
            <w:rFonts w:ascii="Arial" w:eastAsia="Times New Roman" w:hAnsi="Arial"/>
            <w:color w:val="0000FF"/>
            <w:spacing w:val="2"/>
            <w:kern w:val="0"/>
            <w:u w:val="single"/>
            <w:lang w:eastAsia="es-419"/>
            <w14:ligatures w14:val="none"/>
          </w:rPr>
          <w:t>10</w:t>
        </w:r>
      </w:hyperlink>
      <w:r w:rsidRPr="00BA1984">
        <w:rPr>
          <w:rFonts w:ascii="Arial" w:eastAsia="Times New Roman" w:hAnsi="Arial"/>
          <w:spacing w:val="2"/>
          <w:kern w:val="0"/>
          <w:lang w:eastAsia="es-419"/>
          <w14:ligatures w14:val="none"/>
        </w:rPr>
        <w:t> de la Ley 1437 de 2011 (deber de aplicación uniforme de las normas y la jurisprudencia) pues los supuestos jurídicos abordados en dicha sentencia son diferentes a los vigentes en la actualidad.</w:t>
      </w:r>
    </w:p>
    <w:p w14:paraId="6837B433" w14:textId="77777777" w:rsidR="00BA1984" w:rsidRPr="00BA1984" w:rsidRDefault="00BA1984" w:rsidP="00BA1984">
      <w:pPr>
        <w:spacing w:line="480" w:lineRule="atLeast"/>
        <w:rPr>
          <w:rFonts w:ascii="Arial" w:eastAsia="Times New Roman" w:hAnsi="Arial"/>
          <w:spacing w:val="2"/>
          <w:kern w:val="0"/>
          <w:lang w:eastAsia="es-419"/>
          <w14:ligatures w14:val="none"/>
        </w:rPr>
      </w:pPr>
      <w:r w:rsidRPr="00BA1984">
        <w:rPr>
          <w:rFonts w:ascii="Arial" w:eastAsia="Times New Roman" w:hAnsi="Arial"/>
          <w:spacing w:val="2"/>
          <w:kern w:val="0"/>
          <w:lang w:eastAsia="es-419"/>
          <w14:ligatures w14:val="none"/>
        </w:rPr>
        <w:t>En efecto, en aquella oportunidad se decidió una acción pública de nulidad simple contra un aparte del Oficio 0</w:t>
      </w:r>
      <w:hyperlink r:id="rId34" w:anchor="0" w:history="1">
        <w:r w:rsidRPr="00BA1984">
          <w:rPr>
            <w:rFonts w:ascii="Arial" w:eastAsia="Times New Roman" w:hAnsi="Arial"/>
            <w:color w:val="0000FF"/>
            <w:spacing w:val="2"/>
            <w:kern w:val="0"/>
            <w:u w:val="single"/>
            <w:lang w:eastAsia="es-419"/>
            <w14:ligatures w14:val="none"/>
          </w:rPr>
          <w:t>31496</w:t>
        </w:r>
      </w:hyperlink>
      <w:r w:rsidRPr="00BA1984">
        <w:rPr>
          <w:rFonts w:ascii="Arial" w:eastAsia="Times New Roman" w:hAnsi="Arial"/>
          <w:spacing w:val="2"/>
          <w:kern w:val="0"/>
          <w:lang w:eastAsia="es-419"/>
          <w14:ligatures w14:val="none"/>
        </w:rPr>
        <w:t> de abril 26 de 2007 en el cual la Administración Tributaria se pronunció sobre lo que debía entenderse por computador y su valor para efectos del artículo </w:t>
      </w:r>
      <w:hyperlink r:id="rId35" w:anchor="31" w:history="1">
        <w:r w:rsidRPr="00BA1984">
          <w:rPr>
            <w:rFonts w:ascii="Arial" w:eastAsia="Times New Roman" w:hAnsi="Arial"/>
            <w:color w:val="0000FF"/>
            <w:spacing w:val="2"/>
            <w:kern w:val="0"/>
            <w:u w:val="single"/>
            <w:lang w:eastAsia="es-419"/>
            <w14:ligatures w14:val="none"/>
          </w:rPr>
          <w:t>31</w:t>
        </w:r>
      </w:hyperlink>
      <w:r w:rsidRPr="00BA1984">
        <w:rPr>
          <w:rFonts w:ascii="Arial" w:eastAsia="Times New Roman" w:hAnsi="Arial"/>
          <w:spacing w:val="2"/>
          <w:kern w:val="0"/>
          <w:lang w:eastAsia="es-419"/>
          <w14:ligatures w14:val="none"/>
        </w:rPr>
        <w:t> de la Ley 1111 de 2006. La sentencia se sustentó, entre otras, en los artículos </w:t>
      </w:r>
      <w:hyperlink r:id="rId36" w:anchor="1" w:history="1">
        <w:r w:rsidRPr="00BA1984">
          <w:rPr>
            <w:rFonts w:ascii="Arial" w:eastAsia="Times New Roman" w:hAnsi="Arial"/>
            <w:color w:val="0000FF"/>
            <w:spacing w:val="2"/>
            <w:kern w:val="0"/>
            <w:u w:val="single"/>
            <w:lang w:eastAsia="es-419"/>
            <w14:ligatures w14:val="none"/>
          </w:rPr>
          <w:t>1o</w:t>
        </w:r>
      </w:hyperlink>
      <w:r w:rsidRPr="00BA1984">
        <w:rPr>
          <w:rFonts w:ascii="Arial" w:eastAsia="Times New Roman" w:hAnsi="Arial"/>
          <w:spacing w:val="2"/>
          <w:kern w:val="0"/>
          <w:lang w:eastAsia="es-419"/>
          <w14:ligatures w14:val="none"/>
        </w:rPr>
        <w:t> del Decreto 379 de 2007 y </w:t>
      </w:r>
      <w:hyperlink r:id="rId37" w:anchor="5" w:history="1">
        <w:r w:rsidRPr="00BA1984">
          <w:rPr>
            <w:rFonts w:ascii="Arial" w:eastAsia="Times New Roman" w:hAnsi="Arial"/>
            <w:color w:val="0000FF"/>
            <w:spacing w:val="2"/>
            <w:kern w:val="0"/>
            <w:u w:val="single"/>
            <w:lang w:eastAsia="es-419"/>
            <w14:ligatures w14:val="none"/>
          </w:rPr>
          <w:t>5o</w:t>
        </w:r>
      </w:hyperlink>
      <w:r w:rsidRPr="00BA1984">
        <w:rPr>
          <w:rFonts w:ascii="Arial" w:eastAsia="Times New Roman" w:hAnsi="Arial"/>
          <w:spacing w:val="2"/>
          <w:kern w:val="0"/>
          <w:lang w:eastAsia="es-419"/>
          <w14:ligatures w14:val="none"/>
        </w:rPr>
        <w:t> del Decreto 567 del mismo año, normas que no fueron compiladas en el Decreto 1625 de 2016 por lo que fueron derogadas en atención al artículo </w:t>
      </w:r>
      <w:hyperlink r:id="rId38" w:anchor="5.1.1" w:history="1">
        <w:r w:rsidRPr="00BA1984">
          <w:rPr>
            <w:rFonts w:ascii="Arial" w:eastAsia="Times New Roman" w:hAnsi="Arial"/>
            <w:color w:val="0000FF"/>
            <w:spacing w:val="2"/>
            <w:kern w:val="0"/>
            <w:u w:val="single"/>
            <w:lang w:eastAsia="es-419"/>
            <w14:ligatures w14:val="none"/>
          </w:rPr>
          <w:t>5.1.1</w:t>
        </w:r>
      </w:hyperlink>
      <w:r w:rsidRPr="00BA1984">
        <w:rPr>
          <w:rFonts w:ascii="Arial" w:eastAsia="Times New Roman" w:hAnsi="Arial"/>
          <w:spacing w:val="2"/>
          <w:kern w:val="0"/>
          <w:lang w:eastAsia="es-419"/>
          <w14:ligatures w14:val="none"/>
        </w:rPr>
        <w:t>.</w:t>
      </w:r>
    </w:p>
    <w:p w14:paraId="14CF8A9D" w14:textId="77777777" w:rsidR="00BA1984" w:rsidRDefault="00BA1984" w:rsidP="00BA1984">
      <w:pPr>
        <w:spacing w:line="480" w:lineRule="atLeast"/>
        <w:rPr>
          <w:rFonts w:ascii="Arial" w:eastAsia="Times New Roman" w:hAnsi="Arial"/>
          <w:spacing w:val="2"/>
          <w:kern w:val="0"/>
          <w:lang w:eastAsia="es-419"/>
          <w14:ligatures w14:val="none"/>
        </w:rPr>
      </w:pPr>
    </w:p>
    <w:p w14:paraId="3C08EB22" w14:textId="0B213A8B" w:rsidR="00BA1984" w:rsidRPr="00BA1984" w:rsidRDefault="00BA1984" w:rsidP="00BA1984">
      <w:pPr>
        <w:spacing w:line="480" w:lineRule="atLeast"/>
        <w:rPr>
          <w:rFonts w:ascii="Arial" w:eastAsia="Times New Roman" w:hAnsi="Arial"/>
          <w:spacing w:val="2"/>
          <w:kern w:val="0"/>
          <w:lang w:eastAsia="es-419"/>
          <w14:ligatures w14:val="none"/>
        </w:rPr>
      </w:pPr>
      <w:r w:rsidRPr="00BA1984">
        <w:rPr>
          <w:rFonts w:ascii="Arial" w:eastAsia="Times New Roman" w:hAnsi="Arial"/>
          <w:spacing w:val="2"/>
          <w:kern w:val="0"/>
          <w:lang w:eastAsia="es-419"/>
          <w14:ligatures w14:val="none"/>
        </w:rPr>
        <w:t>Teniendo en cuenta lo anterior, este Despacho </w:t>
      </w:r>
      <w:r w:rsidRPr="00BA1984">
        <w:rPr>
          <w:rFonts w:ascii="Arial" w:eastAsia="Times New Roman" w:hAnsi="Arial"/>
          <w:b/>
          <w:bCs/>
          <w:spacing w:val="2"/>
          <w:kern w:val="0"/>
          <w:lang w:eastAsia="es-419"/>
          <w14:ligatures w14:val="none"/>
        </w:rPr>
        <w:t>reitera </w:t>
      </w:r>
      <w:r w:rsidRPr="00BA1984">
        <w:rPr>
          <w:rFonts w:ascii="Arial" w:eastAsia="Times New Roman" w:hAnsi="Arial"/>
          <w:spacing w:val="2"/>
          <w:kern w:val="0"/>
          <w:lang w:eastAsia="es-419"/>
          <w14:ligatures w14:val="none"/>
        </w:rPr>
        <w:t>lo expuesto en el Oficio 0</w:t>
      </w:r>
      <w:hyperlink r:id="rId39" w:anchor="0" w:history="1">
        <w:r w:rsidRPr="00BA1984">
          <w:rPr>
            <w:rFonts w:ascii="Arial" w:eastAsia="Times New Roman" w:hAnsi="Arial"/>
            <w:color w:val="0000FF"/>
            <w:spacing w:val="2"/>
            <w:kern w:val="0"/>
            <w:u w:val="single"/>
            <w:lang w:eastAsia="es-419"/>
            <w14:ligatures w14:val="none"/>
          </w:rPr>
          <w:t>17555</w:t>
        </w:r>
      </w:hyperlink>
      <w:r w:rsidRPr="00BA1984">
        <w:rPr>
          <w:rFonts w:ascii="Arial" w:eastAsia="Times New Roman" w:hAnsi="Arial"/>
          <w:spacing w:val="2"/>
          <w:kern w:val="0"/>
          <w:lang w:eastAsia="es-419"/>
          <w14:ligatures w14:val="none"/>
        </w:rPr>
        <w:t> de julio 8 de 2019 en el sentido de que el Decreto </w:t>
      </w:r>
      <w:hyperlink r:id="rId40" w:anchor="0" w:history="1">
        <w:r w:rsidRPr="00BA1984">
          <w:rPr>
            <w:rFonts w:ascii="Arial" w:eastAsia="Times New Roman" w:hAnsi="Arial"/>
            <w:color w:val="0000FF"/>
            <w:spacing w:val="2"/>
            <w:kern w:val="0"/>
            <w:u w:val="single"/>
            <w:lang w:eastAsia="es-419"/>
            <w14:ligatures w14:val="none"/>
          </w:rPr>
          <w:t>379</w:t>
        </w:r>
      </w:hyperlink>
      <w:r w:rsidRPr="00BA1984">
        <w:rPr>
          <w:rFonts w:ascii="Arial" w:eastAsia="Times New Roman" w:hAnsi="Arial"/>
          <w:spacing w:val="2"/>
          <w:kern w:val="0"/>
          <w:lang w:eastAsia="es-419"/>
          <w14:ligatures w14:val="none"/>
        </w:rPr>
        <w:t> de 2007 fue derogado por el Decreto </w:t>
      </w:r>
      <w:hyperlink r:id="rId41" w:anchor="0" w:history="1">
        <w:r w:rsidRPr="00BA1984">
          <w:rPr>
            <w:rFonts w:ascii="Arial" w:eastAsia="Times New Roman" w:hAnsi="Arial"/>
            <w:color w:val="0000FF"/>
            <w:spacing w:val="2"/>
            <w:kern w:val="0"/>
            <w:u w:val="single"/>
            <w:lang w:eastAsia="es-419"/>
            <w14:ligatures w14:val="none"/>
          </w:rPr>
          <w:t>1625</w:t>
        </w:r>
      </w:hyperlink>
      <w:r w:rsidRPr="00BA1984">
        <w:rPr>
          <w:rFonts w:ascii="Arial" w:eastAsia="Times New Roman" w:hAnsi="Arial"/>
          <w:spacing w:val="2"/>
          <w:kern w:val="0"/>
          <w:lang w:eastAsia="es-419"/>
          <w14:ligatures w14:val="none"/>
        </w:rPr>
        <w:t> de 2016.</w:t>
      </w:r>
    </w:p>
    <w:p w14:paraId="60E57ACA" w14:textId="77777777" w:rsidR="00BA1984" w:rsidRDefault="00BA1984" w:rsidP="00BA1984">
      <w:pPr>
        <w:spacing w:line="480" w:lineRule="atLeast"/>
        <w:rPr>
          <w:rFonts w:ascii="Arial" w:eastAsia="Times New Roman" w:hAnsi="Arial"/>
          <w:spacing w:val="2"/>
          <w:kern w:val="0"/>
          <w:lang w:eastAsia="es-419"/>
          <w14:ligatures w14:val="none"/>
        </w:rPr>
      </w:pPr>
    </w:p>
    <w:p w14:paraId="3D3152B1" w14:textId="790571A3" w:rsidR="00BA1984" w:rsidRPr="00BA1984" w:rsidRDefault="00BA1984" w:rsidP="00BA1984">
      <w:pPr>
        <w:spacing w:line="480" w:lineRule="atLeast"/>
        <w:rPr>
          <w:rFonts w:ascii="Arial" w:eastAsia="Times New Roman" w:hAnsi="Arial"/>
          <w:spacing w:val="2"/>
          <w:kern w:val="0"/>
          <w:lang w:eastAsia="es-419"/>
          <w14:ligatures w14:val="none"/>
        </w:rPr>
      </w:pPr>
      <w:r w:rsidRPr="00BA1984">
        <w:rPr>
          <w:rFonts w:ascii="Arial" w:eastAsia="Times New Roman" w:hAnsi="Arial"/>
          <w:spacing w:val="2"/>
          <w:kern w:val="0"/>
          <w:lang w:eastAsia="es-419"/>
          <w14:ligatures w14:val="none"/>
        </w:rPr>
        <w:t>II. </w:t>
      </w:r>
      <w:r w:rsidRPr="00BA1984">
        <w:rPr>
          <w:rFonts w:ascii="Arial" w:eastAsia="Times New Roman" w:hAnsi="Arial"/>
          <w:b/>
          <w:bCs/>
          <w:spacing w:val="2"/>
          <w:kern w:val="0"/>
          <w:lang w:eastAsia="es-419"/>
          <w14:ligatures w14:val="none"/>
        </w:rPr>
        <w:t>Sobre el valor a considerar para efectos del numeral 5 del artículo </w:t>
      </w:r>
      <w:hyperlink r:id="rId42" w:anchor="424" w:history="1">
        <w:r w:rsidRPr="00BA1984">
          <w:rPr>
            <w:rFonts w:ascii="Arial" w:eastAsia="Times New Roman" w:hAnsi="Arial"/>
            <w:color w:val="0000FF"/>
            <w:spacing w:val="2"/>
            <w:kern w:val="0"/>
            <w:u w:val="single"/>
            <w:lang w:eastAsia="es-419"/>
            <w14:ligatures w14:val="none"/>
          </w:rPr>
          <w:t>424</w:t>
        </w:r>
      </w:hyperlink>
      <w:r w:rsidRPr="00BA1984">
        <w:rPr>
          <w:rFonts w:ascii="Arial" w:eastAsia="Times New Roman" w:hAnsi="Arial"/>
          <w:b/>
          <w:bCs/>
          <w:spacing w:val="2"/>
          <w:kern w:val="0"/>
          <w:lang w:eastAsia="es-419"/>
          <w14:ligatures w14:val="none"/>
        </w:rPr>
        <w:t> del Estatuto Tributario desde la publicación del Decreto </w:t>
      </w:r>
      <w:hyperlink r:id="rId43" w:anchor="0" w:history="1">
        <w:r w:rsidRPr="00BA1984">
          <w:rPr>
            <w:rFonts w:ascii="Arial" w:eastAsia="Times New Roman" w:hAnsi="Arial"/>
            <w:color w:val="0000FF"/>
            <w:spacing w:val="2"/>
            <w:kern w:val="0"/>
            <w:u w:val="single"/>
            <w:lang w:eastAsia="es-419"/>
            <w14:ligatures w14:val="none"/>
          </w:rPr>
          <w:t>1625</w:t>
        </w:r>
      </w:hyperlink>
      <w:r w:rsidRPr="00BA1984">
        <w:rPr>
          <w:rFonts w:ascii="Arial" w:eastAsia="Times New Roman" w:hAnsi="Arial"/>
          <w:b/>
          <w:bCs/>
          <w:spacing w:val="2"/>
          <w:kern w:val="0"/>
          <w:lang w:eastAsia="es-419"/>
          <w14:ligatures w14:val="none"/>
        </w:rPr>
        <w:t> de 2016 hasta la publicación del Decreto </w:t>
      </w:r>
      <w:hyperlink r:id="rId44" w:anchor="0" w:history="1">
        <w:r w:rsidRPr="00BA1984">
          <w:rPr>
            <w:rFonts w:ascii="Arial" w:eastAsia="Times New Roman" w:hAnsi="Arial"/>
            <w:color w:val="0000FF"/>
            <w:spacing w:val="2"/>
            <w:kern w:val="0"/>
            <w:u w:val="single"/>
            <w:lang w:eastAsia="es-419"/>
            <w14:ligatures w14:val="none"/>
          </w:rPr>
          <w:t>478</w:t>
        </w:r>
      </w:hyperlink>
      <w:r w:rsidRPr="00BA1984">
        <w:rPr>
          <w:rFonts w:ascii="Arial" w:eastAsia="Times New Roman" w:hAnsi="Arial"/>
          <w:b/>
          <w:bCs/>
          <w:spacing w:val="2"/>
          <w:kern w:val="0"/>
          <w:lang w:eastAsia="es-419"/>
          <w14:ligatures w14:val="none"/>
        </w:rPr>
        <w:t> de 2020.</w:t>
      </w:r>
    </w:p>
    <w:p w14:paraId="6997BB56" w14:textId="77777777" w:rsidR="00BA1984" w:rsidRDefault="00BA1984" w:rsidP="00BA1984">
      <w:pPr>
        <w:spacing w:line="480" w:lineRule="atLeast"/>
        <w:rPr>
          <w:rFonts w:ascii="Arial" w:eastAsia="Times New Roman" w:hAnsi="Arial"/>
          <w:spacing w:val="2"/>
          <w:kern w:val="0"/>
          <w:lang w:eastAsia="es-419"/>
          <w14:ligatures w14:val="none"/>
        </w:rPr>
      </w:pPr>
    </w:p>
    <w:p w14:paraId="283E13E3" w14:textId="5EA48BE5" w:rsidR="00BA1984" w:rsidRPr="00BA1984" w:rsidRDefault="00BA1984" w:rsidP="00BA1984">
      <w:pPr>
        <w:spacing w:line="480" w:lineRule="atLeast"/>
        <w:rPr>
          <w:rFonts w:ascii="Arial" w:eastAsia="Times New Roman" w:hAnsi="Arial"/>
          <w:spacing w:val="2"/>
          <w:kern w:val="0"/>
          <w:lang w:eastAsia="es-419"/>
          <w14:ligatures w14:val="none"/>
        </w:rPr>
      </w:pPr>
      <w:r w:rsidRPr="00BA1984">
        <w:rPr>
          <w:rFonts w:ascii="Arial" w:eastAsia="Times New Roman" w:hAnsi="Arial"/>
          <w:spacing w:val="2"/>
          <w:kern w:val="0"/>
          <w:lang w:eastAsia="es-419"/>
          <w14:ligatures w14:val="none"/>
        </w:rPr>
        <w:t>En vista de la derogatoria de los artículos </w:t>
      </w:r>
      <w:hyperlink r:id="rId45" w:anchor="1" w:history="1">
        <w:r w:rsidRPr="00BA1984">
          <w:rPr>
            <w:rFonts w:ascii="Arial" w:eastAsia="Times New Roman" w:hAnsi="Arial"/>
            <w:color w:val="0000FF"/>
            <w:spacing w:val="2"/>
            <w:kern w:val="0"/>
            <w:u w:val="single"/>
            <w:lang w:eastAsia="es-419"/>
            <w14:ligatures w14:val="none"/>
          </w:rPr>
          <w:t>1o</w:t>
        </w:r>
      </w:hyperlink>
      <w:r w:rsidRPr="00BA1984">
        <w:rPr>
          <w:rFonts w:ascii="Arial" w:eastAsia="Times New Roman" w:hAnsi="Arial"/>
          <w:spacing w:val="2"/>
          <w:kern w:val="0"/>
          <w:lang w:eastAsia="es-419"/>
          <w14:ligatures w14:val="none"/>
        </w:rPr>
        <w:t> del Decreto 379 de 2007 y </w:t>
      </w:r>
      <w:hyperlink r:id="rId46" w:anchor="5" w:history="1">
        <w:r w:rsidRPr="00BA1984">
          <w:rPr>
            <w:rFonts w:ascii="Arial" w:eastAsia="Times New Roman" w:hAnsi="Arial"/>
            <w:color w:val="0000FF"/>
            <w:spacing w:val="2"/>
            <w:kern w:val="0"/>
            <w:u w:val="single"/>
            <w:lang w:eastAsia="es-419"/>
            <w14:ligatures w14:val="none"/>
          </w:rPr>
          <w:t>5o</w:t>
        </w:r>
      </w:hyperlink>
      <w:r w:rsidRPr="00BA1984">
        <w:rPr>
          <w:rFonts w:ascii="Arial" w:eastAsia="Times New Roman" w:hAnsi="Arial"/>
          <w:spacing w:val="2"/>
          <w:kern w:val="0"/>
          <w:lang w:eastAsia="es-419"/>
          <w14:ligatures w14:val="none"/>
        </w:rPr>
        <w:t> del Decreto 567 del mismo año y durante el interregno planteado, esta Dirección </w:t>
      </w:r>
      <w:r w:rsidRPr="00BA1984">
        <w:rPr>
          <w:rFonts w:ascii="Arial" w:eastAsia="Times New Roman" w:hAnsi="Arial"/>
          <w:b/>
          <w:bCs/>
          <w:spacing w:val="2"/>
          <w:kern w:val="0"/>
          <w:lang w:eastAsia="es-419"/>
          <w14:ligatures w14:val="none"/>
        </w:rPr>
        <w:t>reitera </w:t>
      </w:r>
      <w:r w:rsidRPr="00BA1984">
        <w:rPr>
          <w:rFonts w:ascii="Arial" w:eastAsia="Times New Roman" w:hAnsi="Arial"/>
          <w:spacing w:val="2"/>
          <w:kern w:val="0"/>
          <w:lang w:eastAsia="es-419"/>
          <w14:ligatures w14:val="none"/>
        </w:rPr>
        <w:t>lo manifestado en el Oficio 0</w:t>
      </w:r>
      <w:hyperlink r:id="rId47" w:anchor="0" w:history="1">
        <w:r w:rsidRPr="00BA1984">
          <w:rPr>
            <w:rFonts w:ascii="Arial" w:eastAsia="Times New Roman" w:hAnsi="Arial"/>
            <w:color w:val="0000FF"/>
            <w:spacing w:val="2"/>
            <w:kern w:val="0"/>
            <w:u w:val="single"/>
            <w:lang w:eastAsia="es-419"/>
            <w14:ligatures w14:val="none"/>
          </w:rPr>
          <w:t>17555</w:t>
        </w:r>
      </w:hyperlink>
      <w:r w:rsidRPr="00BA1984">
        <w:rPr>
          <w:rFonts w:ascii="Arial" w:eastAsia="Times New Roman" w:hAnsi="Arial"/>
          <w:spacing w:val="2"/>
          <w:kern w:val="0"/>
          <w:lang w:eastAsia="es-419"/>
          <w14:ligatures w14:val="none"/>
        </w:rPr>
        <w:t> de julio 8 de 2019 en torno al valor de los computadores personales de escritorio o portátiles para efectos de la exclusión del IVA. Es decir, en ausencia de reglas especiales, como puede ser un decreto reglamentario, es necesario considerar el valor de los bienes citados al momento de realización del hecho generador del IVA en cada caso en particular. En consecuencia, </w:t>
      </w:r>
      <w:r w:rsidRPr="00BA1984">
        <w:rPr>
          <w:rFonts w:ascii="Arial" w:eastAsia="Times New Roman" w:hAnsi="Arial"/>
          <w:b/>
          <w:bCs/>
          <w:spacing w:val="2"/>
          <w:kern w:val="0"/>
          <w:lang w:eastAsia="es-419"/>
          <w14:ligatures w14:val="none"/>
        </w:rPr>
        <w:t>se confirman </w:t>
      </w:r>
      <w:r w:rsidRPr="00BA1984">
        <w:rPr>
          <w:rFonts w:ascii="Arial" w:eastAsia="Times New Roman" w:hAnsi="Arial"/>
          <w:spacing w:val="2"/>
          <w:kern w:val="0"/>
          <w:lang w:eastAsia="es-419"/>
          <w14:ligatures w14:val="none"/>
        </w:rPr>
        <w:t>los Oficios 0</w:t>
      </w:r>
      <w:hyperlink r:id="rId48" w:anchor="0" w:history="1">
        <w:r w:rsidRPr="00BA1984">
          <w:rPr>
            <w:rFonts w:ascii="Arial" w:eastAsia="Times New Roman" w:hAnsi="Arial"/>
            <w:color w:val="0000FF"/>
            <w:spacing w:val="2"/>
            <w:kern w:val="0"/>
            <w:u w:val="single"/>
            <w:lang w:eastAsia="es-419"/>
            <w14:ligatures w14:val="none"/>
          </w:rPr>
          <w:t>31237</w:t>
        </w:r>
      </w:hyperlink>
      <w:r w:rsidRPr="00BA1984">
        <w:rPr>
          <w:rFonts w:ascii="Arial" w:eastAsia="Times New Roman" w:hAnsi="Arial"/>
          <w:spacing w:val="2"/>
          <w:kern w:val="0"/>
          <w:lang w:eastAsia="es-419"/>
          <w14:ligatures w14:val="none"/>
        </w:rPr>
        <w:t> de octubre 25 de 2018 y 901534 de julio 26 de 2019.</w:t>
      </w:r>
    </w:p>
    <w:p w14:paraId="3BF281E6" w14:textId="77777777" w:rsidR="00BA1984" w:rsidRDefault="00BA1984" w:rsidP="00BA1984">
      <w:pPr>
        <w:spacing w:line="480" w:lineRule="atLeast"/>
        <w:rPr>
          <w:rFonts w:ascii="Arial" w:eastAsia="Times New Roman" w:hAnsi="Arial"/>
          <w:spacing w:val="2"/>
          <w:kern w:val="0"/>
          <w:lang w:eastAsia="es-419"/>
          <w14:ligatures w14:val="none"/>
        </w:rPr>
      </w:pPr>
    </w:p>
    <w:p w14:paraId="708DBF28" w14:textId="7CFAC8B3" w:rsidR="00BA1984" w:rsidRPr="00BA1984" w:rsidRDefault="00BA1984" w:rsidP="00BA1984">
      <w:pPr>
        <w:spacing w:line="480" w:lineRule="atLeast"/>
        <w:rPr>
          <w:rFonts w:ascii="Arial" w:eastAsia="Times New Roman" w:hAnsi="Arial"/>
          <w:spacing w:val="2"/>
          <w:kern w:val="0"/>
          <w:lang w:eastAsia="es-419"/>
          <w14:ligatures w14:val="none"/>
        </w:rPr>
      </w:pPr>
      <w:r w:rsidRPr="00BA1984">
        <w:rPr>
          <w:rFonts w:ascii="Arial" w:eastAsia="Times New Roman" w:hAnsi="Arial"/>
          <w:spacing w:val="2"/>
          <w:kern w:val="0"/>
          <w:lang w:eastAsia="es-419"/>
          <w14:ligatures w14:val="none"/>
        </w:rPr>
        <w:t>En los anteriores términos se resuelve su solicitud y finalmente le manifestamos que la Dirección de Impuestos y Aduanas Nacionales-DIAN-, con el fin de facilitar a los contribuyentes, usuarios y público en general el acceso directo a sus pronunciamientos doctrinarios, ha publicado en su página de internet </w:t>
      </w:r>
      <w:r w:rsidRPr="00BA1984">
        <w:rPr>
          <w:rFonts w:ascii="Arial" w:eastAsia="Times New Roman" w:hAnsi="Arial"/>
          <w:spacing w:val="2"/>
          <w:kern w:val="0"/>
          <w:u w:val="single"/>
          <w:lang w:eastAsia="es-419"/>
          <w14:ligatures w14:val="none"/>
        </w:rPr>
        <w:t>www.dian.gov.co</w:t>
      </w:r>
      <w:r w:rsidRPr="00BA1984">
        <w:rPr>
          <w:rFonts w:ascii="Arial" w:eastAsia="Times New Roman" w:hAnsi="Arial"/>
          <w:spacing w:val="2"/>
          <w:kern w:val="0"/>
          <w:lang w:eastAsia="es-419"/>
          <w14:ligatures w14:val="none"/>
        </w:rPr>
        <w:t xml:space="preserve">, la base de conceptos en materia tributaria, aduanera y cambiaría expedidos desde el año 2001, la cual se puede ingresar por el icono de “Normatividad” -“técnica”-, dando </w:t>
      </w:r>
      <w:proofErr w:type="spellStart"/>
      <w:r w:rsidRPr="00BA1984">
        <w:rPr>
          <w:rFonts w:ascii="Arial" w:eastAsia="Times New Roman" w:hAnsi="Arial"/>
          <w:spacing w:val="2"/>
          <w:kern w:val="0"/>
          <w:lang w:eastAsia="es-419"/>
          <w14:ligatures w14:val="none"/>
        </w:rPr>
        <w:t>click</w:t>
      </w:r>
      <w:proofErr w:type="spellEnd"/>
      <w:r w:rsidRPr="00BA1984">
        <w:rPr>
          <w:rFonts w:ascii="Arial" w:eastAsia="Times New Roman" w:hAnsi="Arial"/>
          <w:spacing w:val="2"/>
          <w:kern w:val="0"/>
          <w:lang w:eastAsia="es-419"/>
          <w14:ligatures w14:val="none"/>
        </w:rPr>
        <w:t xml:space="preserve"> en el link “Doctrina Dirección de Gestión Jurídica”.</w:t>
      </w:r>
    </w:p>
    <w:p w14:paraId="5AB1AD77" w14:textId="77777777" w:rsidR="00BA1984" w:rsidRDefault="00BA1984" w:rsidP="00BA1984">
      <w:pPr>
        <w:spacing w:line="480" w:lineRule="atLeast"/>
        <w:rPr>
          <w:rFonts w:ascii="Arial" w:eastAsia="Times New Roman" w:hAnsi="Arial"/>
          <w:spacing w:val="2"/>
          <w:kern w:val="0"/>
          <w:u w:val="single"/>
          <w:lang w:eastAsia="es-419"/>
          <w14:ligatures w14:val="none"/>
        </w:rPr>
      </w:pPr>
      <w:bookmarkStart w:id="0" w:name="NF"/>
    </w:p>
    <w:p w14:paraId="08EB5D9E" w14:textId="616E2C98" w:rsidR="00BA1984" w:rsidRPr="00BA1984" w:rsidRDefault="00BA1984" w:rsidP="00BA1984">
      <w:pPr>
        <w:spacing w:line="480" w:lineRule="atLeast"/>
        <w:rPr>
          <w:rFonts w:ascii="Arial" w:eastAsia="Times New Roman" w:hAnsi="Arial"/>
          <w:spacing w:val="2"/>
          <w:kern w:val="0"/>
          <w:lang w:eastAsia="es-419"/>
          <w14:ligatures w14:val="none"/>
        </w:rPr>
      </w:pPr>
      <w:r w:rsidRPr="00BA1984">
        <w:rPr>
          <w:rFonts w:ascii="Arial" w:eastAsia="Times New Roman" w:hAnsi="Arial"/>
          <w:spacing w:val="2"/>
          <w:kern w:val="0"/>
          <w:u w:val="single"/>
          <w:lang w:eastAsia="es-419"/>
          <w14:ligatures w14:val="none"/>
        </w:rPr>
        <w:t>&lt;NOTAS DE PIE DE PAGINA&gt;.</w:t>
      </w:r>
      <w:bookmarkEnd w:id="0"/>
    </w:p>
    <w:p w14:paraId="7BAA86B4" w14:textId="77777777" w:rsidR="00BA1984" w:rsidRDefault="00BA1984" w:rsidP="00BA1984">
      <w:pPr>
        <w:spacing w:line="480" w:lineRule="atLeast"/>
        <w:rPr>
          <w:rFonts w:ascii="Arial" w:eastAsia="Times New Roman" w:hAnsi="Arial"/>
          <w:spacing w:val="2"/>
          <w:kern w:val="0"/>
          <w:lang w:eastAsia="es-419"/>
          <w14:ligatures w14:val="none"/>
        </w:rPr>
      </w:pPr>
      <w:bookmarkStart w:id="1" w:name="NF1"/>
    </w:p>
    <w:p w14:paraId="48732215" w14:textId="6D589DCC" w:rsidR="00BA1984" w:rsidRPr="00BA1984" w:rsidRDefault="00BA1984" w:rsidP="00BA1984">
      <w:pPr>
        <w:spacing w:line="480" w:lineRule="atLeast"/>
        <w:rPr>
          <w:rFonts w:ascii="Arial" w:eastAsia="Times New Roman" w:hAnsi="Arial"/>
          <w:spacing w:val="2"/>
          <w:kern w:val="0"/>
          <w:lang w:eastAsia="es-419"/>
          <w14:ligatures w14:val="none"/>
        </w:rPr>
      </w:pPr>
      <w:r w:rsidRPr="00BA1984">
        <w:rPr>
          <w:rFonts w:ascii="Arial" w:eastAsia="Times New Roman" w:hAnsi="Arial"/>
          <w:spacing w:val="2"/>
          <w:kern w:val="0"/>
          <w:lang w:eastAsia="es-419"/>
          <w14:ligatures w14:val="none"/>
        </w:rPr>
        <w:t>1. </w:t>
      </w:r>
      <w:bookmarkEnd w:id="1"/>
      <w:r w:rsidRPr="00BA1984">
        <w:rPr>
          <w:rFonts w:ascii="Arial" w:eastAsia="Times New Roman" w:hAnsi="Arial"/>
          <w:spacing w:val="2"/>
          <w:kern w:val="0"/>
          <w:lang w:eastAsia="es-419"/>
          <w14:ligatures w14:val="none"/>
        </w:rPr>
        <w:t>Artículo </w:t>
      </w:r>
      <w:hyperlink r:id="rId49" w:anchor="5.1.1" w:history="1">
        <w:r w:rsidRPr="00BA1984">
          <w:rPr>
            <w:rFonts w:ascii="Arial" w:eastAsia="Times New Roman" w:hAnsi="Arial"/>
            <w:color w:val="0000FF"/>
            <w:spacing w:val="2"/>
            <w:kern w:val="0"/>
            <w:u w:val="single"/>
            <w:lang w:eastAsia="es-419"/>
            <w14:ligatures w14:val="none"/>
          </w:rPr>
          <w:t>5.1.1</w:t>
        </w:r>
      </w:hyperlink>
      <w:r w:rsidRPr="00BA1984">
        <w:rPr>
          <w:rFonts w:ascii="Arial" w:eastAsia="Times New Roman" w:hAnsi="Arial"/>
          <w:spacing w:val="2"/>
          <w:kern w:val="0"/>
          <w:lang w:eastAsia="es-419"/>
          <w14:ligatures w14:val="none"/>
        </w:rPr>
        <w:t>. Derogatoria Integral. &lt;Reubicado&gt; Este Decreto regula íntegramente las materias contempladas en él. Por consiguiente, de conformidad con el artículo 3o de la Ley 153 de 1887, quedan derogadas todas las disposiciones de naturaleza reglamentaria relativas al Sector Hacienda que versen sobre las mismas materias, con excepción, exclusivamente, de las disposiciones aduaneras de carácter reglamentario vigentes, las normas estabilizadas, las disposiciones de periodo vigentes para el control y el cumplimiento de obligaciones tributarias, las disposiciones reglamentarias vigentes de las contribuciones, y las normas suspendidas provisionalmente que quedan sujetas a los fallos definitivos. (Subrayado fuera del texto).</w:t>
      </w:r>
    </w:p>
    <w:p w14:paraId="03EF5580" w14:textId="77777777" w:rsidR="00BA1984" w:rsidRPr="00BA1984" w:rsidRDefault="00BA1984" w:rsidP="00BA1984">
      <w:pPr>
        <w:spacing w:line="240" w:lineRule="auto"/>
        <w:rPr>
          <w:rFonts w:ascii="Arial" w:eastAsia="Times New Roman" w:hAnsi="Arial"/>
          <w:color w:val="454545"/>
          <w:kern w:val="0"/>
          <w:lang w:eastAsia="es-419"/>
          <w14:ligatures w14:val="none"/>
        </w:rPr>
      </w:pPr>
      <w:r w:rsidRPr="00BA1984">
        <w:rPr>
          <w:rFonts w:ascii="Arial" w:eastAsia="Times New Roman" w:hAnsi="Arial"/>
          <w:noProof/>
          <w:color w:val="0000FF"/>
          <w:kern w:val="0"/>
          <w:lang w:eastAsia="es-419"/>
          <w14:ligatures w14:val="none"/>
        </w:rPr>
        <mc:AlternateContent>
          <mc:Choice Requires="wps">
            <w:drawing>
              <wp:inline distT="0" distB="0" distL="0" distR="0" wp14:anchorId="0FAFC920" wp14:editId="65C377E3">
                <wp:extent cx="304800" cy="304800"/>
                <wp:effectExtent l="0" t="0" r="0" b="0"/>
                <wp:docPr id="1546028974" name="AutoShape 1" descr="Ir al inicio">
                  <a:hlinkClick xmlns:a="http://schemas.openxmlformats.org/drawingml/2006/main" r:id="rId50" tooltip="&quot;Ir al inicio&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473BBB" id="AutoShape 1" o:spid="_x0000_s1026" alt="Ir al inicio" href="https://normograma.dian.gov.co/dian/compilacion/docs/oficio_dian_5445_2023.htm#documento_top" title="&quot;Ir al inicio&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072CFE2" w14:textId="12695F6A" w:rsidR="002F3F02" w:rsidRPr="00BA1984" w:rsidRDefault="00BA1984">
      <w:pPr>
        <w:rPr>
          <w:rFonts w:ascii="Arial" w:hAnsi="Arial"/>
        </w:rPr>
      </w:pPr>
      <w:r>
        <w:rPr>
          <w:rFonts w:ascii="Arial" w:hAnsi="Arial"/>
        </w:rPr>
        <w:t>_____________________________________________________________________</w:t>
      </w:r>
    </w:p>
    <w:p w14:paraId="3B9D01A5" w14:textId="77777777" w:rsidR="00BA1984" w:rsidRPr="00BA1984" w:rsidRDefault="00BA1984">
      <w:pPr>
        <w:rPr>
          <w:rFonts w:ascii="Arial" w:hAnsi="Arial"/>
        </w:rPr>
      </w:pPr>
    </w:p>
    <w:sectPr w:rsidR="00BA1984" w:rsidRPr="00BA1984" w:rsidSect="00DE361E">
      <w:pgSz w:w="12242" w:h="15842" w:code="1"/>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C40"/>
    <w:multiLevelType w:val="multilevel"/>
    <w:tmpl w:val="580A001D"/>
    <w:styleLink w:val="DEMANDAS"/>
    <w:lvl w:ilvl="0">
      <w:start w:val="1"/>
      <w:numFmt w:val="decimal"/>
      <w:lvlText w:val="%1)"/>
      <w:lvlJc w:val="left"/>
      <w:pPr>
        <w:ind w:left="360" w:hanging="360"/>
      </w:pPr>
      <w:rPr>
        <w:rFonts w:ascii="Century Gothic" w:hAnsi="Century Gothic"/>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80684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84"/>
    <w:rsid w:val="002F3F02"/>
    <w:rsid w:val="004A489D"/>
    <w:rsid w:val="004F1D2E"/>
    <w:rsid w:val="005173B2"/>
    <w:rsid w:val="005B14BF"/>
    <w:rsid w:val="00696B39"/>
    <w:rsid w:val="00840411"/>
    <w:rsid w:val="00885E73"/>
    <w:rsid w:val="009705EC"/>
    <w:rsid w:val="00A613E5"/>
    <w:rsid w:val="00A91F78"/>
    <w:rsid w:val="00AE7AD8"/>
    <w:rsid w:val="00B21583"/>
    <w:rsid w:val="00B76269"/>
    <w:rsid w:val="00BA1984"/>
    <w:rsid w:val="00BE074B"/>
    <w:rsid w:val="00CA1F22"/>
    <w:rsid w:val="00CC19F3"/>
    <w:rsid w:val="00CC2D9A"/>
    <w:rsid w:val="00D65024"/>
    <w:rsid w:val="00DE36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7CCC9"/>
  <w15:chartTrackingRefBased/>
  <w15:docId w15:val="{6CE17D08-98E7-45C5-9873-AFD7EBF8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Arial"/>
        <w:kern w:val="2"/>
        <w:sz w:val="24"/>
        <w:szCs w:val="24"/>
        <w:lang w:val="es-419"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024"/>
  </w:style>
  <w:style w:type="paragraph" w:styleId="Ttulo1">
    <w:name w:val="heading 1"/>
    <w:basedOn w:val="Normal"/>
    <w:next w:val="Normal"/>
    <w:link w:val="Ttulo1Car"/>
    <w:uiPriority w:val="9"/>
    <w:qFormat/>
    <w:rsid w:val="00CC2D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CC2D9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DEMANDAS">
    <w:name w:val="DEMANDAS"/>
    <w:uiPriority w:val="99"/>
    <w:rsid w:val="00885E73"/>
    <w:pPr>
      <w:numPr>
        <w:numId w:val="1"/>
      </w:numPr>
    </w:pPr>
  </w:style>
  <w:style w:type="character" w:customStyle="1" w:styleId="Ttulo1Car">
    <w:name w:val="Título 1 Car"/>
    <w:basedOn w:val="Fuentedeprrafopredeter"/>
    <w:link w:val="Ttulo1"/>
    <w:uiPriority w:val="9"/>
    <w:rsid w:val="00CC2D9A"/>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CC2D9A"/>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CC2D9A"/>
    <w:rPr>
      <w:b/>
      <w:bCs/>
    </w:rPr>
  </w:style>
  <w:style w:type="paragraph" w:styleId="Prrafodelista">
    <w:name w:val="List Paragraph"/>
    <w:basedOn w:val="Normal"/>
    <w:uiPriority w:val="34"/>
    <w:qFormat/>
    <w:rsid w:val="00CC2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05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ograma.dian.gov.co/dian/compilacion/docs/oficio_dian_5989_2017.htm" TargetMode="External"/><Relationship Id="rId18" Type="http://schemas.openxmlformats.org/officeDocument/2006/relationships/hyperlink" Target="https://normograma.dian.gov.co/dian/compilacion/docs/decreto_0567_2007.htm" TargetMode="External"/><Relationship Id="rId26" Type="http://schemas.openxmlformats.org/officeDocument/2006/relationships/hyperlink" Target="https://normograma.dian.gov.co/dian/compilacion/docs/decreto_0567_2007.htm" TargetMode="External"/><Relationship Id="rId39" Type="http://schemas.openxmlformats.org/officeDocument/2006/relationships/hyperlink" Target="https://normograma.dian.gov.co/dian/compilacion/docs/oficio_dian_17555_2019.htm" TargetMode="External"/><Relationship Id="rId21" Type="http://schemas.openxmlformats.org/officeDocument/2006/relationships/hyperlink" Target="https://normograma.dian.gov.co/dian/compilacion/docs/decreto_1625_2016.htm" TargetMode="External"/><Relationship Id="rId34" Type="http://schemas.openxmlformats.org/officeDocument/2006/relationships/hyperlink" Target="https://normograma.dian.gov.co/dian/compilacion/docs/oficio_dian_31496_2007.htm" TargetMode="External"/><Relationship Id="rId42" Type="http://schemas.openxmlformats.org/officeDocument/2006/relationships/hyperlink" Target="https://normograma.dian.gov.co/dian/compilacion/docs/estatuto_tributario.htm" TargetMode="External"/><Relationship Id="rId47" Type="http://schemas.openxmlformats.org/officeDocument/2006/relationships/hyperlink" Target="https://normograma.dian.gov.co/dian/compilacion/docs/oficio_dian_17555_2019.htm" TargetMode="External"/><Relationship Id="rId50" Type="http://schemas.openxmlformats.org/officeDocument/2006/relationships/hyperlink" Target="https://normograma.dian.gov.co/dian/compilacion/docs/oficio_dian_5445_2023.htm#documento_top" TargetMode="External"/><Relationship Id="rId7" Type="http://schemas.openxmlformats.org/officeDocument/2006/relationships/hyperlink" Target="https://normograma.dian.gov.co/dian/compilacion/docs/oficio_dian_24038_2019.htm" TargetMode="External"/><Relationship Id="rId2" Type="http://schemas.openxmlformats.org/officeDocument/2006/relationships/styles" Target="styles.xml"/><Relationship Id="rId16" Type="http://schemas.openxmlformats.org/officeDocument/2006/relationships/hyperlink" Target="https://normograma.dian.gov.co/dian/compilacion/docs/decreto_1625_2016.htm" TargetMode="External"/><Relationship Id="rId29" Type="http://schemas.openxmlformats.org/officeDocument/2006/relationships/hyperlink" Target="https://normograma.dian.gov.co/dian/compilacion/docs/ley_1819_2016.htm" TargetMode="External"/><Relationship Id="rId11" Type="http://schemas.openxmlformats.org/officeDocument/2006/relationships/hyperlink" Target="https://normograma.dian.gov.co/dian/compilacion/docs/estatuto_tributario.htm" TargetMode="External"/><Relationship Id="rId24" Type="http://schemas.openxmlformats.org/officeDocument/2006/relationships/hyperlink" Target="https://normograma.dian.gov.co/dian/compilacion/docs/ley_1819_2016.htm" TargetMode="External"/><Relationship Id="rId32" Type="http://schemas.openxmlformats.org/officeDocument/2006/relationships/hyperlink" Target="https://normograma.dian.gov.co/dian/compilacion/docs/11001-03-27-000-2007-00040-01(16798).htm" TargetMode="External"/><Relationship Id="rId37" Type="http://schemas.openxmlformats.org/officeDocument/2006/relationships/hyperlink" Target="https://normograma.dian.gov.co/dian/compilacion/docs/decreto_0567_2007.htm" TargetMode="External"/><Relationship Id="rId40" Type="http://schemas.openxmlformats.org/officeDocument/2006/relationships/hyperlink" Target="https://normograma.dian.gov.co/dian/compilacion/docs/decreto_0379_2007.htm" TargetMode="External"/><Relationship Id="rId45" Type="http://schemas.openxmlformats.org/officeDocument/2006/relationships/hyperlink" Target="https://normograma.dian.gov.co/dian/compilacion/docs/decreto_0379_2007.htm" TargetMode="External"/><Relationship Id="rId5" Type="http://schemas.openxmlformats.org/officeDocument/2006/relationships/hyperlink" Target="https://normograma.dian.gov.co/dian/compilacion/docs/decreto_1742_2020.htm" TargetMode="External"/><Relationship Id="rId15" Type="http://schemas.openxmlformats.org/officeDocument/2006/relationships/hyperlink" Target="https://normograma.dian.gov.co/dian/compilacion/docs/decreto_0379_2007.htm" TargetMode="External"/><Relationship Id="rId23" Type="http://schemas.openxmlformats.org/officeDocument/2006/relationships/hyperlink" Target="https://normograma.dian.gov.co/dian/compilacion/docs/oficio_dian_6410_2017.htm" TargetMode="External"/><Relationship Id="rId28" Type="http://schemas.openxmlformats.org/officeDocument/2006/relationships/hyperlink" Target="https://normograma.dian.gov.co/dian/compilacion/docs/estatuto_tributario.htm" TargetMode="External"/><Relationship Id="rId36" Type="http://schemas.openxmlformats.org/officeDocument/2006/relationships/hyperlink" Target="https://normograma.dian.gov.co/dian/compilacion/docs/decreto_0379_2007.htm" TargetMode="External"/><Relationship Id="rId49" Type="http://schemas.openxmlformats.org/officeDocument/2006/relationships/hyperlink" Target="https://normograma.dian.gov.co/dian/compilacion/docs/decreto_1625_2016.htm" TargetMode="External"/><Relationship Id="rId10" Type="http://schemas.openxmlformats.org/officeDocument/2006/relationships/hyperlink" Target="https://normograma.dian.gov.co/dian/compilacion/docs/decreto_0478_2020.htm" TargetMode="External"/><Relationship Id="rId19" Type="http://schemas.openxmlformats.org/officeDocument/2006/relationships/hyperlink" Target="https://normograma.dian.gov.co/dian/compilacion/docs/decreto_0567_2007.htm" TargetMode="External"/><Relationship Id="rId31" Type="http://schemas.openxmlformats.org/officeDocument/2006/relationships/hyperlink" Target="https://normograma.dian.gov.co/dian/compilacion/docs/oficio_dian_24038_2019.htm" TargetMode="External"/><Relationship Id="rId44" Type="http://schemas.openxmlformats.org/officeDocument/2006/relationships/hyperlink" Target="https://normograma.dian.gov.co/dian/compilacion/docs/decreto_0478_2020.ht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ormograma.dian.gov.co/dian/compilacion/docs/decreto_0379_2007.htm" TargetMode="External"/><Relationship Id="rId14" Type="http://schemas.openxmlformats.org/officeDocument/2006/relationships/hyperlink" Target="https://normograma.dian.gov.co/dian/compilacion/docs/decreto_0567_2007.htm" TargetMode="External"/><Relationship Id="rId22" Type="http://schemas.openxmlformats.org/officeDocument/2006/relationships/hyperlink" Target="https://normograma.dian.gov.co/dian/compilacion/docs/estatuto_tributario.htm" TargetMode="External"/><Relationship Id="rId27" Type="http://schemas.openxmlformats.org/officeDocument/2006/relationships/hyperlink" Target="https://normograma.dian.gov.co/dian/compilacion/docs/ley_1819_2016.htm" TargetMode="External"/><Relationship Id="rId30" Type="http://schemas.openxmlformats.org/officeDocument/2006/relationships/hyperlink" Target="https://normograma.dian.gov.co/dian/compilacion/docs/oficio_dian_31237_2018.htm" TargetMode="External"/><Relationship Id="rId35" Type="http://schemas.openxmlformats.org/officeDocument/2006/relationships/hyperlink" Target="https://normograma.dian.gov.co/dian/compilacion/docs/ley_1111_2006.htm" TargetMode="External"/><Relationship Id="rId43" Type="http://schemas.openxmlformats.org/officeDocument/2006/relationships/hyperlink" Target="https://normograma.dian.gov.co/dian/compilacion/docs/decreto_1625_2016.htm" TargetMode="External"/><Relationship Id="rId48" Type="http://schemas.openxmlformats.org/officeDocument/2006/relationships/hyperlink" Target="https://normograma.dian.gov.co/dian/compilacion/docs/oficio_dian_31237_2018.htm" TargetMode="External"/><Relationship Id="rId8" Type="http://schemas.openxmlformats.org/officeDocument/2006/relationships/hyperlink" Target="https://normograma.dian.gov.co/dian/compilacion/docs/11001-03-27-000-2007-00040-01(16798).htm"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normograma.dian.gov.co/dian/compilacion/docs/oficio_dian_31237_2018.htm" TargetMode="External"/><Relationship Id="rId17" Type="http://schemas.openxmlformats.org/officeDocument/2006/relationships/hyperlink" Target="https://normograma.dian.gov.co/dian/compilacion/docs/ley_1819_2016.htm" TargetMode="External"/><Relationship Id="rId25" Type="http://schemas.openxmlformats.org/officeDocument/2006/relationships/hyperlink" Target="https://normograma.dian.gov.co/dian/compilacion/docs/estatuto_tributario.htm" TargetMode="External"/><Relationship Id="rId33" Type="http://schemas.openxmlformats.org/officeDocument/2006/relationships/hyperlink" Target="https://normograma.dian.gov.co/dian/compilacion/docs/ley_1437_2011.htm" TargetMode="External"/><Relationship Id="rId38" Type="http://schemas.openxmlformats.org/officeDocument/2006/relationships/hyperlink" Target="https://normograma.dian.gov.co/dian/compilacion/docs/decreto_1625_2016.htm" TargetMode="External"/><Relationship Id="rId46" Type="http://schemas.openxmlformats.org/officeDocument/2006/relationships/hyperlink" Target="https://normograma.dian.gov.co/dian/compilacion/docs/decreto_0567_2007.htm" TargetMode="External"/><Relationship Id="rId20" Type="http://schemas.openxmlformats.org/officeDocument/2006/relationships/hyperlink" Target="https://normograma.dian.gov.co/dian/compilacion/docs/decreto_0379_2007.htm" TargetMode="External"/><Relationship Id="rId41" Type="http://schemas.openxmlformats.org/officeDocument/2006/relationships/hyperlink" Target="https://normograma.dian.gov.co/dian/compilacion/docs/decreto_1625_2016.htm" TargetMode="External"/><Relationship Id="rId1" Type="http://schemas.openxmlformats.org/officeDocument/2006/relationships/numbering" Target="numbering.xml"/><Relationship Id="rId6" Type="http://schemas.openxmlformats.org/officeDocument/2006/relationships/hyperlink" Target="https://normograma.dian.gov.co/dian/compilacion/docs/oficio_dian_31237_2018.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2033</Words>
  <Characters>11185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Alexandra Orozco López</dc:creator>
  <cp:keywords/>
  <dc:description/>
  <cp:lastModifiedBy>Diana Alexandra Orozco López</cp:lastModifiedBy>
  <cp:revision>1</cp:revision>
  <dcterms:created xsi:type="dcterms:W3CDTF">2023-10-23T13:54:00Z</dcterms:created>
  <dcterms:modified xsi:type="dcterms:W3CDTF">2023-10-23T14:08:00Z</dcterms:modified>
</cp:coreProperties>
</file>