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111F" w14:textId="77777777" w:rsidR="007F5C94" w:rsidRPr="006019FD" w:rsidRDefault="007F5C94" w:rsidP="006019FD">
      <w:pPr>
        <w:shd w:val="clear" w:color="auto" w:fill="FFFFFF"/>
        <w:spacing w:after="150" w:line="360" w:lineRule="auto"/>
        <w:jc w:val="center"/>
        <w:rPr>
          <w:rFonts w:ascii="Helvetica" w:eastAsia="Times New Roman" w:hAnsi="Helvetica" w:cs="Helvetica"/>
          <w:kern w:val="0"/>
          <w:sz w:val="21"/>
          <w:szCs w:val="21"/>
          <w:highlight w:val="yellow"/>
          <w:lang w:eastAsia="es-CO"/>
          <w14:ligatures w14:val="none"/>
        </w:rPr>
      </w:pPr>
      <w:r w:rsidRPr="006019FD">
        <w:rPr>
          <w:rFonts w:ascii="Helvetica" w:eastAsia="Times New Roman" w:hAnsi="Helvetica" w:cs="Helvetica"/>
          <w:b/>
          <w:bCs/>
          <w:kern w:val="0"/>
          <w:sz w:val="21"/>
          <w:szCs w:val="21"/>
          <w:highlight w:val="yellow"/>
          <w:lang w:eastAsia="es-CO"/>
          <w14:ligatures w14:val="none"/>
        </w:rPr>
        <w:t xml:space="preserve">CONCEPTO </w:t>
      </w:r>
      <w:proofErr w:type="spellStart"/>
      <w:r w:rsidRPr="006019FD">
        <w:rPr>
          <w:rFonts w:ascii="Helvetica" w:eastAsia="Times New Roman" w:hAnsi="Helvetica" w:cs="Helvetica"/>
          <w:b/>
          <w:bCs/>
          <w:kern w:val="0"/>
          <w:sz w:val="21"/>
          <w:szCs w:val="21"/>
          <w:highlight w:val="yellow"/>
          <w:lang w:eastAsia="es-CO"/>
          <w14:ligatures w14:val="none"/>
        </w:rPr>
        <w:t>Nº</w:t>
      </w:r>
      <w:proofErr w:type="spellEnd"/>
      <w:r w:rsidRPr="006019FD">
        <w:rPr>
          <w:rFonts w:ascii="Helvetica" w:eastAsia="Times New Roman" w:hAnsi="Helvetica" w:cs="Helvetica"/>
          <w:b/>
          <w:bCs/>
          <w:kern w:val="0"/>
          <w:sz w:val="21"/>
          <w:szCs w:val="21"/>
          <w:highlight w:val="yellow"/>
          <w:lang w:eastAsia="es-CO"/>
          <w14:ligatures w14:val="none"/>
        </w:rPr>
        <w:t xml:space="preserve"> 395 [003896]</w:t>
      </w:r>
    </w:p>
    <w:p w14:paraId="20AFD730" w14:textId="77777777" w:rsidR="007F5C94" w:rsidRPr="006019FD" w:rsidRDefault="007F5C94" w:rsidP="006019FD">
      <w:pPr>
        <w:shd w:val="clear" w:color="auto" w:fill="FFFFFF"/>
        <w:spacing w:after="150" w:line="360" w:lineRule="auto"/>
        <w:jc w:val="center"/>
        <w:rPr>
          <w:rFonts w:ascii="Helvetica" w:eastAsia="Times New Roman" w:hAnsi="Helvetica" w:cs="Helvetica"/>
          <w:kern w:val="0"/>
          <w:sz w:val="21"/>
          <w:szCs w:val="21"/>
          <w:highlight w:val="yellow"/>
          <w:lang w:eastAsia="es-CO"/>
          <w14:ligatures w14:val="none"/>
        </w:rPr>
      </w:pPr>
      <w:r w:rsidRPr="006019FD">
        <w:rPr>
          <w:rFonts w:ascii="Helvetica" w:eastAsia="Times New Roman" w:hAnsi="Helvetica" w:cs="Helvetica"/>
          <w:b/>
          <w:bCs/>
          <w:kern w:val="0"/>
          <w:sz w:val="21"/>
          <w:szCs w:val="21"/>
          <w:highlight w:val="yellow"/>
          <w:lang w:eastAsia="es-CO"/>
          <w14:ligatures w14:val="none"/>
        </w:rPr>
        <w:t>31-03-2023</w:t>
      </w:r>
    </w:p>
    <w:p w14:paraId="14DF144C" w14:textId="77777777" w:rsidR="007F5C94" w:rsidRPr="007F5C94" w:rsidRDefault="007F5C94" w:rsidP="006019FD">
      <w:pPr>
        <w:shd w:val="clear" w:color="auto" w:fill="FFFFFF"/>
        <w:spacing w:after="150" w:line="360" w:lineRule="auto"/>
        <w:jc w:val="center"/>
        <w:rPr>
          <w:rFonts w:ascii="Helvetica" w:eastAsia="Times New Roman" w:hAnsi="Helvetica" w:cs="Helvetica"/>
          <w:kern w:val="0"/>
          <w:sz w:val="21"/>
          <w:szCs w:val="21"/>
          <w:lang w:eastAsia="es-CO"/>
          <w14:ligatures w14:val="none"/>
        </w:rPr>
      </w:pPr>
      <w:r w:rsidRPr="006019FD">
        <w:rPr>
          <w:rFonts w:ascii="Helvetica" w:eastAsia="Times New Roman" w:hAnsi="Helvetica" w:cs="Helvetica"/>
          <w:b/>
          <w:bCs/>
          <w:kern w:val="0"/>
          <w:sz w:val="21"/>
          <w:szCs w:val="21"/>
          <w:highlight w:val="yellow"/>
          <w:lang w:eastAsia="es-CO"/>
          <w14:ligatures w14:val="none"/>
        </w:rPr>
        <w:t>DIAN</w:t>
      </w:r>
    </w:p>
    <w:p w14:paraId="4D1A6281"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 </w:t>
      </w:r>
    </w:p>
    <w:p w14:paraId="0841BFDD"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 </w:t>
      </w:r>
    </w:p>
    <w:p w14:paraId="5D6A4252"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100208192-395</w:t>
      </w:r>
    </w:p>
    <w:p w14:paraId="507F371A"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Bogotá, D.C.,</w:t>
      </w:r>
    </w:p>
    <w:p w14:paraId="1826501D" w14:textId="27A850D1" w:rsidR="007F5C94" w:rsidRPr="007F5C94" w:rsidRDefault="006019FD"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Pr>
          <w:rFonts w:ascii="Helvetica" w:eastAsia="Times New Roman" w:hAnsi="Helvetica" w:cs="Helvetica"/>
          <w:kern w:val="0"/>
          <w:sz w:val="21"/>
          <w:szCs w:val="21"/>
          <w:lang w:eastAsia="es-CO"/>
          <w14:ligatures w14:val="none"/>
        </w:rPr>
        <w:t>S</w:t>
      </w:r>
      <w:r w:rsidR="007F5C94" w:rsidRPr="007F5C94">
        <w:rPr>
          <w:rFonts w:ascii="Helvetica" w:eastAsia="Times New Roman" w:hAnsi="Helvetica" w:cs="Helvetica"/>
          <w:kern w:val="0"/>
          <w:sz w:val="21"/>
          <w:szCs w:val="21"/>
          <w:lang w:eastAsia="es-CO"/>
          <w14:ligatures w14:val="none"/>
        </w:rPr>
        <w:t>eñores</w:t>
      </w:r>
    </w:p>
    <w:p w14:paraId="10DC1CB0"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b/>
          <w:bCs/>
          <w:kern w:val="0"/>
          <w:sz w:val="21"/>
          <w:szCs w:val="21"/>
          <w:lang w:eastAsia="es-CO"/>
          <w14:ligatures w14:val="none"/>
        </w:rPr>
        <w:t>CONTRIBUYENTES</w:t>
      </w:r>
    </w:p>
    <w:p w14:paraId="67454F98" w14:textId="77777777" w:rsidR="007F5C94" w:rsidRPr="007F5C94" w:rsidRDefault="00000000"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hyperlink r:id="rId5" w:tgtFrame="_blank" w:history="1">
        <w:r w:rsidR="007F5C94" w:rsidRPr="007F5C94">
          <w:rPr>
            <w:rFonts w:ascii="Helvetica" w:eastAsia="Times New Roman" w:hAnsi="Helvetica" w:cs="Helvetica"/>
            <w:kern w:val="0"/>
            <w:sz w:val="21"/>
            <w:szCs w:val="21"/>
            <w:u w:val="single"/>
            <w:lang w:eastAsia="es-CO"/>
            <w14:ligatures w14:val="none"/>
          </w:rPr>
          <w:t>juridicanormativa@dian.gov.co</w:t>
        </w:r>
      </w:hyperlink>
    </w:p>
    <w:p w14:paraId="690B7B3E"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 </w:t>
      </w:r>
    </w:p>
    <w:p w14:paraId="7883F17B" w14:textId="77777777" w:rsidR="007F5C94" w:rsidRPr="006019FD" w:rsidRDefault="007F5C94" w:rsidP="006019FD">
      <w:pPr>
        <w:shd w:val="clear" w:color="auto" w:fill="FFFFFF"/>
        <w:spacing w:after="150" w:line="360" w:lineRule="auto"/>
        <w:jc w:val="both"/>
        <w:rPr>
          <w:rFonts w:ascii="Helvetica" w:eastAsia="Times New Roman" w:hAnsi="Helvetica" w:cs="Helvetica"/>
          <w:b/>
          <w:bCs/>
          <w:kern w:val="0"/>
          <w:sz w:val="21"/>
          <w:szCs w:val="21"/>
          <w:lang w:eastAsia="es-CO"/>
          <w14:ligatures w14:val="none"/>
        </w:rPr>
      </w:pPr>
      <w:r w:rsidRPr="006019FD">
        <w:rPr>
          <w:rFonts w:ascii="Helvetica" w:eastAsia="Times New Roman" w:hAnsi="Helvetica" w:cs="Helvetica"/>
          <w:b/>
          <w:bCs/>
          <w:kern w:val="0"/>
          <w:sz w:val="21"/>
          <w:szCs w:val="21"/>
          <w:highlight w:val="yellow"/>
          <w:lang w:eastAsia="es-CO"/>
          <w14:ligatures w14:val="none"/>
        </w:rPr>
        <w:t>Ref.: Segunda adición al Concepto General en materia de procedimiento tributario y aduanero con motivo de la Ley 2277 de 2022</w:t>
      </w:r>
    </w:p>
    <w:p w14:paraId="78D3F477"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9"/>
        <w:gridCol w:w="5277"/>
      </w:tblGrid>
      <w:tr w:rsidR="007F5C94" w:rsidRPr="007F5C94" w14:paraId="48B35AE8" w14:textId="77777777" w:rsidTr="007F5C94">
        <w:tc>
          <w:tcPr>
            <w:tcW w:w="0" w:type="auto"/>
            <w:shd w:val="clear" w:color="auto" w:fill="FFFFFF"/>
            <w:tcMar>
              <w:top w:w="0" w:type="dxa"/>
              <w:left w:w="0" w:type="dxa"/>
              <w:bottom w:w="0" w:type="dxa"/>
              <w:right w:w="0" w:type="dxa"/>
            </w:tcMar>
            <w:hideMark/>
          </w:tcPr>
          <w:p w14:paraId="765671F0" w14:textId="77777777" w:rsidR="007F5C94" w:rsidRPr="007F5C94" w:rsidRDefault="007F5C94" w:rsidP="006019FD">
            <w:pPr>
              <w:spacing w:after="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b/>
                <w:bCs/>
                <w:kern w:val="0"/>
                <w:sz w:val="21"/>
                <w:szCs w:val="21"/>
                <w:lang w:eastAsia="es-CO"/>
                <w14:ligatures w14:val="none"/>
              </w:rPr>
              <w:t>Tema:</w:t>
            </w:r>
          </w:p>
        </w:tc>
        <w:tc>
          <w:tcPr>
            <w:tcW w:w="0" w:type="auto"/>
            <w:shd w:val="clear" w:color="auto" w:fill="FFFFFF"/>
            <w:tcMar>
              <w:top w:w="0" w:type="dxa"/>
              <w:left w:w="0" w:type="dxa"/>
              <w:bottom w:w="0" w:type="dxa"/>
              <w:right w:w="0" w:type="dxa"/>
            </w:tcMar>
            <w:hideMark/>
          </w:tcPr>
          <w:p w14:paraId="6D5DF600" w14:textId="77777777" w:rsidR="007F5C94" w:rsidRPr="007F5C94" w:rsidRDefault="007F5C94" w:rsidP="006019FD">
            <w:pPr>
              <w:spacing w:after="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Procedimiento tributario</w:t>
            </w:r>
          </w:p>
        </w:tc>
      </w:tr>
      <w:tr w:rsidR="007F5C94" w:rsidRPr="007F5C94" w14:paraId="554B5395" w14:textId="77777777" w:rsidTr="007F5C94">
        <w:tc>
          <w:tcPr>
            <w:tcW w:w="0" w:type="auto"/>
            <w:shd w:val="clear" w:color="auto" w:fill="FFFFFF"/>
            <w:tcMar>
              <w:top w:w="0" w:type="dxa"/>
              <w:left w:w="0" w:type="dxa"/>
              <w:bottom w:w="0" w:type="dxa"/>
              <w:right w:w="0" w:type="dxa"/>
            </w:tcMar>
            <w:hideMark/>
          </w:tcPr>
          <w:p w14:paraId="23B34854" w14:textId="77777777" w:rsidR="007F5C94" w:rsidRPr="007F5C94" w:rsidRDefault="007F5C94" w:rsidP="006019FD">
            <w:pPr>
              <w:spacing w:after="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b/>
                <w:bCs/>
                <w:kern w:val="0"/>
                <w:sz w:val="21"/>
                <w:szCs w:val="21"/>
                <w:lang w:eastAsia="es-CO"/>
                <w14:ligatures w14:val="none"/>
              </w:rPr>
              <w:t>Descriptores:</w:t>
            </w:r>
          </w:p>
        </w:tc>
        <w:tc>
          <w:tcPr>
            <w:tcW w:w="0" w:type="auto"/>
            <w:shd w:val="clear" w:color="auto" w:fill="FFFFFF"/>
            <w:tcMar>
              <w:top w:w="0" w:type="dxa"/>
              <w:left w:w="0" w:type="dxa"/>
              <w:bottom w:w="0" w:type="dxa"/>
              <w:right w:w="0" w:type="dxa"/>
            </w:tcMar>
            <w:hideMark/>
          </w:tcPr>
          <w:p w14:paraId="2FEA9462" w14:textId="77777777" w:rsidR="007F5C94" w:rsidRPr="007F5C94" w:rsidRDefault="007F5C94" w:rsidP="006019FD">
            <w:pPr>
              <w:spacing w:after="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Sanción por no enviar información o enviarla con errores</w:t>
            </w:r>
          </w:p>
        </w:tc>
      </w:tr>
      <w:tr w:rsidR="007F5C94" w:rsidRPr="007F5C94" w14:paraId="2D1BFB36" w14:textId="77777777" w:rsidTr="007F5C94">
        <w:tc>
          <w:tcPr>
            <w:tcW w:w="0" w:type="auto"/>
            <w:shd w:val="clear" w:color="auto" w:fill="FFFFFF"/>
            <w:tcMar>
              <w:top w:w="0" w:type="dxa"/>
              <w:left w:w="0" w:type="dxa"/>
              <w:bottom w:w="0" w:type="dxa"/>
              <w:right w:w="0" w:type="dxa"/>
            </w:tcMar>
            <w:hideMark/>
          </w:tcPr>
          <w:p w14:paraId="45D26F1E" w14:textId="77777777" w:rsidR="007F5C94" w:rsidRPr="007F5C94" w:rsidRDefault="007F5C94" w:rsidP="006019FD">
            <w:pPr>
              <w:spacing w:after="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b/>
                <w:bCs/>
                <w:kern w:val="0"/>
                <w:sz w:val="21"/>
                <w:szCs w:val="21"/>
                <w:lang w:eastAsia="es-CO"/>
                <w14:ligatures w14:val="none"/>
              </w:rPr>
              <w:t>Fuentes formales:</w:t>
            </w:r>
          </w:p>
        </w:tc>
        <w:tc>
          <w:tcPr>
            <w:tcW w:w="0" w:type="auto"/>
            <w:shd w:val="clear" w:color="auto" w:fill="FFFFFF"/>
            <w:tcMar>
              <w:top w:w="0" w:type="dxa"/>
              <w:left w:w="0" w:type="dxa"/>
              <w:bottom w:w="0" w:type="dxa"/>
              <w:right w:w="0" w:type="dxa"/>
            </w:tcMar>
            <w:hideMark/>
          </w:tcPr>
          <w:p w14:paraId="34FDB2A2" w14:textId="77777777" w:rsidR="007F5C94" w:rsidRPr="007F5C94" w:rsidRDefault="007F5C94" w:rsidP="006019FD">
            <w:pPr>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Artículos </w:t>
            </w:r>
            <w:r w:rsidRPr="007F5C94">
              <w:rPr>
                <w:rFonts w:ascii="Helvetica" w:eastAsia="Times New Roman" w:hAnsi="Helvetica" w:cs="Helvetica"/>
                <w:kern w:val="0"/>
                <w:sz w:val="21"/>
                <w:szCs w:val="21"/>
                <w:u w:val="single"/>
                <w:lang w:eastAsia="es-CO"/>
                <w14:ligatures w14:val="none"/>
              </w:rPr>
              <w:t>641</w:t>
            </w:r>
            <w:r w:rsidRPr="007F5C94">
              <w:rPr>
                <w:rFonts w:ascii="Helvetica" w:eastAsia="Times New Roman" w:hAnsi="Helvetica" w:cs="Helvetica"/>
                <w:kern w:val="0"/>
                <w:sz w:val="21"/>
                <w:szCs w:val="21"/>
                <w:lang w:eastAsia="es-CO"/>
                <w14:ligatures w14:val="none"/>
              </w:rPr>
              <w:t> y </w:t>
            </w:r>
            <w:r w:rsidRPr="007F5C94">
              <w:rPr>
                <w:rFonts w:ascii="Helvetica" w:eastAsia="Times New Roman" w:hAnsi="Helvetica" w:cs="Helvetica"/>
                <w:kern w:val="0"/>
                <w:sz w:val="21"/>
                <w:szCs w:val="21"/>
                <w:u w:val="single"/>
                <w:lang w:eastAsia="es-CO"/>
                <w14:ligatures w14:val="none"/>
              </w:rPr>
              <w:t>651</w:t>
            </w:r>
            <w:r w:rsidRPr="007F5C94">
              <w:rPr>
                <w:rFonts w:ascii="Helvetica" w:eastAsia="Times New Roman" w:hAnsi="Helvetica" w:cs="Helvetica"/>
                <w:kern w:val="0"/>
                <w:sz w:val="21"/>
                <w:szCs w:val="21"/>
                <w:lang w:eastAsia="es-CO"/>
                <w14:ligatures w14:val="none"/>
              </w:rPr>
              <w:t> del Estatuto Tributario</w:t>
            </w:r>
          </w:p>
          <w:p w14:paraId="03BAB770" w14:textId="77777777" w:rsidR="007F5C94" w:rsidRPr="007F5C94" w:rsidRDefault="007F5C94" w:rsidP="006019FD">
            <w:pPr>
              <w:spacing w:after="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Artículos 27 y 28 del Código Civil</w:t>
            </w:r>
          </w:p>
        </w:tc>
      </w:tr>
    </w:tbl>
    <w:p w14:paraId="4293EA5C" w14:textId="77777777" w:rsidR="006019FD"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 </w:t>
      </w:r>
    </w:p>
    <w:p w14:paraId="7288CA5E" w14:textId="688E9FC3"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Cordial saludo.</w:t>
      </w:r>
    </w:p>
    <w:p w14:paraId="17E0BBEA" w14:textId="0423FFD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1164D97" w14:textId="1B0409BF"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Mediante el presente pronunciamiento, esta Subdirección absolverá diferentes interrogantes que se han formulado en torno a la interpretación y aplicación de algunas disposiciones de la Ley 2277 de 2022 con carácter procedimental, en lo estrictamente relacionado con los tributos administrados por la U.A.E. DIAN (cfr. artículo 1° del Decreto 1742 de 2020), con la adición al Concepto General de la referencia (Concepto 001328 - interno 165 del 7 de febrero de 2023).</w:t>
      </w:r>
    </w:p>
    <w:p w14:paraId="0FAB6F21"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 </w:t>
      </w:r>
    </w:p>
    <w:p w14:paraId="3ED2ED3A"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b/>
          <w:bCs/>
          <w:kern w:val="0"/>
          <w:sz w:val="21"/>
          <w:szCs w:val="21"/>
          <w:lang w:eastAsia="es-CO"/>
          <w14:ligatures w14:val="none"/>
        </w:rPr>
        <w:t>II. EN RELACIÓN CON EL ARTÍCULO 80 DE LA LEY 2277 DE 2022</w:t>
      </w:r>
    </w:p>
    <w:p w14:paraId="017071B6" w14:textId="30D2D93D"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b/>
          <w:bCs/>
          <w:kern w:val="0"/>
          <w:sz w:val="21"/>
          <w:szCs w:val="21"/>
          <w:lang w:eastAsia="es-CO"/>
          <w14:ligatures w14:val="none"/>
        </w:rPr>
        <w:t>4.1. ¿Qué debe entenderse por «dato» para efectos del literal d) del numeral 1 del </w:t>
      </w:r>
      <w:r w:rsidRPr="007F5C94">
        <w:rPr>
          <w:rFonts w:ascii="Helvetica" w:eastAsia="Times New Roman" w:hAnsi="Helvetica" w:cs="Helvetica"/>
          <w:b/>
          <w:bCs/>
          <w:kern w:val="0"/>
          <w:sz w:val="21"/>
          <w:szCs w:val="21"/>
          <w:u w:val="single"/>
          <w:lang w:eastAsia="es-CO"/>
          <w14:ligatures w14:val="none"/>
        </w:rPr>
        <w:t>artículo 651</w:t>
      </w:r>
      <w:r w:rsidRPr="007F5C94">
        <w:rPr>
          <w:rFonts w:ascii="Helvetica" w:eastAsia="Times New Roman" w:hAnsi="Helvetica" w:cs="Helvetica"/>
          <w:b/>
          <w:bCs/>
          <w:kern w:val="0"/>
          <w:sz w:val="21"/>
          <w:szCs w:val="21"/>
          <w:lang w:eastAsia="es-CO"/>
          <w14:ligatures w14:val="none"/>
        </w:rPr>
        <w:t> del Estatuto Tributario?</w:t>
      </w:r>
    </w:p>
    <w:p w14:paraId="5CAAD780" w14:textId="2DFB8995"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lastRenderedPageBreak/>
        <w:t>Ya que la disposición en comento no define lo que ha de entenderse por «dato», es menester acudir -para el efecto- al Diccionario de la lengua española, teniendo en cuenta la interpretación gramatical de la Ley de que tratan los artículos 27 y 28 del Código Civil:</w:t>
      </w:r>
    </w:p>
    <w:p w14:paraId="05B030EA" w14:textId="525DE5FB"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i/>
          <w:iCs/>
          <w:kern w:val="0"/>
          <w:sz w:val="21"/>
          <w:szCs w:val="21"/>
          <w:lang w:eastAsia="es-CO"/>
          <w14:ligatures w14:val="none"/>
        </w:rPr>
        <w:t>«1. m. </w:t>
      </w:r>
      <w:r w:rsidRPr="007F5C94">
        <w:rPr>
          <w:rFonts w:ascii="Helvetica" w:eastAsia="Times New Roman" w:hAnsi="Helvetica" w:cs="Helvetica"/>
          <w:i/>
          <w:iCs/>
          <w:kern w:val="0"/>
          <w:sz w:val="21"/>
          <w:szCs w:val="21"/>
          <w:u w:val="single"/>
          <w:lang w:eastAsia="es-CO"/>
          <w14:ligatures w14:val="none"/>
        </w:rPr>
        <w:t>Información</w:t>
      </w:r>
      <w:r w:rsidRPr="007F5C94">
        <w:rPr>
          <w:rFonts w:ascii="Helvetica" w:eastAsia="Times New Roman" w:hAnsi="Helvetica" w:cs="Helvetica"/>
          <w:i/>
          <w:iCs/>
          <w:kern w:val="0"/>
          <w:sz w:val="21"/>
          <w:szCs w:val="21"/>
          <w:lang w:eastAsia="es-CO"/>
          <w14:ligatures w14:val="none"/>
        </w:rPr>
        <w:t> sobre algo concreto que permite su conocimiento exacto o sirve para deducir las consecuencias derivadas de un hecho. (...)</w:t>
      </w:r>
    </w:p>
    <w:p w14:paraId="6EE9B89C" w14:textId="05A30743"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i/>
          <w:iCs/>
          <w:kern w:val="0"/>
          <w:sz w:val="21"/>
          <w:szCs w:val="21"/>
          <w:lang w:eastAsia="es-CO"/>
          <w14:ligatures w14:val="none"/>
        </w:rPr>
        <w:t>(...)»</w:t>
      </w:r>
      <w:r w:rsidRPr="007F5C94">
        <w:rPr>
          <w:rFonts w:ascii="Helvetica" w:eastAsia="Times New Roman" w:hAnsi="Helvetica" w:cs="Helvetica"/>
          <w:kern w:val="0"/>
          <w:sz w:val="21"/>
          <w:szCs w:val="21"/>
          <w:lang w:eastAsia="es-CO"/>
          <w14:ligatures w14:val="none"/>
        </w:rPr>
        <w:t> (énfasis propio)</w:t>
      </w:r>
    </w:p>
    <w:p w14:paraId="5F36B376" w14:textId="52470651"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Solo para ilustrar lo anterior, son datos, tomando como referencia la Resolución 001255 del 26 de octubre de 2022 (por la cual se establece el grupo de obligados a suministrar información tributaria a la DIAN por el año gravable 2023): </w:t>
      </w:r>
    </w:p>
    <w:p w14:paraId="30774E2F" w14:textId="12FEC958" w:rsidR="007F5C94" w:rsidRPr="006019FD" w:rsidRDefault="007F5C94" w:rsidP="006019FD">
      <w:pPr>
        <w:numPr>
          <w:ilvl w:val="0"/>
          <w:numId w:val="1"/>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Tipo de documento (de la persona natural o jurídica de la que se solicita información)</w:t>
      </w:r>
    </w:p>
    <w:p w14:paraId="36B55503" w14:textId="28ED5E78" w:rsidR="007F5C94" w:rsidRPr="006019FD" w:rsidRDefault="007F5C94" w:rsidP="006019FD">
      <w:pPr>
        <w:numPr>
          <w:ilvl w:val="0"/>
          <w:numId w:val="2"/>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Número de documento de identificación (de la persona natural o jurídica de la que se solicita información)</w:t>
      </w:r>
    </w:p>
    <w:p w14:paraId="2687DF7B" w14:textId="3EEEE7EC" w:rsidR="007F5C94" w:rsidRPr="006019FD" w:rsidRDefault="007F5C94" w:rsidP="006019FD">
      <w:pPr>
        <w:numPr>
          <w:ilvl w:val="0"/>
          <w:numId w:val="3"/>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Apellidos y nombres o razón social (de la persona natural o jurídica de la que se solicita información)</w:t>
      </w:r>
      <w:r w:rsidRPr="006019FD">
        <w:rPr>
          <w:rFonts w:ascii="Helvetica" w:eastAsia="Times New Roman" w:hAnsi="Helvetica" w:cs="Helvetica"/>
          <w:kern w:val="0"/>
          <w:sz w:val="21"/>
          <w:szCs w:val="21"/>
          <w:lang w:eastAsia="es-CO"/>
          <w14:ligatures w14:val="none"/>
        </w:rPr>
        <w:t> </w:t>
      </w:r>
    </w:p>
    <w:p w14:paraId="45953B7D" w14:textId="77777777" w:rsidR="007F5C94" w:rsidRPr="007F5C94" w:rsidRDefault="007F5C94" w:rsidP="006019FD">
      <w:pPr>
        <w:numPr>
          <w:ilvl w:val="0"/>
          <w:numId w:val="4"/>
        </w:numPr>
        <w:shd w:val="clear" w:color="auto" w:fill="FFFFFF"/>
        <w:spacing w:before="100" w:beforeAutospacing="1" w:after="100" w:afterAutospacing="1"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Dirección (de la persona natural o jurídica de la que se solicita información)</w:t>
      </w:r>
    </w:p>
    <w:p w14:paraId="78EC427B" w14:textId="668A7885"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Valga señalar que, para efectos de tasar la respectiva multa, los literales a), b) y c) del numeral 1 del </w:t>
      </w:r>
      <w:r w:rsidRPr="007F5C94">
        <w:rPr>
          <w:rFonts w:ascii="Helvetica" w:eastAsia="Times New Roman" w:hAnsi="Helvetica" w:cs="Helvetica"/>
          <w:kern w:val="0"/>
          <w:sz w:val="21"/>
          <w:szCs w:val="21"/>
          <w:u w:val="single"/>
          <w:lang w:eastAsia="es-CO"/>
          <w14:ligatures w14:val="none"/>
        </w:rPr>
        <w:t>artículo 651</w:t>
      </w:r>
      <w:r w:rsidRPr="007F5C94">
        <w:rPr>
          <w:rFonts w:ascii="Helvetica" w:eastAsia="Times New Roman" w:hAnsi="Helvetica" w:cs="Helvetica"/>
          <w:kern w:val="0"/>
          <w:sz w:val="21"/>
          <w:szCs w:val="21"/>
          <w:lang w:eastAsia="es-CO"/>
          <w14:ligatures w14:val="none"/>
        </w:rPr>
        <w:t xml:space="preserve"> del Estatuto Tributario toman como </w:t>
      </w:r>
      <w:r w:rsidR="006019FD" w:rsidRPr="007F5C94">
        <w:rPr>
          <w:rFonts w:ascii="Helvetica" w:eastAsia="Times New Roman" w:hAnsi="Helvetica" w:cs="Helvetica"/>
          <w:kern w:val="0"/>
          <w:sz w:val="21"/>
          <w:szCs w:val="21"/>
          <w:lang w:eastAsia="es-CO"/>
          <w14:ligatures w14:val="none"/>
        </w:rPr>
        <w:t>bases sumas</w:t>
      </w:r>
      <w:r w:rsidRPr="007F5C94">
        <w:rPr>
          <w:rFonts w:ascii="Helvetica" w:eastAsia="Times New Roman" w:hAnsi="Helvetica" w:cs="Helvetica"/>
          <w:kern w:val="0"/>
          <w:sz w:val="21"/>
          <w:szCs w:val="21"/>
          <w:lang w:eastAsia="es-CO"/>
          <w14:ligatures w14:val="none"/>
        </w:rPr>
        <w:t> respecto de las cuales no se suministró la información o esta se suministró de forma errónea o extemporánea. Por su parte, el literal d) de la misma disposición hace referencia a </w:t>
      </w:r>
      <w:r w:rsidRPr="007F5C94">
        <w:rPr>
          <w:rFonts w:ascii="Helvetica" w:eastAsia="Times New Roman" w:hAnsi="Helvetica" w:cs="Helvetica"/>
          <w:i/>
          <w:iCs/>
          <w:kern w:val="0"/>
          <w:sz w:val="21"/>
          <w:szCs w:val="21"/>
          <w:lang w:eastAsia="es-CO"/>
          <w14:ligatures w14:val="none"/>
        </w:rPr>
        <w:t>«dato no suministrado o incorrecto»</w:t>
      </w:r>
      <w:r w:rsidRPr="007F5C94">
        <w:rPr>
          <w:rFonts w:ascii="Helvetica" w:eastAsia="Times New Roman" w:hAnsi="Helvetica" w:cs="Helvetica"/>
          <w:kern w:val="0"/>
          <w:sz w:val="21"/>
          <w:szCs w:val="21"/>
          <w:lang w:eastAsia="es-CO"/>
          <w14:ligatures w14:val="none"/>
        </w:rPr>
        <w:t> que, como se observa en los anteriores ejemplos, corresponde a una información que puede ser incluso numérica, más no relativa a </w:t>
      </w:r>
      <w:r w:rsidRPr="007F5C94">
        <w:rPr>
          <w:rFonts w:ascii="Helvetica" w:eastAsia="Times New Roman" w:hAnsi="Helvetica" w:cs="Helvetica"/>
          <w:kern w:val="0"/>
          <w:sz w:val="21"/>
          <w:szCs w:val="21"/>
          <w:u w:val="single"/>
          <w:lang w:eastAsia="es-CO"/>
          <w14:ligatures w14:val="none"/>
        </w:rPr>
        <w:t>sumas</w:t>
      </w:r>
      <w:r w:rsidRPr="007F5C94">
        <w:rPr>
          <w:rFonts w:ascii="Helvetica" w:eastAsia="Times New Roman" w:hAnsi="Helvetica" w:cs="Helvetica"/>
          <w:kern w:val="0"/>
          <w:sz w:val="21"/>
          <w:szCs w:val="21"/>
          <w:lang w:eastAsia="es-CO"/>
          <w14:ligatures w14:val="none"/>
        </w:rPr>
        <w:t> que, en el contexto de la norma, supone </w:t>
      </w:r>
      <w:r w:rsidRPr="007F5C94">
        <w:rPr>
          <w:rFonts w:ascii="Helvetica" w:eastAsia="Times New Roman" w:hAnsi="Helvetica" w:cs="Helvetica"/>
          <w:kern w:val="0"/>
          <w:sz w:val="21"/>
          <w:szCs w:val="21"/>
          <w:u w:val="single"/>
          <w:lang w:eastAsia="es-CO"/>
          <w14:ligatures w14:val="none"/>
        </w:rPr>
        <w:t>sumas de dinero</w:t>
      </w:r>
      <w:r w:rsidRPr="007F5C94">
        <w:rPr>
          <w:rFonts w:ascii="Helvetica" w:eastAsia="Times New Roman" w:hAnsi="Helvetica" w:cs="Helvetica"/>
          <w:kern w:val="0"/>
          <w:sz w:val="21"/>
          <w:szCs w:val="21"/>
          <w:lang w:eastAsia="es-CO"/>
          <w14:ligatures w14:val="none"/>
        </w:rPr>
        <w:t>.</w:t>
      </w:r>
    </w:p>
    <w:p w14:paraId="39E5D848" w14:textId="1E98EF8B"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Así las cosas, tratándose del literal d), en cada caso particular se deberá analizar y determinar si se está frente a un dato, recordando que este supuesto tiene lugar cuando </w:t>
      </w:r>
      <w:r w:rsidRPr="007F5C94">
        <w:rPr>
          <w:rFonts w:ascii="Helvetica" w:eastAsia="Times New Roman" w:hAnsi="Helvetica" w:cs="Helvetica"/>
          <w:i/>
          <w:iCs/>
          <w:kern w:val="0"/>
          <w:sz w:val="21"/>
          <w:szCs w:val="21"/>
          <w:lang w:eastAsia="es-CO"/>
          <w14:ligatures w14:val="none"/>
        </w:rPr>
        <w:t>«no sea posible establecer la base para tasar la sanción o la información no tuviere cuantía»</w:t>
      </w:r>
      <w:r w:rsidRPr="007F5C94">
        <w:rPr>
          <w:rFonts w:ascii="Helvetica" w:eastAsia="Times New Roman" w:hAnsi="Helvetica" w:cs="Helvetica"/>
          <w:kern w:val="0"/>
          <w:sz w:val="21"/>
          <w:szCs w:val="21"/>
          <w:lang w:eastAsia="es-CO"/>
          <w14:ligatures w14:val="none"/>
        </w:rPr>
        <w:t>.</w:t>
      </w:r>
    </w:p>
    <w:p w14:paraId="42967B0F" w14:textId="318901C4"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b/>
          <w:bCs/>
          <w:kern w:val="0"/>
          <w:sz w:val="21"/>
          <w:szCs w:val="21"/>
          <w:lang w:eastAsia="es-CO"/>
          <w14:ligatures w14:val="none"/>
        </w:rPr>
        <w:t>7. Si se corrige una declaración de activos en el exterior hasta el 1° de abril de 2023 ¿es posible acceder al tratamiento de que trata el parágrafo transitorio del </w:t>
      </w:r>
      <w:r w:rsidRPr="007F5C94">
        <w:rPr>
          <w:rFonts w:ascii="Helvetica" w:eastAsia="Times New Roman" w:hAnsi="Helvetica" w:cs="Helvetica"/>
          <w:b/>
          <w:bCs/>
          <w:kern w:val="0"/>
          <w:sz w:val="21"/>
          <w:szCs w:val="21"/>
          <w:u w:val="single"/>
          <w:lang w:eastAsia="es-CO"/>
          <w14:ligatures w14:val="none"/>
        </w:rPr>
        <w:t>artículo 651</w:t>
      </w:r>
      <w:r w:rsidRPr="007F5C94">
        <w:rPr>
          <w:rFonts w:ascii="Helvetica" w:eastAsia="Times New Roman" w:hAnsi="Helvetica" w:cs="Helvetica"/>
          <w:b/>
          <w:bCs/>
          <w:kern w:val="0"/>
          <w:sz w:val="21"/>
          <w:szCs w:val="21"/>
          <w:lang w:eastAsia="es-CO"/>
          <w14:ligatures w14:val="none"/>
        </w:rPr>
        <w:t> del Estatuto Tributario?</w:t>
      </w:r>
    </w:p>
    <w:p w14:paraId="53D7E9B3" w14:textId="6576AA44"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Si, siempre y cuando la corrección se lleve a cabo antes de la notificación del pliego de cargos, tal y como lo exige el parágrafo transitorio en comento.</w:t>
      </w:r>
    </w:p>
    <w:p w14:paraId="705C8FCA" w14:textId="7CE59CEB"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Al respecto, es de recordar que en el Oficio 905307 - interno 536 del 28 de septiembre de 2020 la Dirección de Gestión Jurídica concluyó que, en el supuesto consultado, es aplicable la sanción prevista en el </w:t>
      </w:r>
      <w:r w:rsidRPr="007F5C94">
        <w:rPr>
          <w:rFonts w:ascii="Helvetica" w:eastAsia="Times New Roman" w:hAnsi="Helvetica" w:cs="Helvetica"/>
          <w:kern w:val="0"/>
          <w:sz w:val="21"/>
          <w:szCs w:val="21"/>
          <w:u w:val="single"/>
          <w:lang w:eastAsia="es-CO"/>
          <w14:ligatures w14:val="none"/>
        </w:rPr>
        <w:t>artículo 651</w:t>
      </w:r>
      <w:r w:rsidRPr="007F5C94">
        <w:rPr>
          <w:rFonts w:ascii="Helvetica" w:eastAsia="Times New Roman" w:hAnsi="Helvetica" w:cs="Helvetica"/>
          <w:kern w:val="0"/>
          <w:sz w:val="21"/>
          <w:szCs w:val="21"/>
          <w:lang w:eastAsia="es-CO"/>
          <w14:ligatures w14:val="none"/>
        </w:rPr>
        <w:t> </w:t>
      </w:r>
      <w:r w:rsidRPr="007F5C94">
        <w:rPr>
          <w:rFonts w:ascii="Helvetica" w:eastAsia="Times New Roman" w:hAnsi="Helvetica" w:cs="Helvetica"/>
          <w:i/>
          <w:iCs/>
          <w:kern w:val="0"/>
          <w:sz w:val="21"/>
          <w:szCs w:val="21"/>
          <w:lang w:eastAsia="es-CO"/>
          <w14:ligatures w14:val="none"/>
        </w:rPr>
        <w:t>ibidem</w:t>
      </w:r>
      <w:r w:rsidRPr="007F5C94">
        <w:rPr>
          <w:rFonts w:ascii="Helvetica" w:eastAsia="Times New Roman" w:hAnsi="Helvetica" w:cs="Helvetica"/>
          <w:kern w:val="0"/>
          <w:sz w:val="21"/>
          <w:szCs w:val="21"/>
          <w:lang w:eastAsia="es-CO"/>
          <w14:ligatures w14:val="none"/>
        </w:rPr>
        <w:t>:</w:t>
      </w:r>
    </w:p>
    <w:p w14:paraId="2402938E" w14:textId="1C8F0CCA"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i/>
          <w:iCs/>
          <w:kern w:val="0"/>
          <w:sz w:val="21"/>
          <w:szCs w:val="21"/>
          <w:lang w:eastAsia="es-CO"/>
          <w14:ligatures w14:val="none"/>
        </w:rPr>
        <w:t>«(...) este Despacho considera que no es correcta la interpretación bajo la cual se considera que la corrección de la declaración anual de activos en el exterior no se encuentra sujeta a sanción alguna. Esto, toda vez que la conducta sancionable (i.e. suministrar información con errores a la Administración) </w:t>
      </w:r>
      <w:r w:rsidRPr="007F5C94">
        <w:rPr>
          <w:rFonts w:ascii="Helvetica" w:eastAsia="Times New Roman" w:hAnsi="Helvetica" w:cs="Helvetica"/>
          <w:i/>
          <w:iCs/>
          <w:kern w:val="0"/>
          <w:sz w:val="21"/>
          <w:szCs w:val="21"/>
          <w:u w:val="single"/>
          <w:lang w:eastAsia="es-CO"/>
          <w14:ligatures w14:val="none"/>
        </w:rPr>
        <w:t>se encuentra debidamente tipificada y sujeta a sanción, de conformidad con el artículo 651 del Estatuto Tributario</w:t>
      </w:r>
      <w:r w:rsidRPr="007F5C94">
        <w:rPr>
          <w:rFonts w:ascii="Helvetica" w:eastAsia="Times New Roman" w:hAnsi="Helvetica" w:cs="Helvetica"/>
          <w:i/>
          <w:iCs/>
          <w:kern w:val="0"/>
          <w:sz w:val="21"/>
          <w:szCs w:val="21"/>
          <w:lang w:eastAsia="es-CO"/>
          <w14:ligatures w14:val="none"/>
        </w:rPr>
        <w:t>.</w:t>
      </w:r>
    </w:p>
    <w:p w14:paraId="5FA53E66" w14:textId="718768BA"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lastRenderedPageBreak/>
        <w:t> </w:t>
      </w:r>
      <w:r w:rsidRPr="007F5C94">
        <w:rPr>
          <w:rFonts w:ascii="Helvetica" w:eastAsia="Times New Roman" w:hAnsi="Helvetica" w:cs="Helvetica"/>
          <w:i/>
          <w:iCs/>
          <w:kern w:val="0"/>
          <w:sz w:val="21"/>
          <w:szCs w:val="21"/>
          <w:lang w:eastAsia="es-CO"/>
          <w14:ligatures w14:val="none"/>
        </w:rPr>
        <w:t>En ese orden de ideas, la Administración no está realizando una interpretación analógica de las normas, puesto que el tipo sancionatorio correspondiente al suministro de información errónea en la declaración anual de activos en el exterior se encuentra establecido el </w:t>
      </w:r>
      <w:r w:rsidRPr="007F5C94">
        <w:rPr>
          <w:rFonts w:ascii="Helvetica" w:eastAsia="Times New Roman" w:hAnsi="Helvetica" w:cs="Helvetica"/>
          <w:i/>
          <w:iCs/>
          <w:kern w:val="0"/>
          <w:sz w:val="21"/>
          <w:szCs w:val="21"/>
          <w:u w:val="single"/>
          <w:lang w:eastAsia="es-CO"/>
          <w14:ligatures w14:val="none"/>
        </w:rPr>
        <w:t>artículo 651</w:t>
      </w:r>
      <w:r w:rsidRPr="007F5C94">
        <w:rPr>
          <w:rFonts w:ascii="Helvetica" w:eastAsia="Times New Roman" w:hAnsi="Helvetica" w:cs="Helvetica"/>
          <w:i/>
          <w:iCs/>
          <w:kern w:val="0"/>
          <w:sz w:val="21"/>
          <w:szCs w:val="21"/>
          <w:lang w:eastAsia="es-CO"/>
          <w14:ligatures w14:val="none"/>
        </w:rPr>
        <w:t> del Estatuto Tributario (...)</w:t>
      </w:r>
    </w:p>
    <w:p w14:paraId="7E2A6600" w14:textId="620B960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 </w:t>
      </w:r>
      <w:r w:rsidRPr="007F5C94">
        <w:rPr>
          <w:rFonts w:ascii="Helvetica" w:eastAsia="Times New Roman" w:hAnsi="Helvetica" w:cs="Helvetica"/>
          <w:i/>
          <w:iCs/>
          <w:kern w:val="0"/>
          <w:sz w:val="21"/>
          <w:szCs w:val="21"/>
          <w:lang w:eastAsia="es-CO"/>
          <w14:ligatures w14:val="none"/>
        </w:rPr>
        <w:t>(…)</w:t>
      </w:r>
    </w:p>
    <w:p w14:paraId="558ABA03" w14:textId="3950B57A"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i/>
          <w:iCs/>
          <w:kern w:val="0"/>
          <w:sz w:val="21"/>
          <w:szCs w:val="21"/>
          <w:lang w:eastAsia="es-CO"/>
          <w14:ligatures w14:val="none"/>
        </w:rPr>
        <w:t>Nótese que en la redacción de la disposición </w:t>
      </w:r>
      <w:r w:rsidRPr="007F5C94">
        <w:rPr>
          <w:rFonts w:ascii="Helvetica" w:eastAsia="Times New Roman" w:hAnsi="Helvetica" w:cs="Helvetica"/>
          <w:i/>
          <w:iCs/>
          <w:kern w:val="0"/>
          <w:sz w:val="21"/>
          <w:szCs w:val="21"/>
          <w:u w:val="single"/>
          <w:lang w:eastAsia="es-CO"/>
          <w14:ligatures w14:val="none"/>
        </w:rPr>
        <w:t>no existe una limitación en su aplicación al reporte de información exógena, ni excluye de la misma otros mecanismos de suministro de información tales como la declaración de activos en el exterior</w:t>
      </w:r>
      <w:r w:rsidRPr="007F5C94">
        <w:rPr>
          <w:rFonts w:ascii="Helvetica" w:eastAsia="Times New Roman" w:hAnsi="Helvetica" w:cs="Helvetica"/>
          <w:i/>
          <w:iCs/>
          <w:kern w:val="0"/>
          <w:sz w:val="21"/>
          <w:szCs w:val="21"/>
          <w:lang w:eastAsia="es-CO"/>
          <w14:ligatures w14:val="none"/>
        </w:rPr>
        <w:t>.»</w:t>
      </w:r>
      <w:r w:rsidRPr="007F5C94">
        <w:rPr>
          <w:rFonts w:ascii="Helvetica" w:eastAsia="Times New Roman" w:hAnsi="Helvetica" w:cs="Helvetica"/>
          <w:kern w:val="0"/>
          <w:sz w:val="21"/>
          <w:szCs w:val="21"/>
          <w:lang w:eastAsia="es-CO"/>
          <w14:ligatures w14:val="none"/>
        </w:rPr>
        <w:t> (énfasis propio)</w:t>
      </w:r>
    </w:p>
    <w:p w14:paraId="4296CD20" w14:textId="36F45BFB"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b/>
          <w:bCs/>
          <w:kern w:val="0"/>
          <w:sz w:val="21"/>
          <w:szCs w:val="21"/>
          <w:lang w:eastAsia="es-CO"/>
          <w14:ligatures w14:val="none"/>
        </w:rPr>
        <w:t>8. Si se presenta de manera extemporánea una declaración de activos en el exterior hasta el 1° de abril de 2023 ¿es posible acceder al tratamiento de que trata el parágrafo transitorio del </w:t>
      </w:r>
      <w:r w:rsidRPr="007F5C94">
        <w:rPr>
          <w:rFonts w:ascii="Helvetica" w:eastAsia="Times New Roman" w:hAnsi="Helvetica" w:cs="Helvetica"/>
          <w:b/>
          <w:bCs/>
          <w:kern w:val="0"/>
          <w:sz w:val="21"/>
          <w:szCs w:val="21"/>
          <w:u w:val="single"/>
          <w:lang w:eastAsia="es-CO"/>
          <w14:ligatures w14:val="none"/>
        </w:rPr>
        <w:t>artículo 651</w:t>
      </w:r>
      <w:r w:rsidRPr="007F5C94">
        <w:rPr>
          <w:rFonts w:ascii="Helvetica" w:eastAsia="Times New Roman" w:hAnsi="Helvetica" w:cs="Helvetica"/>
          <w:b/>
          <w:bCs/>
          <w:kern w:val="0"/>
          <w:sz w:val="21"/>
          <w:szCs w:val="21"/>
          <w:lang w:eastAsia="es-CO"/>
          <w14:ligatures w14:val="none"/>
        </w:rPr>
        <w:t> del Estatuto Tributario?</w:t>
      </w:r>
    </w:p>
    <w:p w14:paraId="2074E504" w14:textId="57796E32"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 </w:t>
      </w:r>
      <w:r w:rsidRPr="006019FD">
        <w:rPr>
          <w:rFonts w:ascii="Helvetica" w:eastAsia="Times New Roman" w:hAnsi="Helvetica" w:cs="Helvetica"/>
          <w:kern w:val="0"/>
          <w:sz w:val="21"/>
          <w:szCs w:val="21"/>
          <w:highlight w:val="yellow"/>
          <w:lang w:eastAsia="es-CO"/>
          <w14:ligatures w14:val="none"/>
        </w:rPr>
        <w:t>No</w:t>
      </w:r>
      <w:r w:rsidRPr="007F5C94">
        <w:rPr>
          <w:rFonts w:ascii="Helvetica" w:eastAsia="Times New Roman" w:hAnsi="Helvetica" w:cs="Helvetica"/>
          <w:kern w:val="0"/>
          <w:sz w:val="21"/>
          <w:szCs w:val="21"/>
          <w:lang w:eastAsia="es-CO"/>
          <w14:ligatures w14:val="none"/>
        </w:rPr>
        <w:t>. Esto, por cuanto, la sanción aplicable en este caso es la prevista en el parágrafo 1° del </w:t>
      </w:r>
      <w:r w:rsidRPr="007F5C94">
        <w:rPr>
          <w:rFonts w:ascii="Helvetica" w:eastAsia="Times New Roman" w:hAnsi="Helvetica" w:cs="Helvetica"/>
          <w:kern w:val="0"/>
          <w:sz w:val="21"/>
          <w:szCs w:val="21"/>
          <w:u w:val="single"/>
          <w:lang w:eastAsia="es-CO"/>
          <w14:ligatures w14:val="none"/>
        </w:rPr>
        <w:t>artículo 641</w:t>
      </w:r>
      <w:r w:rsidRPr="007F5C94">
        <w:rPr>
          <w:rFonts w:ascii="Helvetica" w:eastAsia="Times New Roman" w:hAnsi="Helvetica" w:cs="Helvetica"/>
          <w:kern w:val="0"/>
          <w:sz w:val="21"/>
          <w:szCs w:val="21"/>
          <w:lang w:eastAsia="es-CO"/>
          <w14:ligatures w14:val="none"/>
        </w:rPr>
        <w:t> </w:t>
      </w:r>
      <w:r w:rsidRPr="007F5C94">
        <w:rPr>
          <w:rFonts w:ascii="Helvetica" w:eastAsia="Times New Roman" w:hAnsi="Helvetica" w:cs="Helvetica"/>
          <w:i/>
          <w:iCs/>
          <w:kern w:val="0"/>
          <w:sz w:val="21"/>
          <w:szCs w:val="21"/>
          <w:lang w:eastAsia="es-CO"/>
          <w14:ligatures w14:val="none"/>
        </w:rPr>
        <w:t>ibidem</w:t>
      </w:r>
      <w:r w:rsidRPr="007F5C94">
        <w:rPr>
          <w:rFonts w:ascii="Helvetica" w:eastAsia="Times New Roman" w:hAnsi="Helvetica" w:cs="Helvetica"/>
          <w:kern w:val="0"/>
          <w:sz w:val="21"/>
          <w:szCs w:val="21"/>
          <w:lang w:eastAsia="es-CO"/>
          <w14:ligatures w14:val="none"/>
        </w:rPr>
        <w:t>, el cual establece:</w:t>
      </w:r>
    </w:p>
    <w:p w14:paraId="0EA6E84C" w14:textId="5D33AC5A"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i/>
          <w:iCs/>
          <w:kern w:val="0"/>
          <w:sz w:val="21"/>
          <w:szCs w:val="21"/>
          <w:lang w:eastAsia="es-CO"/>
          <w14:ligatures w14:val="none"/>
        </w:rPr>
        <w:t>«</w:t>
      </w:r>
      <w:r w:rsidRPr="007F5C94">
        <w:rPr>
          <w:rFonts w:ascii="Helvetica" w:eastAsia="Times New Roman" w:hAnsi="Helvetica" w:cs="Helvetica"/>
          <w:b/>
          <w:bCs/>
          <w:i/>
          <w:iCs/>
          <w:kern w:val="0"/>
          <w:sz w:val="21"/>
          <w:szCs w:val="21"/>
          <w:lang w:eastAsia="es-CO"/>
          <w14:ligatures w14:val="none"/>
        </w:rPr>
        <w:t>PARÁGRAFO 1o.</w:t>
      </w:r>
      <w:r w:rsidRPr="007F5C94">
        <w:rPr>
          <w:rFonts w:ascii="Helvetica" w:eastAsia="Times New Roman" w:hAnsi="Helvetica" w:cs="Helvetica"/>
          <w:i/>
          <w:iCs/>
          <w:kern w:val="0"/>
          <w:sz w:val="21"/>
          <w:szCs w:val="21"/>
          <w:lang w:eastAsia="es-CO"/>
          <w14:ligatures w14:val="none"/>
        </w:rPr>
        <w:t> &lt;Parágrafo modificado por el artículo 110 de la Ley 2010 de 2019. El nuevo texto es el siguiente:&gt; Cuando la declaración anual de activos en el exterior se presente de manera extemporánea, la sanción por cada mes o fracción de mes calendario de retardo será equivalente al </w:t>
      </w:r>
      <w:r w:rsidRPr="007F5C94">
        <w:rPr>
          <w:rFonts w:ascii="Helvetica" w:eastAsia="Times New Roman" w:hAnsi="Helvetica" w:cs="Helvetica"/>
          <w:i/>
          <w:iCs/>
          <w:kern w:val="0"/>
          <w:sz w:val="21"/>
          <w:szCs w:val="21"/>
          <w:u w:val="single"/>
          <w:lang w:eastAsia="es-CO"/>
          <w14:ligatures w14:val="none"/>
        </w:rPr>
        <w:t>cero punto cinco por ciento (0.5%) del valor de los activos poseídos en el exterior,</w:t>
      </w:r>
      <w:r w:rsidRPr="007F5C94">
        <w:rPr>
          <w:rFonts w:ascii="Helvetica" w:eastAsia="Times New Roman" w:hAnsi="Helvetica" w:cs="Helvetica"/>
          <w:i/>
          <w:iCs/>
          <w:kern w:val="0"/>
          <w:sz w:val="21"/>
          <w:szCs w:val="21"/>
          <w:lang w:eastAsia="es-CO"/>
          <w14:ligatures w14:val="none"/>
        </w:rPr>
        <w:t> si la misma se presenta antes del emplazamiento previo por no declarar, o al uno por ciento </w:t>
      </w:r>
      <w:r w:rsidRPr="007F5C94">
        <w:rPr>
          <w:rFonts w:ascii="Helvetica" w:eastAsia="Times New Roman" w:hAnsi="Helvetica" w:cs="Helvetica"/>
          <w:i/>
          <w:iCs/>
          <w:kern w:val="0"/>
          <w:sz w:val="21"/>
          <w:szCs w:val="21"/>
          <w:u w:val="single"/>
          <w:lang w:eastAsia="es-CO"/>
          <w14:ligatures w14:val="none"/>
        </w:rPr>
        <w:t>(1%) del valor de los activos poseídos en el exterior</w:t>
      </w:r>
      <w:r w:rsidRPr="007F5C94">
        <w:rPr>
          <w:rFonts w:ascii="Helvetica" w:eastAsia="Times New Roman" w:hAnsi="Helvetica" w:cs="Helvetica"/>
          <w:i/>
          <w:iCs/>
          <w:kern w:val="0"/>
          <w:sz w:val="21"/>
          <w:szCs w:val="21"/>
          <w:lang w:eastAsia="es-CO"/>
          <w14:ligatures w14:val="none"/>
        </w:rPr>
        <w:t> si se presenta con posterioridad al citado emplazamiento y antes de que se profiera la respectiva resolución sanción por no declarar. En todo caso, </w:t>
      </w:r>
      <w:r w:rsidRPr="007F5C94">
        <w:rPr>
          <w:rFonts w:ascii="Helvetica" w:eastAsia="Times New Roman" w:hAnsi="Helvetica" w:cs="Helvetica"/>
          <w:i/>
          <w:iCs/>
          <w:kern w:val="0"/>
          <w:sz w:val="21"/>
          <w:szCs w:val="21"/>
          <w:u w:val="single"/>
          <w:lang w:eastAsia="es-CO"/>
          <w14:ligatures w14:val="none"/>
        </w:rPr>
        <w:t>el monto de la sanción no podrá superar el diez por ciento (10%) del valor de los activos poseídos en el exterior</w:t>
      </w:r>
      <w:r w:rsidRPr="007F5C94">
        <w:rPr>
          <w:rFonts w:ascii="Helvetica" w:eastAsia="Times New Roman" w:hAnsi="Helvetica" w:cs="Helvetica"/>
          <w:i/>
          <w:iCs/>
          <w:kern w:val="0"/>
          <w:sz w:val="21"/>
          <w:szCs w:val="21"/>
          <w:lang w:eastAsia="es-CO"/>
          <w14:ligatures w14:val="none"/>
        </w:rPr>
        <w:t>.»</w:t>
      </w:r>
      <w:r w:rsidRPr="007F5C94">
        <w:rPr>
          <w:rFonts w:ascii="Helvetica" w:eastAsia="Times New Roman" w:hAnsi="Helvetica" w:cs="Helvetica"/>
          <w:kern w:val="0"/>
          <w:sz w:val="21"/>
          <w:szCs w:val="21"/>
          <w:lang w:eastAsia="es-CO"/>
          <w14:ligatures w14:val="none"/>
        </w:rPr>
        <w:t> (énfasis propio)</w:t>
      </w:r>
    </w:p>
    <w:p w14:paraId="58BF7E77" w14:textId="58F114A2"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Sin perjuicio de lo anterior, cabe recordar que el artículo 93 de la Ley 2277 de 2022 prevé una reducción transitoria de sanciones (además de la reducción de la tasa de interés de mora); de modo que el contribuyente que ha omitido presentar la declaración de activos en el exterior deberá examinar, en su caso particular, si cumple los requisitos previstos en el citado artículo 93 para acceder a la referida reducción.</w:t>
      </w:r>
    </w:p>
    <w:p w14:paraId="2AC25269" w14:textId="77777777" w:rsidR="006019FD" w:rsidRDefault="006019FD"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p>
    <w:p w14:paraId="4C2895C8" w14:textId="5088CA36"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Atentamente,</w:t>
      </w:r>
    </w:p>
    <w:p w14:paraId="53BC63D3" w14:textId="20073921"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b/>
          <w:bCs/>
          <w:kern w:val="0"/>
          <w:sz w:val="21"/>
          <w:szCs w:val="21"/>
          <w:lang w:eastAsia="es-CO"/>
          <w14:ligatures w14:val="none"/>
        </w:rPr>
        <w:t>ALFREDO RAMÍREZ CASTAÑEDA</w:t>
      </w:r>
    </w:p>
    <w:p w14:paraId="7D4E667F"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Subdirector de Normativa y Doctrina</w:t>
      </w:r>
    </w:p>
    <w:p w14:paraId="43BF15F7" w14:textId="77777777" w:rsidR="007F5C94" w:rsidRPr="007F5C94" w:rsidRDefault="007F5C94" w:rsidP="006019FD">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Dirección de Gestión Jurídica</w:t>
      </w:r>
    </w:p>
    <w:p w14:paraId="14BA7A14" w14:textId="77777777" w:rsidR="007F5C94" w:rsidRDefault="007F5C94" w:rsidP="006019FD">
      <w:pPr>
        <w:shd w:val="clear" w:color="auto" w:fill="FFFFFF"/>
        <w:spacing w:after="0" w:line="360" w:lineRule="auto"/>
        <w:jc w:val="both"/>
        <w:rPr>
          <w:rFonts w:ascii="Helvetica" w:eastAsia="Times New Roman" w:hAnsi="Helvetica" w:cs="Helvetica"/>
          <w:kern w:val="0"/>
          <w:sz w:val="21"/>
          <w:szCs w:val="21"/>
          <w:lang w:eastAsia="es-CO"/>
          <w14:ligatures w14:val="none"/>
        </w:rPr>
      </w:pPr>
      <w:r w:rsidRPr="007F5C94">
        <w:rPr>
          <w:rFonts w:ascii="Helvetica" w:eastAsia="Times New Roman" w:hAnsi="Helvetica" w:cs="Helvetica"/>
          <w:kern w:val="0"/>
          <w:sz w:val="21"/>
          <w:szCs w:val="21"/>
          <w:lang w:eastAsia="es-CO"/>
          <w14:ligatures w14:val="none"/>
        </w:rPr>
        <w:t>UAE-Dirección de Impuestos y Aduanas Nacionales</w:t>
      </w:r>
    </w:p>
    <w:p w14:paraId="11DD2C5C" w14:textId="4B2E769A" w:rsidR="006019FD" w:rsidRPr="007F5C94" w:rsidRDefault="006019FD" w:rsidP="006019FD">
      <w:pPr>
        <w:shd w:val="clear" w:color="auto" w:fill="FFFFFF"/>
        <w:spacing w:after="0" w:line="360" w:lineRule="auto"/>
        <w:jc w:val="both"/>
        <w:rPr>
          <w:rFonts w:ascii="Helvetica" w:eastAsia="Times New Roman" w:hAnsi="Helvetica" w:cs="Helvetica"/>
          <w:kern w:val="0"/>
          <w:sz w:val="21"/>
          <w:szCs w:val="21"/>
          <w:lang w:eastAsia="es-CO"/>
          <w14:ligatures w14:val="none"/>
        </w:rPr>
      </w:pPr>
      <w:r>
        <w:rPr>
          <w:rFonts w:ascii="Helvetica" w:eastAsia="Times New Roman" w:hAnsi="Helvetica" w:cs="Helvetica"/>
          <w:kern w:val="0"/>
          <w:sz w:val="21"/>
          <w:szCs w:val="21"/>
          <w:lang w:eastAsia="es-CO"/>
          <w14:ligatures w14:val="none"/>
        </w:rPr>
        <w:t>________________________________________________________________________________</w:t>
      </w:r>
    </w:p>
    <w:p w14:paraId="66E78F6A" w14:textId="77777777" w:rsidR="007F5CC8" w:rsidRPr="007F5C94" w:rsidRDefault="007F5CC8" w:rsidP="006019FD">
      <w:pPr>
        <w:spacing w:line="360" w:lineRule="auto"/>
        <w:jc w:val="both"/>
      </w:pPr>
    </w:p>
    <w:p w14:paraId="07AC1F47" w14:textId="77777777" w:rsidR="006019FD" w:rsidRPr="007F5C94" w:rsidRDefault="006019FD">
      <w:pPr>
        <w:spacing w:line="360" w:lineRule="auto"/>
        <w:jc w:val="both"/>
      </w:pPr>
    </w:p>
    <w:sectPr w:rsidR="006019FD" w:rsidRPr="007F5C9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D11AF"/>
    <w:multiLevelType w:val="multilevel"/>
    <w:tmpl w:val="2ED6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B46D4"/>
    <w:multiLevelType w:val="multilevel"/>
    <w:tmpl w:val="F48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12608"/>
    <w:multiLevelType w:val="multilevel"/>
    <w:tmpl w:val="619A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C36BF"/>
    <w:multiLevelType w:val="multilevel"/>
    <w:tmpl w:val="1E2A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792830">
    <w:abstractNumId w:val="0"/>
    <w:lvlOverride w:ilvl="0">
      <w:startOverride w:val="1"/>
    </w:lvlOverride>
  </w:num>
  <w:num w:numId="2" w16cid:durableId="1905482900">
    <w:abstractNumId w:val="3"/>
    <w:lvlOverride w:ilvl="0">
      <w:startOverride w:val="2"/>
    </w:lvlOverride>
  </w:num>
  <w:num w:numId="3" w16cid:durableId="720401329">
    <w:abstractNumId w:val="1"/>
    <w:lvlOverride w:ilvl="0">
      <w:startOverride w:val="3"/>
    </w:lvlOverride>
  </w:num>
  <w:num w:numId="4" w16cid:durableId="56707102">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94"/>
    <w:rsid w:val="000F3837"/>
    <w:rsid w:val="001E311E"/>
    <w:rsid w:val="00434AE6"/>
    <w:rsid w:val="005D25EE"/>
    <w:rsid w:val="006019FD"/>
    <w:rsid w:val="007F5C94"/>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842C"/>
  <w15:chartTrackingRefBased/>
  <w15:docId w15:val="{6EB8BCFA-C8B7-44B1-B172-3F1DACFE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uridicanormativa@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1088</Words>
  <Characters>5986</Characters>
  <Application>Microsoft Office Word</Application>
  <DocSecurity>0</DocSecurity>
  <Lines>49</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cp:lastPrinted>2023-04-26T22:19:00Z</cp:lastPrinted>
  <dcterms:created xsi:type="dcterms:W3CDTF">2023-04-18T02:23:00Z</dcterms:created>
  <dcterms:modified xsi:type="dcterms:W3CDTF">2023-04-26T22:19:00Z</dcterms:modified>
</cp:coreProperties>
</file>