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3CEC" w14:textId="77777777" w:rsidR="00FF24B7" w:rsidRPr="00FF24B7" w:rsidRDefault="00FF24B7" w:rsidP="00FF24B7">
      <w:pPr>
        <w:spacing w:after="0" w:line="240" w:lineRule="auto"/>
        <w:jc w:val="center"/>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 xml:space="preserve">CONCEPTO </w:t>
      </w:r>
      <w:proofErr w:type="spellStart"/>
      <w:r w:rsidRPr="00FF24B7">
        <w:rPr>
          <w:rFonts w:ascii="Segoe UI" w:eastAsia="Times New Roman" w:hAnsi="Segoe UI" w:cs="Segoe UI"/>
          <w:b/>
          <w:bCs/>
          <w:color w:val="000000"/>
          <w:szCs w:val="24"/>
          <w:highlight w:val="cyan"/>
          <w:lang w:eastAsia="es-CO"/>
        </w:rPr>
        <w:t>Nº</w:t>
      </w:r>
      <w:proofErr w:type="spellEnd"/>
      <w:r w:rsidRPr="00FF24B7">
        <w:rPr>
          <w:rFonts w:ascii="Segoe UI" w:eastAsia="Times New Roman" w:hAnsi="Segoe UI" w:cs="Segoe UI"/>
          <w:b/>
          <w:bCs/>
          <w:color w:val="000000"/>
          <w:szCs w:val="24"/>
          <w:highlight w:val="cyan"/>
          <w:lang w:eastAsia="es-CO"/>
        </w:rPr>
        <w:t xml:space="preserve"> 329 [003206]</w:t>
      </w:r>
    </w:p>
    <w:p w14:paraId="4BDF09B8" w14:textId="77777777" w:rsidR="00FF24B7" w:rsidRPr="00FF24B7" w:rsidRDefault="00FF24B7" w:rsidP="00FF24B7">
      <w:pPr>
        <w:spacing w:after="0" w:line="240" w:lineRule="auto"/>
        <w:jc w:val="center"/>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16-03-2023</w:t>
      </w:r>
    </w:p>
    <w:p w14:paraId="4684A578" w14:textId="77777777" w:rsidR="00FF24B7" w:rsidRPr="00FF24B7" w:rsidRDefault="00FF24B7" w:rsidP="00FF24B7">
      <w:pPr>
        <w:spacing w:after="0" w:line="240" w:lineRule="auto"/>
        <w:jc w:val="center"/>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DIAN</w:t>
      </w:r>
    </w:p>
    <w:p w14:paraId="69CCCD5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0EDD61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F3B5AF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100208192-329</w:t>
      </w:r>
    </w:p>
    <w:p w14:paraId="531DA67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Bogotá, D.C.,</w:t>
      </w:r>
    </w:p>
    <w:p w14:paraId="33893E3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32482E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Señores</w:t>
      </w:r>
    </w:p>
    <w:p w14:paraId="1ABF616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CONTRIBUYENTES</w:t>
      </w:r>
    </w:p>
    <w:p w14:paraId="3B080202" w14:textId="77777777" w:rsidR="00FF24B7" w:rsidRPr="00FF24B7" w:rsidRDefault="00000000" w:rsidP="00FF24B7">
      <w:pPr>
        <w:spacing w:after="0" w:line="240" w:lineRule="auto"/>
        <w:jc w:val="both"/>
        <w:rPr>
          <w:rFonts w:ascii="Segoe UI" w:eastAsia="Times New Roman" w:hAnsi="Segoe UI" w:cs="Segoe UI"/>
          <w:color w:val="000000"/>
          <w:szCs w:val="24"/>
          <w:lang w:eastAsia="es-CO"/>
        </w:rPr>
      </w:pPr>
      <w:hyperlink r:id="rId5" w:tgtFrame="_blank" w:history="1">
        <w:r w:rsidR="00FF24B7" w:rsidRPr="00FF24B7">
          <w:rPr>
            <w:rFonts w:ascii="Segoe UI" w:eastAsia="Times New Roman" w:hAnsi="Segoe UI" w:cs="Segoe UI"/>
            <w:color w:val="0645AD"/>
            <w:szCs w:val="24"/>
            <w:u w:val="single"/>
            <w:lang w:eastAsia="es-CO"/>
          </w:rPr>
          <w:t>juridicanormativa@dian.gov.co</w:t>
        </w:r>
      </w:hyperlink>
    </w:p>
    <w:p w14:paraId="3D41E7E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46A9FA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Ref.:</w:t>
      </w:r>
      <w:r w:rsidRPr="00FF24B7">
        <w:rPr>
          <w:rFonts w:ascii="Segoe UI" w:eastAsia="Times New Roman" w:hAnsi="Segoe UI" w:cs="Segoe UI"/>
          <w:color w:val="000000"/>
          <w:szCs w:val="24"/>
          <w:lang w:eastAsia="es-CO"/>
        </w:rPr>
        <w:t> Adición al Concepto General en materia de procedimiento tributario y aduanero con motivo de la Ley 2277 de 2022</w:t>
      </w:r>
    </w:p>
    <w:p w14:paraId="297C750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70"/>
        <w:gridCol w:w="6639"/>
      </w:tblGrid>
      <w:tr w:rsidR="00FF24B7" w:rsidRPr="00FF24B7" w14:paraId="72248AC3" w14:textId="77777777" w:rsidTr="00FF24B7">
        <w:tc>
          <w:tcPr>
            <w:tcW w:w="2270" w:type="dxa"/>
            <w:tcBorders>
              <w:top w:val="nil"/>
              <w:left w:val="nil"/>
              <w:bottom w:val="nil"/>
              <w:right w:val="nil"/>
            </w:tcBorders>
            <w:tcMar>
              <w:top w:w="0" w:type="dxa"/>
              <w:left w:w="105" w:type="dxa"/>
              <w:bottom w:w="0" w:type="dxa"/>
              <w:right w:w="105" w:type="dxa"/>
            </w:tcMar>
            <w:hideMark/>
          </w:tcPr>
          <w:p w14:paraId="26A19A4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Tema:</w:t>
            </w:r>
          </w:p>
        </w:tc>
        <w:tc>
          <w:tcPr>
            <w:tcW w:w="6639" w:type="dxa"/>
            <w:tcBorders>
              <w:top w:val="nil"/>
              <w:left w:val="nil"/>
              <w:bottom w:val="nil"/>
              <w:right w:val="nil"/>
            </w:tcBorders>
            <w:tcMar>
              <w:top w:w="0" w:type="dxa"/>
              <w:left w:w="105" w:type="dxa"/>
              <w:bottom w:w="0" w:type="dxa"/>
              <w:right w:w="105" w:type="dxa"/>
            </w:tcMar>
            <w:hideMark/>
          </w:tcPr>
          <w:p w14:paraId="20A96E3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Procedimiento tributario</w:t>
            </w:r>
          </w:p>
          <w:p w14:paraId="1EF6F414"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Aduanas</w:t>
            </w:r>
          </w:p>
          <w:p w14:paraId="02FE55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Fiscalización cambiaria</w:t>
            </w:r>
          </w:p>
        </w:tc>
      </w:tr>
      <w:tr w:rsidR="00FF24B7" w:rsidRPr="00FF24B7" w14:paraId="55B978B4" w14:textId="77777777" w:rsidTr="00FF24B7">
        <w:tc>
          <w:tcPr>
            <w:tcW w:w="2270" w:type="dxa"/>
            <w:tcBorders>
              <w:top w:val="nil"/>
              <w:left w:val="nil"/>
              <w:bottom w:val="nil"/>
              <w:right w:val="nil"/>
            </w:tcBorders>
            <w:tcMar>
              <w:top w:w="0" w:type="dxa"/>
              <w:left w:w="105" w:type="dxa"/>
              <w:bottom w:w="0" w:type="dxa"/>
              <w:right w:w="105" w:type="dxa"/>
            </w:tcMar>
            <w:hideMark/>
          </w:tcPr>
          <w:p w14:paraId="7EEC4FCD"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Descriptores:</w:t>
            </w:r>
          </w:p>
        </w:tc>
        <w:tc>
          <w:tcPr>
            <w:tcW w:w="6639" w:type="dxa"/>
            <w:tcBorders>
              <w:top w:val="nil"/>
              <w:left w:val="nil"/>
              <w:bottom w:val="nil"/>
              <w:right w:val="nil"/>
            </w:tcBorders>
            <w:tcMar>
              <w:top w:w="0" w:type="dxa"/>
              <w:left w:w="105" w:type="dxa"/>
              <w:bottom w:w="0" w:type="dxa"/>
              <w:right w:w="105" w:type="dxa"/>
            </w:tcMar>
            <w:hideMark/>
          </w:tcPr>
          <w:p w14:paraId="4ABE7112" w14:textId="77777777" w:rsidR="00FF24B7" w:rsidRPr="00FF24B7" w:rsidRDefault="00FF24B7" w:rsidP="00FF24B7">
            <w:pPr>
              <w:spacing w:after="0" w:line="240" w:lineRule="auto"/>
              <w:jc w:val="both"/>
              <w:rPr>
                <w:rFonts w:ascii="Segoe UI" w:eastAsia="Times New Roman" w:hAnsi="Segoe UI" w:cs="Segoe UI"/>
                <w:b/>
                <w:bCs/>
                <w:szCs w:val="24"/>
                <w:highlight w:val="cyan"/>
                <w:lang w:eastAsia="es-CO"/>
              </w:rPr>
            </w:pPr>
            <w:r w:rsidRPr="00FF24B7">
              <w:rPr>
                <w:rFonts w:ascii="Segoe UI" w:eastAsia="Times New Roman" w:hAnsi="Segoe UI" w:cs="Segoe UI"/>
                <w:b/>
                <w:bCs/>
                <w:szCs w:val="24"/>
                <w:highlight w:val="cyan"/>
                <w:lang w:eastAsia="es-CO"/>
              </w:rPr>
              <w:t>Ineficacia de las declaraciones de retención en la fuente Sanción por no enviar información o enviarla con errores Tasa de interés moratoria</w:t>
            </w:r>
          </w:p>
          <w:p w14:paraId="07049449" w14:textId="77777777" w:rsidR="00FF24B7" w:rsidRPr="00FF24B7" w:rsidRDefault="00FF24B7" w:rsidP="00FF24B7">
            <w:pPr>
              <w:spacing w:after="0" w:line="240" w:lineRule="auto"/>
              <w:jc w:val="both"/>
              <w:rPr>
                <w:rFonts w:ascii="Segoe UI" w:eastAsia="Times New Roman" w:hAnsi="Segoe UI" w:cs="Segoe UI"/>
                <w:b/>
                <w:bCs/>
                <w:szCs w:val="24"/>
                <w:highlight w:val="cyan"/>
                <w:lang w:eastAsia="es-CO"/>
              </w:rPr>
            </w:pPr>
            <w:r w:rsidRPr="00FF24B7">
              <w:rPr>
                <w:rFonts w:ascii="Segoe UI" w:eastAsia="Times New Roman" w:hAnsi="Segoe UI" w:cs="Segoe UI"/>
                <w:b/>
                <w:bCs/>
                <w:szCs w:val="24"/>
                <w:highlight w:val="cyan"/>
                <w:lang w:eastAsia="es-CO"/>
              </w:rPr>
              <w:t>Reducción transitoria de sanciones y de tasa de interés Contribuciones parafiscales</w:t>
            </w:r>
          </w:p>
        </w:tc>
      </w:tr>
      <w:tr w:rsidR="00FF24B7" w:rsidRPr="00FF24B7" w14:paraId="61C6C837" w14:textId="77777777" w:rsidTr="00FF24B7">
        <w:tc>
          <w:tcPr>
            <w:tcW w:w="2270" w:type="dxa"/>
            <w:tcBorders>
              <w:top w:val="nil"/>
              <w:left w:val="nil"/>
              <w:bottom w:val="nil"/>
              <w:right w:val="nil"/>
            </w:tcBorders>
            <w:tcMar>
              <w:top w:w="0" w:type="dxa"/>
              <w:left w:w="105" w:type="dxa"/>
              <w:bottom w:w="0" w:type="dxa"/>
              <w:right w:w="105" w:type="dxa"/>
            </w:tcMar>
            <w:hideMark/>
          </w:tcPr>
          <w:p w14:paraId="4758767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Fuentes formales:</w:t>
            </w:r>
          </w:p>
        </w:tc>
        <w:tc>
          <w:tcPr>
            <w:tcW w:w="6639" w:type="dxa"/>
            <w:tcBorders>
              <w:top w:val="nil"/>
              <w:left w:val="nil"/>
              <w:bottom w:val="nil"/>
              <w:right w:val="nil"/>
            </w:tcBorders>
            <w:tcMar>
              <w:top w:w="0" w:type="dxa"/>
              <w:left w:w="105" w:type="dxa"/>
              <w:bottom w:w="0" w:type="dxa"/>
              <w:right w:w="105" w:type="dxa"/>
            </w:tcMar>
            <w:hideMark/>
          </w:tcPr>
          <w:p w14:paraId="27C5B4B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Artículos </w:t>
            </w:r>
            <w:hyperlink r:id="rId6" w:tooltip="Estatuto Tributario CETA" w:history="1">
              <w:r w:rsidRPr="00FF24B7">
                <w:rPr>
                  <w:rFonts w:ascii="Segoe UI" w:eastAsia="Times New Roman" w:hAnsi="Segoe UI" w:cs="Segoe UI"/>
                  <w:color w:val="0645AD"/>
                  <w:szCs w:val="24"/>
                  <w:u w:val="single"/>
                  <w:lang w:eastAsia="es-CO"/>
                </w:rPr>
                <w:t>634</w:t>
              </w:r>
            </w:hyperlink>
            <w:r w:rsidRPr="00FF24B7">
              <w:rPr>
                <w:rFonts w:ascii="Segoe UI" w:eastAsia="Times New Roman" w:hAnsi="Segoe UI" w:cs="Segoe UI"/>
                <w:szCs w:val="24"/>
                <w:lang w:eastAsia="es-CO"/>
              </w:rPr>
              <w:t>, </w:t>
            </w:r>
            <w:hyperlink r:id="rId7" w:tooltip="Estatuto Tributario CETA" w:history="1">
              <w:r w:rsidRPr="00FF24B7">
                <w:rPr>
                  <w:rFonts w:ascii="Segoe UI" w:eastAsia="Times New Roman" w:hAnsi="Segoe UI" w:cs="Segoe UI"/>
                  <w:color w:val="0645AD"/>
                  <w:szCs w:val="24"/>
                  <w:u w:val="single"/>
                  <w:lang w:eastAsia="es-CO"/>
                </w:rPr>
                <w:t>635</w:t>
              </w:r>
            </w:hyperlink>
            <w:r w:rsidRPr="00FF24B7">
              <w:rPr>
                <w:rFonts w:ascii="Segoe UI" w:eastAsia="Times New Roman" w:hAnsi="Segoe UI" w:cs="Segoe UI"/>
                <w:szCs w:val="24"/>
                <w:lang w:eastAsia="es-CO"/>
              </w:rPr>
              <w:t>, </w:t>
            </w:r>
            <w:hyperlink r:id="rId8" w:tooltip="Estatuto Tributario CETA" w:history="1">
              <w:r w:rsidRPr="00FF24B7">
                <w:rPr>
                  <w:rFonts w:ascii="Segoe UI" w:eastAsia="Times New Roman" w:hAnsi="Segoe UI" w:cs="Segoe UI"/>
                  <w:color w:val="0645AD"/>
                  <w:szCs w:val="24"/>
                  <w:u w:val="single"/>
                  <w:lang w:eastAsia="es-CO"/>
                </w:rPr>
                <w:t>651</w:t>
              </w:r>
            </w:hyperlink>
            <w:r w:rsidRPr="00FF24B7">
              <w:rPr>
                <w:rFonts w:ascii="Segoe UI" w:eastAsia="Times New Roman" w:hAnsi="Segoe UI" w:cs="Segoe UI"/>
                <w:szCs w:val="24"/>
                <w:lang w:eastAsia="es-CO"/>
              </w:rPr>
              <w:t>,</w:t>
            </w:r>
            <w:hyperlink r:id="rId9" w:tooltip="Estatuto Tributario CETA" w:history="1">
              <w:r w:rsidRPr="00FF24B7">
                <w:rPr>
                  <w:rFonts w:ascii="Segoe UI" w:eastAsia="Times New Roman" w:hAnsi="Segoe UI" w:cs="Segoe UI"/>
                  <w:color w:val="0645AD"/>
                  <w:szCs w:val="24"/>
                  <w:u w:val="single"/>
                  <w:lang w:eastAsia="es-CO"/>
                </w:rPr>
                <w:t>850</w:t>
              </w:r>
            </w:hyperlink>
            <w:r w:rsidRPr="00FF24B7">
              <w:rPr>
                <w:rFonts w:ascii="Segoe UI" w:eastAsia="Times New Roman" w:hAnsi="Segoe UI" w:cs="Segoe UI"/>
                <w:szCs w:val="24"/>
                <w:lang w:eastAsia="es-CO"/>
              </w:rPr>
              <w:t> y </w:t>
            </w:r>
            <w:hyperlink r:id="rId10" w:tooltip="Estatuto Tributario CETA" w:history="1">
              <w:r w:rsidRPr="00FF24B7">
                <w:rPr>
                  <w:rFonts w:ascii="Segoe UI" w:eastAsia="Times New Roman" w:hAnsi="Segoe UI" w:cs="Segoe UI"/>
                  <w:color w:val="0645AD"/>
                  <w:szCs w:val="24"/>
                  <w:u w:val="single"/>
                  <w:lang w:eastAsia="es-CO"/>
                </w:rPr>
                <w:t>914</w:t>
              </w:r>
            </w:hyperlink>
            <w:r w:rsidRPr="00FF24B7">
              <w:rPr>
                <w:rFonts w:ascii="Segoe UI" w:eastAsia="Times New Roman" w:hAnsi="Segoe UI" w:cs="Segoe UI"/>
                <w:szCs w:val="24"/>
                <w:lang w:eastAsia="es-CO"/>
              </w:rPr>
              <w:t> del Estatuto Tributario.</w:t>
            </w:r>
          </w:p>
          <w:p w14:paraId="66B258C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Artículos 7, 9 y 14 de la Ley 1493 de 2011.</w:t>
            </w:r>
          </w:p>
          <w:p w14:paraId="63056A2A"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 3° del Decreto Ley 2245 de 2011</w:t>
            </w:r>
          </w:p>
        </w:tc>
      </w:tr>
    </w:tbl>
    <w:p w14:paraId="21FBC29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265082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8F780B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Cordial saludo.</w:t>
      </w:r>
    </w:p>
    <w:p w14:paraId="1A11A23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18887C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DCE6DF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35D297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Mediante el presente pronunciamiento, esta Subdirección absolverá diferentes interrogantes que se han formulado en torno a la interpretación y aplicación de algunas disposiciones de la Ley 2277 de 2022 con carácter procedimental, en lo estrictamente relacionado con los tributos administrados por la U.A.E. DIAN (cfr. artículo 1° del Decreto 1742 de 2020), con la adición al Concepto General de la referencia (Concepto 001328 - interno 165 del 7 de febrero de 2023).</w:t>
      </w:r>
    </w:p>
    <w:p w14:paraId="380CB5CA"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AA6CE03"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I.</w:t>
      </w:r>
      <w:r w:rsidRPr="00FF24B7">
        <w:rPr>
          <w:rFonts w:ascii="Segoe UI" w:eastAsia="Times New Roman" w:hAnsi="Segoe UI" w:cs="Segoe UI"/>
          <w:color w:val="000000"/>
          <w:szCs w:val="24"/>
          <w:lang w:eastAsia="es-CO"/>
        </w:rPr>
        <w:t> </w:t>
      </w:r>
      <w:r w:rsidRPr="00FF24B7">
        <w:rPr>
          <w:rFonts w:ascii="Segoe UI" w:eastAsia="Times New Roman" w:hAnsi="Segoe UI" w:cs="Segoe UI"/>
          <w:b/>
          <w:bCs/>
          <w:color w:val="000000"/>
          <w:szCs w:val="24"/>
          <w:lang w:eastAsia="es-CO"/>
        </w:rPr>
        <w:t>EN RELACIÓN CON EL ARTÍCULO 78 DE LA LEY 2277 DE 2022</w:t>
      </w:r>
    </w:p>
    <w:p w14:paraId="4C3A3BCE"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1152B32"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lang w:eastAsia="es-CO"/>
        </w:rPr>
        <w:t>Se aclara el ejemplo planteado en el punto #2 del título I (en relación con el artículo 78 de la Ley 2277 de 2022), así:</w:t>
      </w:r>
    </w:p>
    <w:p w14:paraId="54270371"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7BBDDA4"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i) Cuando la declaración de retención en la fuente es presentada oportunamente:</w:t>
      </w:r>
    </w:p>
    <w:p w14:paraId="7D32C36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8518"/>
        <w:gridCol w:w="828"/>
      </w:tblGrid>
      <w:tr w:rsidR="00FF24B7" w:rsidRPr="00FF24B7" w14:paraId="7F7476A3"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7E422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CONCEPTO</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BD550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UVT</w:t>
            </w:r>
          </w:p>
        </w:tc>
      </w:tr>
      <w:tr w:rsidR="00FF24B7" w:rsidRPr="00FF24B7" w14:paraId="573E5AA8"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F83DC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declarada</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66F128"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1.000</w:t>
            </w:r>
          </w:p>
        </w:tc>
      </w:tr>
      <w:tr w:rsidR="00FF24B7" w:rsidRPr="00FF24B7" w14:paraId="7343A175"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28B1A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por pagar</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352119"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1.000</w:t>
            </w:r>
          </w:p>
        </w:tc>
      </w:tr>
      <w:tr w:rsidR="00FF24B7" w:rsidRPr="00FF24B7" w14:paraId="010BC871"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95FC7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pagado con la declaración</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043256"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990</w:t>
            </w:r>
          </w:p>
        </w:tc>
      </w:tr>
      <w:tr w:rsidR="00FF24B7" w:rsidRPr="00FF24B7" w14:paraId="55540F8B"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153732"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dejada de pagar al momento de la presentación de la declaración</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F35016"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w:t>
            </w:r>
          </w:p>
        </w:tc>
      </w:tr>
      <w:tr w:rsidR="00FF24B7" w:rsidRPr="00FF24B7" w14:paraId="101B9926"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E52024"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adeudado</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0EB3F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w:t>
            </w:r>
          </w:p>
        </w:tc>
      </w:tr>
      <w:tr w:rsidR="00FF24B7" w:rsidRPr="00FF24B7" w14:paraId="7206CB1E"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CF0F0A"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causados desde la presentación de la declaración hasta la cancelación de la deuda (a más tardar 30 de junio de 2023)</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80AA01"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w:t>
            </w:r>
          </w:p>
        </w:tc>
      </w:tr>
      <w:tr w:rsidR="00FF24B7" w:rsidRPr="00FF24B7" w14:paraId="615FCE9D"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AB272D"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por cancelar</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0AA4C5"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110</w:t>
            </w:r>
          </w:p>
        </w:tc>
      </w:tr>
    </w:tbl>
    <w:p w14:paraId="33864DF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269593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E906912"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proofErr w:type="spellStart"/>
      <w:r w:rsidRPr="00FF24B7">
        <w:rPr>
          <w:rFonts w:ascii="Segoe UI" w:eastAsia="Times New Roman" w:hAnsi="Segoe UI" w:cs="Segoe UI"/>
          <w:color w:val="000000"/>
          <w:szCs w:val="24"/>
          <w:lang w:eastAsia="es-CO"/>
        </w:rPr>
        <w:t>ii</w:t>
      </w:r>
      <w:proofErr w:type="spellEnd"/>
      <w:r w:rsidRPr="00FF24B7">
        <w:rPr>
          <w:rFonts w:ascii="Segoe UI" w:eastAsia="Times New Roman" w:hAnsi="Segoe UI" w:cs="Segoe UI"/>
          <w:color w:val="000000"/>
          <w:szCs w:val="24"/>
          <w:lang w:eastAsia="es-CO"/>
        </w:rPr>
        <w:t>) Cuando la declaración de retención en la fuente es presentada extemporáneamente:</w:t>
      </w:r>
    </w:p>
    <w:p w14:paraId="651BCC6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229"/>
        <w:gridCol w:w="5078"/>
        <w:gridCol w:w="1039"/>
      </w:tblGrid>
      <w:tr w:rsidR="00FF24B7" w:rsidRPr="00FF24B7" w14:paraId="57DB93D8"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7E593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CONCEPTO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31C19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UVT</w:t>
            </w:r>
          </w:p>
        </w:tc>
      </w:tr>
      <w:tr w:rsidR="00FF24B7" w:rsidRPr="00FF24B7" w14:paraId="50CF3157"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DC399D7"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Conceptos liquidados</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F194C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declarada</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E6C2E3"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1.000</w:t>
            </w:r>
          </w:p>
        </w:tc>
      </w:tr>
      <w:tr w:rsidR="00FF24B7" w:rsidRPr="00FF24B7" w14:paraId="102D5081"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4BD42"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FD60F9"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Sanción por extemporaneidad liquidada (1 mes de retardo)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DFBB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50</w:t>
            </w:r>
          </w:p>
        </w:tc>
      </w:tr>
      <w:tr w:rsidR="00FF24B7" w:rsidRPr="00FF24B7" w14:paraId="5B5E569B"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615DE"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31B7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liquidados hasta la presentación de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5B3DCB"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15</w:t>
            </w:r>
          </w:p>
        </w:tc>
      </w:tr>
      <w:tr w:rsidR="00FF24B7" w:rsidRPr="00FF24B7" w14:paraId="73A853A4"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2D6B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por pagar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83C1A2"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1.065</w:t>
            </w:r>
          </w:p>
        </w:tc>
      </w:tr>
      <w:tr w:rsidR="00FF24B7" w:rsidRPr="00FF24B7" w14:paraId="73E66356"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9DBB1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pagado con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1EDBE4"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1.055</w:t>
            </w:r>
          </w:p>
        </w:tc>
      </w:tr>
      <w:tr w:rsidR="00FF24B7" w:rsidRPr="00FF24B7" w14:paraId="12E47332"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7DCC3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Imputación del pago (</w:t>
            </w:r>
            <w:hyperlink r:id="rId11" w:tooltip="Estatuto Tributario CETA" w:history="1">
              <w:r w:rsidRPr="00FF24B7">
                <w:rPr>
                  <w:rFonts w:ascii="Segoe UI" w:eastAsia="Times New Roman" w:hAnsi="Segoe UI" w:cs="Segoe UI"/>
                  <w:color w:val="0645AD"/>
                  <w:szCs w:val="24"/>
                  <w:u w:val="single"/>
                  <w:lang w:eastAsia="es-CO"/>
                </w:rPr>
                <w:t>artículo 804</w:t>
              </w:r>
            </w:hyperlink>
            <w:r w:rsidRPr="00FF24B7">
              <w:rPr>
                <w:rFonts w:ascii="Segoe UI" w:eastAsia="Times New Roman" w:hAnsi="Segoe UI" w:cs="Segoe UI"/>
                <w:szCs w:val="24"/>
                <w:lang w:eastAsia="es-CO"/>
              </w:rPr>
              <w:t> del Estatuto Tributario)</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0FF1B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la retención en la fuente</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B98307"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990,610</w:t>
            </w:r>
          </w:p>
        </w:tc>
      </w:tr>
      <w:tr w:rsidR="00FF24B7" w:rsidRPr="00FF24B7" w14:paraId="031EAF87"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3FBDC"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8217B1"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la sanción por extemporaneidad</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D3A2F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49,530</w:t>
            </w:r>
          </w:p>
        </w:tc>
      </w:tr>
      <w:tr w:rsidR="00FF24B7" w:rsidRPr="00FF24B7" w14:paraId="20B2B2DB"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07574"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E6D1D1"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los intereses moratorios liquidados hasta la presentación de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C0BEDE7"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14,859</w:t>
            </w:r>
          </w:p>
        </w:tc>
      </w:tr>
      <w:tr w:rsidR="00FF24B7" w:rsidRPr="00FF24B7" w14:paraId="6C0191F9"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843063"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dejado de pagar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40FB9E"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w:t>
            </w:r>
          </w:p>
        </w:tc>
      </w:tr>
      <w:tr w:rsidR="00FF24B7" w:rsidRPr="00FF24B7" w14:paraId="76E00B0B"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49E96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Discriminación del valor dejado de pagar</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8CF110"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08ACF5"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9,389</w:t>
            </w:r>
          </w:p>
        </w:tc>
      </w:tr>
      <w:tr w:rsidR="00FF24B7" w:rsidRPr="00FF24B7" w14:paraId="56E255F7"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48F3F"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C82D3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sanción por extemporaneidad</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7C76B2"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0,469</w:t>
            </w:r>
          </w:p>
        </w:tc>
      </w:tr>
      <w:tr w:rsidR="00FF24B7" w:rsidRPr="00FF24B7" w14:paraId="08550D6F"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8D3A0"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AB745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los intereses moratorios</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9C32C8"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0,140</w:t>
            </w:r>
          </w:p>
        </w:tc>
      </w:tr>
      <w:tr w:rsidR="00FF24B7" w:rsidRPr="00FF24B7" w14:paraId="5F252FE7"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F1089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adeudado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E30AE1"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w:t>
            </w:r>
          </w:p>
        </w:tc>
      </w:tr>
      <w:tr w:rsidR="00FF24B7" w:rsidRPr="00FF24B7" w14:paraId="1393838F"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ABACC7"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causados desde la presentación de la declaración hasta la cancelación de la deuda (a más tardar 30 de junio de 2023)</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100B6F"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w:t>
            </w:r>
          </w:p>
        </w:tc>
      </w:tr>
      <w:tr w:rsidR="00FF24B7" w:rsidRPr="00FF24B7" w14:paraId="5D488A21"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2ABD73"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por cancelar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B2969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110</w:t>
            </w:r>
          </w:p>
        </w:tc>
      </w:tr>
    </w:tbl>
    <w:p w14:paraId="42E7FB5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8A1186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73240A6"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3. ¿Las expresiones </w:t>
      </w:r>
      <w:r w:rsidRPr="00FF24B7">
        <w:rPr>
          <w:rFonts w:ascii="Segoe UI" w:eastAsia="Times New Roman" w:hAnsi="Segoe UI" w:cs="Segoe UI"/>
          <w:b/>
          <w:bCs/>
          <w:i/>
          <w:iCs/>
          <w:color w:val="000000"/>
          <w:szCs w:val="24"/>
          <w:lang w:eastAsia="es-CO"/>
        </w:rPr>
        <w:t>«el valor dejado de pagar no supere diez (10) UVT»</w:t>
      </w:r>
      <w:r w:rsidRPr="00FF24B7">
        <w:rPr>
          <w:rFonts w:ascii="Segoe UI" w:eastAsia="Times New Roman" w:hAnsi="Segoe UI" w:cs="Segoe UI"/>
          <w:b/>
          <w:bCs/>
          <w:color w:val="000000"/>
          <w:szCs w:val="24"/>
          <w:lang w:eastAsia="es-CO"/>
        </w:rPr>
        <w:t> y </w:t>
      </w:r>
      <w:r w:rsidRPr="00FF24B7">
        <w:rPr>
          <w:rFonts w:ascii="Segoe UI" w:eastAsia="Times New Roman" w:hAnsi="Segoe UI" w:cs="Segoe UI"/>
          <w:b/>
          <w:bCs/>
          <w:i/>
          <w:iCs/>
          <w:color w:val="000000"/>
          <w:szCs w:val="24"/>
          <w:lang w:eastAsia="es-CO"/>
        </w:rPr>
        <w:t>«sin perjuicio de la liquidación de los intereses moratorios a que haya lugar»</w:t>
      </w:r>
      <w:r w:rsidRPr="00FF24B7">
        <w:rPr>
          <w:rFonts w:ascii="Segoe UI" w:eastAsia="Times New Roman" w:hAnsi="Segoe UI" w:cs="Segoe UI"/>
          <w:b/>
          <w:bCs/>
          <w:color w:val="000000"/>
          <w:szCs w:val="24"/>
          <w:lang w:eastAsia="es-CO"/>
        </w:rPr>
        <w:t>, contenidas en el parágrafo 3° del </w:t>
      </w:r>
      <w:hyperlink r:id="rId12" w:tooltip="Estatuto Tributario CETA" w:history="1">
        <w:r w:rsidRPr="00FF24B7">
          <w:rPr>
            <w:rFonts w:ascii="Segoe UI" w:eastAsia="Times New Roman" w:hAnsi="Segoe UI" w:cs="Segoe UI"/>
            <w:b/>
            <w:bCs/>
            <w:color w:val="0645AD"/>
            <w:szCs w:val="24"/>
            <w:u w:val="single"/>
            <w:lang w:eastAsia="es-CO"/>
          </w:rPr>
          <w:t>artículo 580-1</w:t>
        </w:r>
      </w:hyperlink>
      <w:r w:rsidRPr="00FF24B7">
        <w:rPr>
          <w:rFonts w:ascii="Segoe UI" w:eastAsia="Times New Roman" w:hAnsi="Segoe UI" w:cs="Segoe UI"/>
          <w:b/>
          <w:bCs/>
          <w:color w:val="000000"/>
          <w:szCs w:val="24"/>
          <w:lang w:eastAsia="es-CO"/>
        </w:rPr>
        <w:t> del Estatuto Tributario, permiten suponer que los intereses moratorios no se encuentran comprendidos dentro de las mencionadas 10 UVT?</w:t>
      </w:r>
    </w:p>
    <w:p w14:paraId="1DE6E53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DF5333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Se reitera lo manifestado en el punto #2 de este título:</w:t>
      </w:r>
    </w:p>
    <w:p w14:paraId="02B9DD6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F709DC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En cuanto al «valor dejado de pagar», el cual no puede superar 10 UVT en ningún evento, este comprenderá:</w:t>
      </w:r>
    </w:p>
    <w:p w14:paraId="0E60B1F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E97E15E" w14:textId="77777777" w:rsidR="00FF24B7" w:rsidRPr="00FF24B7" w:rsidRDefault="00FF24B7" w:rsidP="00FF24B7">
      <w:pPr>
        <w:numPr>
          <w:ilvl w:val="0"/>
          <w:numId w:val="1"/>
        </w:numPr>
        <w:spacing w:before="100" w:beforeAutospacing="1" w:after="100" w:afterAutospacing="1" w:line="240" w:lineRule="auto"/>
        <w:ind w:left="1080" w:firstLine="0"/>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el caso de las declaraciones presentadas oportunamente, sin pago total: la retención en la fuente dejada de pagar total o parcialmente.</w:t>
      </w:r>
    </w:p>
    <w:p w14:paraId="13AD931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4EFA455" w14:textId="77777777" w:rsidR="00FF24B7" w:rsidRPr="00FF24B7" w:rsidRDefault="00FF24B7" w:rsidP="00FF24B7">
      <w:pPr>
        <w:numPr>
          <w:ilvl w:val="0"/>
          <w:numId w:val="2"/>
        </w:numPr>
        <w:spacing w:before="100" w:beforeAutospacing="1" w:after="100" w:afterAutospacing="1" w:line="240" w:lineRule="auto"/>
        <w:ind w:left="1080" w:firstLine="0"/>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el caso de las declaraciones presentadas extemporáneamente, sin pago total: la retención en la fuente, la sanción por extemporaneidad y los intereses moratorios causados hasta la presentación extemporánea de la declaración de retención en la fuente, dejados de pagar total o parcialmente, teniendo en cuenta lo consagrado en el </w:t>
      </w:r>
      <w:hyperlink r:id="rId13" w:tooltip="Estatuto Tributario CETA" w:history="1">
        <w:r w:rsidRPr="00FF24B7">
          <w:rPr>
            <w:rFonts w:ascii="Segoe UI" w:eastAsia="Times New Roman" w:hAnsi="Segoe UI" w:cs="Segoe UI"/>
            <w:color w:val="0645AD"/>
            <w:szCs w:val="24"/>
            <w:u w:val="single"/>
            <w:lang w:eastAsia="es-CO"/>
          </w:rPr>
          <w:t>artículo 804</w:t>
        </w:r>
      </w:hyperlink>
      <w:r w:rsidRPr="00FF24B7">
        <w:rPr>
          <w:rFonts w:ascii="Segoe UI" w:eastAsia="Times New Roman" w:hAnsi="Segoe UI" w:cs="Segoe UI"/>
          <w:color w:val="000000"/>
          <w:szCs w:val="24"/>
          <w:lang w:eastAsia="es-CO"/>
        </w:rPr>
        <w:t> del Estatuto Tributario (prelación en la imputación del pago).</w:t>
      </w:r>
    </w:p>
    <w:p w14:paraId="78800A5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319DE6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Al «valor dejado de pagar», en los términos explicados, se sumarán los intereses moratorios causados desde la presentación de la declaración hasta la cancelación de que trata el parágrafo 3° del </w:t>
      </w:r>
      <w:hyperlink r:id="rId14" w:tooltip="Estatuto Tributario CETA" w:history="1">
        <w:r w:rsidRPr="00FF24B7">
          <w:rPr>
            <w:rFonts w:ascii="Segoe UI" w:eastAsia="Times New Roman" w:hAnsi="Segoe UI" w:cs="Segoe UI"/>
            <w:color w:val="0645AD"/>
            <w:szCs w:val="24"/>
            <w:u w:val="single"/>
            <w:lang w:eastAsia="es-CO"/>
          </w:rPr>
          <w:t>artículo 580-1</w:t>
        </w:r>
      </w:hyperlink>
      <w:r w:rsidRPr="00FF24B7">
        <w:rPr>
          <w:rFonts w:ascii="Segoe UI" w:eastAsia="Times New Roman" w:hAnsi="Segoe UI" w:cs="Segoe UI"/>
          <w:color w:val="000000"/>
          <w:szCs w:val="24"/>
          <w:lang w:eastAsia="es-CO"/>
        </w:rPr>
        <w:t> </w:t>
      </w:r>
      <w:r w:rsidRPr="00FF24B7">
        <w:rPr>
          <w:rFonts w:ascii="Segoe UI" w:eastAsia="Times New Roman" w:hAnsi="Segoe UI" w:cs="Segoe UI"/>
          <w:i/>
          <w:iCs/>
          <w:color w:val="000000"/>
          <w:szCs w:val="24"/>
          <w:lang w:eastAsia="es-CO"/>
        </w:rPr>
        <w:t>ibidem</w:t>
      </w:r>
      <w:r w:rsidRPr="00FF24B7">
        <w:rPr>
          <w:rFonts w:ascii="Segoe UI" w:eastAsia="Times New Roman" w:hAnsi="Segoe UI" w:cs="Segoe UI"/>
          <w:color w:val="000000"/>
          <w:szCs w:val="24"/>
          <w:lang w:eastAsia="es-CO"/>
        </w:rPr>
        <w:t>, los cuales -sea de precisar- no hacen parte del límite de 10 UVT de que trata la disposición.</w:t>
      </w:r>
    </w:p>
    <w:p w14:paraId="72753EB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6F43958"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II. EN RELACIÓN CON EL ARTÍCULO 80 DE LA LEY 2277 DE 2022</w:t>
      </w:r>
    </w:p>
    <w:p w14:paraId="32489B71"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68019EA"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1.1. Si el administrado subsanó alguna de las infracciones de que trata el numeral 1 del </w:t>
      </w:r>
      <w:hyperlink r:id="rId15" w:tooltip="Estatuto Tributario CETA" w:history="1">
        <w:r w:rsidRPr="00FF24B7">
          <w:rPr>
            <w:rFonts w:ascii="Segoe UI" w:eastAsia="Times New Roman" w:hAnsi="Segoe UI" w:cs="Segoe UI"/>
            <w:b/>
            <w:bCs/>
            <w:color w:val="0645AD"/>
            <w:szCs w:val="24"/>
            <w:u w:val="single"/>
            <w:lang w:eastAsia="es-CO"/>
          </w:rPr>
          <w:t>artículo 651</w:t>
        </w:r>
      </w:hyperlink>
      <w:r w:rsidRPr="00FF24B7">
        <w:rPr>
          <w:rFonts w:ascii="Segoe UI" w:eastAsia="Times New Roman" w:hAnsi="Segoe UI" w:cs="Segoe UI"/>
          <w:b/>
          <w:bCs/>
          <w:color w:val="000000"/>
          <w:szCs w:val="24"/>
          <w:lang w:eastAsia="es-CO"/>
        </w:rPr>
        <w:t> del Estatuto Tributario y liquidó y pagó la respectiva sanción antes de la entrada en vigencia de la Ley 2277 de 2022 ¿es procedente dar aplicación al principio de favorabilidad en este caso, considerando la reducción de las multas aplicables?</w:t>
      </w:r>
    </w:p>
    <w:p w14:paraId="1B6EF40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A93CDF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xml:space="preserve"> en la medida que el administrado ya subsanó la infracción y liquidó y pagó la respectiva sanción, haciendo uso de la normativa vigente en su momento.</w:t>
      </w:r>
    </w:p>
    <w:p w14:paraId="6350488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9FB42CE"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6. ¿Las reducciones sobre las multas de que trata el </w:t>
      </w:r>
      <w:hyperlink r:id="rId16" w:tooltip="Estatuto Tributario CETA" w:history="1">
        <w:r w:rsidRPr="00FF24B7">
          <w:rPr>
            <w:rFonts w:ascii="Segoe UI" w:eastAsia="Times New Roman" w:hAnsi="Segoe UI" w:cs="Segoe UI"/>
            <w:b/>
            <w:bCs/>
            <w:color w:val="0645AD"/>
            <w:szCs w:val="24"/>
            <w:highlight w:val="cyan"/>
            <w:u w:val="single"/>
            <w:lang w:eastAsia="es-CO"/>
          </w:rPr>
          <w:t>artículo 651</w:t>
        </w:r>
      </w:hyperlink>
      <w:r w:rsidRPr="00FF24B7">
        <w:rPr>
          <w:rFonts w:ascii="Segoe UI" w:eastAsia="Times New Roman" w:hAnsi="Segoe UI" w:cs="Segoe UI"/>
          <w:b/>
          <w:bCs/>
          <w:color w:val="000000"/>
          <w:szCs w:val="24"/>
          <w:highlight w:val="cyan"/>
          <w:lang w:eastAsia="es-CO"/>
        </w:rPr>
        <w:t> del Estatuto Tributario, con motivo del artículo 80 de la Ley 2277 de 2022, son igualmente aplicables a las sanciones relacionadas con la información exógena cambiaria?</w:t>
      </w:r>
    </w:p>
    <w:p w14:paraId="573E918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662E1A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ya que el </w:t>
      </w:r>
      <w:hyperlink r:id="rId17" w:tooltip="Estatuto Tributario CETA" w:history="1">
        <w:r w:rsidRPr="00FF24B7">
          <w:rPr>
            <w:rFonts w:ascii="Segoe UI" w:eastAsia="Times New Roman" w:hAnsi="Segoe UI" w:cs="Segoe UI"/>
            <w:color w:val="0645AD"/>
            <w:szCs w:val="24"/>
            <w:u w:val="single"/>
            <w:lang w:eastAsia="es-CO"/>
          </w:rPr>
          <w:t>artículo 651</w:t>
        </w:r>
      </w:hyperlink>
      <w:r w:rsidRPr="00FF24B7">
        <w:rPr>
          <w:rFonts w:ascii="Segoe UI" w:eastAsia="Times New Roman" w:hAnsi="Segoe UI" w:cs="Segoe UI"/>
          <w:color w:val="000000"/>
          <w:szCs w:val="24"/>
          <w:lang w:eastAsia="es-CO"/>
        </w:rPr>
        <w:t> del Estatuto Tributario se refiere exclusivamente a la obligación de suministrar información de carácter tributario.</w:t>
      </w:r>
    </w:p>
    <w:p w14:paraId="6A78BC0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4D2675B"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No sobra precisar que las sanciones por no presentar, enviar o transmitir la información exógena cambiaria o por presentarla o enviarla en forma extemporánea están previstas en los numerales 30 y 31 del artículo 3° del Decreto Ley 2245 de 2011.</w:t>
      </w:r>
    </w:p>
    <w:p w14:paraId="06D3EFD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BA4E686"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IV. EN RELACIÓN CON EL ARTÍCULO 91 DE LA LEY 2277 DE 2022</w:t>
      </w:r>
    </w:p>
    <w:p w14:paraId="502C46DF"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color w:val="000000"/>
          <w:szCs w:val="24"/>
          <w:highlight w:val="cyan"/>
          <w:lang w:eastAsia="es-CO"/>
        </w:rPr>
        <w:t> </w:t>
      </w:r>
    </w:p>
    <w:p w14:paraId="4DA7A896"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1.1. ¿Puede aplicarse la tasa de interés moratoria transitoria de que trata el artículo 91 de la Ley 2277 de 2022 en el caso de declaraciones de retención en la fuente ineficaces en los términos del </w:t>
      </w:r>
      <w:hyperlink r:id="rId18" w:tooltip="Estatuto Tributario CETA" w:history="1">
        <w:r w:rsidRPr="00FF24B7">
          <w:rPr>
            <w:rFonts w:ascii="Segoe UI" w:eastAsia="Times New Roman" w:hAnsi="Segoe UI" w:cs="Segoe UI"/>
            <w:b/>
            <w:bCs/>
            <w:color w:val="0645AD"/>
            <w:szCs w:val="24"/>
            <w:highlight w:val="cyan"/>
            <w:u w:val="single"/>
            <w:lang w:eastAsia="es-CO"/>
          </w:rPr>
          <w:t>artículo 580-1</w:t>
        </w:r>
      </w:hyperlink>
      <w:r w:rsidRPr="00FF24B7">
        <w:rPr>
          <w:rFonts w:ascii="Segoe UI" w:eastAsia="Times New Roman" w:hAnsi="Segoe UI" w:cs="Segoe UI"/>
          <w:b/>
          <w:bCs/>
          <w:color w:val="000000"/>
          <w:szCs w:val="24"/>
          <w:highlight w:val="cyan"/>
          <w:lang w:eastAsia="es-CO"/>
        </w:rPr>
        <w:t> del Estatuto Tributario?</w:t>
      </w:r>
    </w:p>
    <w:p w14:paraId="33FB589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C82410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Si</w:t>
      </w:r>
      <w:r w:rsidRPr="00FF24B7">
        <w:rPr>
          <w:rFonts w:ascii="Segoe UI" w:eastAsia="Times New Roman" w:hAnsi="Segoe UI" w:cs="Segoe UI"/>
          <w:color w:val="000000"/>
          <w:szCs w:val="24"/>
          <w:lang w:eastAsia="es-CO"/>
        </w:rPr>
        <w:t xml:space="preserve">, siempre y cuando estas declaraciones de retención en la fuente se presenten con pago total hasta el 30 de junio de 2023. Esto, sin perjuicio de lo señalado en el punto #1 de </w:t>
      </w:r>
      <w:r w:rsidRPr="00FF24B7">
        <w:rPr>
          <w:rFonts w:ascii="Segoe UI" w:eastAsia="Times New Roman" w:hAnsi="Segoe UI" w:cs="Segoe UI"/>
          <w:color w:val="000000"/>
          <w:szCs w:val="24"/>
          <w:lang w:eastAsia="es-CO"/>
        </w:rPr>
        <w:lastRenderedPageBreak/>
        <w:t>este título sobre las declaraciones de retención en la fuente de que trata el parágrafo transitorio 2° del referido </w:t>
      </w:r>
      <w:hyperlink r:id="rId19" w:tooltip="Estatuto Tributario CETA" w:history="1">
        <w:r w:rsidRPr="00FF24B7">
          <w:rPr>
            <w:rFonts w:ascii="Segoe UI" w:eastAsia="Times New Roman" w:hAnsi="Segoe UI" w:cs="Segoe UI"/>
            <w:color w:val="0645AD"/>
            <w:szCs w:val="24"/>
            <w:u w:val="single"/>
            <w:lang w:eastAsia="es-CO"/>
          </w:rPr>
          <w:t>artículo 580-1</w:t>
        </w:r>
      </w:hyperlink>
      <w:r w:rsidRPr="00FF24B7">
        <w:rPr>
          <w:rFonts w:ascii="Segoe UI" w:eastAsia="Times New Roman" w:hAnsi="Segoe UI" w:cs="Segoe UI"/>
          <w:color w:val="000000"/>
          <w:szCs w:val="24"/>
          <w:lang w:eastAsia="es-CO"/>
        </w:rPr>
        <w:t>.</w:t>
      </w:r>
    </w:p>
    <w:p w14:paraId="3C051E1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B5FC720"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5. ¿Es aplicable la tasa de interés moratoria transitoria del artículo 91 de la Ley 2277 de 2022 tratándose del pago de los anticipos bimestrales del impuesto unificado bajo el régimen simple de tributación - SIMPLE?</w:t>
      </w:r>
    </w:p>
    <w:p w14:paraId="1466D2A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7ABCA6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Si, en la medida que el pago de los anticipos bimestrales en comento corresponde a una obligación tributaria; sin embargo, no se debe perder de vista lo previsto en el </w:t>
      </w:r>
      <w:hyperlink r:id="rId20" w:tooltip="Estatuto Tributario CETA" w:history="1">
        <w:r w:rsidRPr="00FF24B7">
          <w:rPr>
            <w:rFonts w:ascii="Segoe UI" w:eastAsia="Times New Roman" w:hAnsi="Segoe UI" w:cs="Segoe UI"/>
            <w:color w:val="0645AD"/>
            <w:szCs w:val="24"/>
            <w:u w:val="single"/>
            <w:lang w:eastAsia="es-CO"/>
          </w:rPr>
          <w:t>artículo 914</w:t>
        </w:r>
      </w:hyperlink>
      <w:r w:rsidRPr="00FF24B7">
        <w:rPr>
          <w:rFonts w:ascii="Segoe UI" w:eastAsia="Times New Roman" w:hAnsi="Segoe UI" w:cs="Segoe UI"/>
          <w:color w:val="000000"/>
          <w:szCs w:val="24"/>
          <w:lang w:eastAsia="es-CO"/>
        </w:rPr>
        <w:t> del Estatuto Tributario:</w:t>
      </w:r>
    </w:p>
    <w:p w14:paraId="247F94D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D7D3539"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lang w:eastAsia="es-CO"/>
        </w:rPr>
        <w:t>«</w:t>
      </w:r>
      <w:r w:rsidRPr="00FF24B7">
        <w:rPr>
          <w:rFonts w:ascii="Segoe UI" w:eastAsia="Times New Roman" w:hAnsi="Segoe UI" w:cs="Segoe UI"/>
          <w:b/>
          <w:bCs/>
          <w:i/>
          <w:iCs/>
          <w:color w:val="000000"/>
          <w:szCs w:val="24"/>
          <w:lang w:eastAsia="es-CO"/>
        </w:rPr>
        <w:t>ARTÍCULO 914. EXCLUSIÓN DEL IMPUESTO UNIFICADO BAJO EL RÉGIMEN SIMPLE DE TRIBUTACIÓN - SIMPLE POR INCUMPLIMIENTO.</w:t>
      </w:r>
      <w:r w:rsidRPr="00FF24B7">
        <w:rPr>
          <w:rFonts w:ascii="Segoe UI" w:eastAsia="Times New Roman" w:hAnsi="Segoe UI" w:cs="Segoe UI"/>
          <w:i/>
          <w:iCs/>
          <w:color w:val="000000"/>
          <w:szCs w:val="24"/>
          <w:lang w:eastAsia="es-CO"/>
        </w:rPr>
        <w:t> &lt;Artículo modificado por el artículo 74 de la Ley 2010 de 2019. El nuevo texto es el siguiente:&gt; Cuando el contribuyente incumpla los pagos correspondientes al total del período del impuesto unificado bajo el régimen simple de tributación - SIMPLE, será excluido del Régimen y no podrá optar por este en el año gravable siguiente al del año gravable de la omisión o retardo en el pago. Se entenderá incumplido </w:t>
      </w:r>
      <w:r w:rsidRPr="00FF24B7">
        <w:rPr>
          <w:rFonts w:ascii="Segoe UI" w:eastAsia="Times New Roman" w:hAnsi="Segoe UI" w:cs="Segoe UI"/>
          <w:i/>
          <w:iCs/>
          <w:color w:val="000000"/>
          <w:szCs w:val="24"/>
          <w:u w:val="single"/>
          <w:lang w:eastAsia="es-CO"/>
        </w:rPr>
        <w:t>cuando el retardo en la declaración o en el pago del recibo SIMPLE sea mayor a un (1) mes calendario</w:t>
      </w:r>
      <w:r w:rsidRPr="00FF24B7">
        <w:rPr>
          <w:rFonts w:ascii="Segoe UI" w:eastAsia="Times New Roman" w:hAnsi="Segoe UI" w:cs="Segoe UI"/>
          <w:i/>
          <w:iCs/>
          <w:color w:val="000000"/>
          <w:szCs w:val="24"/>
          <w:lang w:eastAsia="es-CO"/>
        </w:rPr>
        <w:t>.»</w:t>
      </w:r>
      <w:r w:rsidRPr="00FF24B7">
        <w:rPr>
          <w:rFonts w:ascii="Segoe UI" w:eastAsia="Times New Roman" w:hAnsi="Segoe UI" w:cs="Segoe UI"/>
          <w:color w:val="000000"/>
          <w:szCs w:val="24"/>
          <w:lang w:eastAsia="es-CO"/>
        </w:rPr>
        <w:t> (énfasis propio)</w:t>
      </w:r>
    </w:p>
    <w:p w14:paraId="576FABFD"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225F268"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VI. EN RELACIÓN CON EL ARTÍCULO 93 DE LA LEY 2277 DE 2022</w:t>
      </w:r>
    </w:p>
    <w:p w14:paraId="34D17665"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color w:val="000000"/>
          <w:szCs w:val="24"/>
          <w:highlight w:val="cyan"/>
          <w:lang w:eastAsia="es-CO"/>
        </w:rPr>
        <w:t> </w:t>
      </w:r>
    </w:p>
    <w:p w14:paraId="62B7C8D8"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6. ¿Es extensible la reducción transitoria de sanciones y de tasa de interés, contemplada en el artículo 93 de la Ley 2277 de 2022, a las obligaciones en materia aduanera y cambiaria?</w:t>
      </w:r>
    </w:p>
    <w:p w14:paraId="3FA1039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F13EB7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ya que el artículo 93 en comento limita la mencionada reducción a las declaraciones tributarias.</w:t>
      </w:r>
    </w:p>
    <w:p w14:paraId="5A3CD06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A13E4A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7. ¿El artículo 93 de la Ley 2277 de 2022 solo es aplicable en relación con las declaraciones tributarias que debían presentarse antes del 31 de diciembre de 2022?</w:t>
      </w:r>
    </w:p>
    <w:p w14:paraId="183776F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2DCBB1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El mencionado artículo 93 establece que la reducción opera </w:t>
      </w:r>
      <w:r w:rsidRPr="00FF24B7">
        <w:rPr>
          <w:rFonts w:ascii="Segoe UI" w:eastAsia="Times New Roman" w:hAnsi="Segoe UI" w:cs="Segoe UI"/>
          <w:i/>
          <w:iCs/>
          <w:color w:val="000000"/>
          <w:szCs w:val="24"/>
          <w:lang w:eastAsia="es-CO"/>
        </w:rPr>
        <w:t>«Para los contribuyentes que, a </w:t>
      </w:r>
      <w:r w:rsidRPr="00FF24B7">
        <w:rPr>
          <w:rFonts w:ascii="Segoe UI" w:eastAsia="Times New Roman" w:hAnsi="Segoe UI" w:cs="Segoe UI"/>
          <w:i/>
          <w:iCs/>
          <w:color w:val="000000"/>
          <w:szCs w:val="24"/>
          <w:u w:val="single"/>
          <w:lang w:eastAsia="es-CO"/>
        </w:rPr>
        <w:t>treinta y uno (31) de diciembre de 2022, no hayan presentado las declaraciones tributarias a que estaban obligados</w:t>
      </w:r>
      <w:r w:rsidRPr="00FF24B7">
        <w:rPr>
          <w:rFonts w:ascii="Segoe UI" w:eastAsia="Times New Roman" w:hAnsi="Segoe UI" w:cs="Segoe UI"/>
          <w:i/>
          <w:iCs/>
          <w:color w:val="000000"/>
          <w:szCs w:val="24"/>
          <w:lang w:eastAsia="es-CO"/>
        </w:rPr>
        <w:t> por lo (sic) impuesto (sic) administrados por la Unidad Administrativa Especial Dirección de Impuestos y Aduanas Nacionales (DIAN) y que las presenten antes del treinta y uno (31) de mayo de 2023 (...)»</w:t>
      </w:r>
      <w:r w:rsidRPr="00FF24B7">
        <w:rPr>
          <w:rFonts w:ascii="Segoe UI" w:eastAsia="Times New Roman" w:hAnsi="Segoe UI" w:cs="Segoe UI"/>
          <w:color w:val="000000"/>
          <w:szCs w:val="24"/>
          <w:lang w:eastAsia="es-CO"/>
        </w:rPr>
        <w:t> (énfasis propio).</w:t>
      </w:r>
    </w:p>
    <w:p w14:paraId="0901A8B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FB21BA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Ahora bien, en el caso de los contribuyentes que corrijan las declaraciones que presenten inexactitudes, no se desprende del parágrafo 2° del artículo 93 </w:t>
      </w:r>
      <w:r w:rsidRPr="00FF24B7">
        <w:rPr>
          <w:rFonts w:ascii="Segoe UI" w:eastAsia="Times New Roman" w:hAnsi="Segoe UI" w:cs="Segoe UI"/>
          <w:i/>
          <w:iCs/>
          <w:color w:val="000000"/>
          <w:szCs w:val="24"/>
          <w:lang w:eastAsia="es-CO"/>
        </w:rPr>
        <w:t>ibidem</w:t>
      </w:r>
      <w:r w:rsidRPr="00FF24B7">
        <w:rPr>
          <w:rFonts w:ascii="Segoe UI" w:eastAsia="Times New Roman" w:hAnsi="Segoe UI" w:cs="Segoe UI"/>
          <w:color w:val="000000"/>
          <w:szCs w:val="24"/>
          <w:lang w:eastAsia="es-CO"/>
        </w:rPr>
        <w:t> la referida circunstancia, con lo cual podría tratarse de declaraciones tributarias cuyo vencimiento del término para declarar podía ser anterior al 31 de diciembre de 2022 o posterior a dicha fecha.</w:t>
      </w:r>
    </w:p>
    <w:p w14:paraId="0EDC48E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3E4F72B"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8. Si el contribuyente cumplía las condiciones para acceder a la reducción transitoria de sanciones y de tasa de interés, sin embargo, liquidó las respectivas sanciones e intereses moratorios sin tenerla en cuenta ¿podría solicitar la devolución de lo pagado en exceso?</w:t>
      </w:r>
    </w:p>
    <w:p w14:paraId="71EB0A2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0F0883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En el Oficio 000499 del 31 de mayo de 2016 se indicó que </w:t>
      </w:r>
      <w:r w:rsidRPr="00FF24B7">
        <w:rPr>
          <w:rFonts w:ascii="Segoe UI" w:eastAsia="Times New Roman" w:hAnsi="Segoe UI" w:cs="Segoe UI"/>
          <w:i/>
          <w:iCs/>
          <w:color w:val="000000"/>
          <w:szCs w:val="24"/>
          <w:lang w:eastAsia="es-CO"/>
        </w:rPr>
        <w:t>«el pago en exceso ocurre cuando el individuo </w:t>
      </w:r>
      <w:r w:rsidRPr="00FF24B7">
        <w:rPr>
          <w:rFonts w:ascii="Segoe UI" w:eastAsia="Times New Roman" w:hAnsi="Segoe UI" w:cs="Segoe UI"/>
          <w:i/>
          <w:iCs/>
          <w:color w:val="000000"/>
          <w:szCs w:val="24"/>
          <w:u w:val="single"/>
          <w:lang w:eastAsia="es-CO"/>
        </w:rPr>
        <w:t>paga más de lo que la Ley exige</w:t>
      </w:r>
      <w:r w:rsidRPr="00FF24B7">
        <w:rPr>
          <w:rFonts w:ascii="Segoe UI" w:eastAsia="Times New Roman" w:hAnsi="Segoe UI" w:cs="Segoe UI"/>
          <w:i/>
          <w:iCs/>
          <w:color w:val="000000"/>
          <w:szCs w:val="24"/>
          <w:lang w:eastAsia="es-CO"/>
        </w:rPr>
        <w:t>»</w:t>
      </w:r>
      <w:r w:rsidRPr="00FF24B7">
        <w:rPr>
          <w:rFonts w:ascii="Segoe UI" w:eastAsia="Times New Roman" w:hAnsi="Segoe UI" w:cs="Segoe UI"/>
          <w:color w:val="000000"/>
          <w:szCs w:val="24"/>
          <w:lang w:eastAsia="es-CO"/>
        </w:rPr>
        <w:t> (énfasis propio).</w:t>
      </w:r>
    </w:p>
    <w:p w14:paraId="06A6023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9B0C5B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En este sentido, si el contribuyente liquidó las sanciones e intereses moratorios sin considerar la reducción prevista en el artículo 93 de la Ley 2277 de 2022, no obstante cumplía con las condiciones para acceder a la misma, podrá obtener la devolución de lo pagado, tal y como lo contempla el inciso 2° del </w:t>
      </w:r>
      <w:hyperlink r:id="rId21" w:tooltip="Estatuto Tributario CETA" w:history="1">
        <w:r w:rsidRPr="00FF24B7">
          <w:rPr>
            <w:rFonts w:ascii="Segoe UI" w:eastAsia="Times New Roman" w:hAnsi="Segoe UI" w:cs="Segoe UI"/>
            <w:color w:val="0645AD"/>
            <w:szCs w:val="24"/>
            <w:highlight w:val="cyan"/>
            <w:u w:val="single"/>
            <w:lang w:eastAsia="es-CO"/>
          </w:rPr>
          <w:t>artículo 850</w:t>
        </w:r>
      </w:hyperlink>
      <w:r w:rsidRPr="00FF24B7">
        <w:rPr>
          <w:rFonts w:ascii="Segoe UI" w:eastAsia="Times New Roman" w:hAnsi="Segoe UI" w:cs="Segoe UI"/>
          <w:color w:val="000000"/>
          <w:szCs w:val="24"/>
          <w:highlight w:val="cyan"/>
          <w:lang w:eastAsia="es-CO"/>
        </w:rPr>
        <w:t> del Estatuto Tributario</w:t>
      </w:r>
      <w:r w:rsidRPr="00FF24B7">
        <w:rPr>
          <w:rFonts w:ascii="Segoe UI" w:eastAsia="Times New Roman" w:hAnsi="Segoe UI" w:cs="Segoe UI"/>
          <w:color w:val="000000"/>
          <w:szCs w:val="24"/>
          <w:lang w:eastAsia="es-CO"/>
        </w:rPr>
        <w:t>: </w:t>
      </w:r>
      <w:r w:rsidRPr="00FF24B7">
        <w:rPr>
          <w:rFonts w:ascii="Segoe UI" w:eastAsia="Times New Roman" w:hAnsi="Segoe UI" w:cs="Segoe UI"/>
          <w:i/>
          <w:iCs/>
          <w:color w:val="000000"/>
          <w:szCs w:val="24"/>
          <w:lang w:eastAsia="es-CO"/>
        </w:rPr>
        <w:t>«La Dirección de Impuestos y Aduanas Nacionales deberá devolver oportunamente a los contribuyentes, los pagos en exceso o de lo no debido, que estos hayan efectuado </w:t>
      </w:r>
      <w:r w:rsidRPr="00FF24B7">
        <w:rPr>
          <w:rFonts w:ascii="Segoe UI" w:eastAsia="Times New Roman" w:hAnsi="Segoe UI" w:cs="Segoe UI"/>
          <w:i/>
          <w:iCs/>
          <w:color w:val="000000"/>
          <w:szCs w:val="24"/>
          <w:u w:val="single"/>
          <w:lang w:eastAsia="es-CO"/>
        </w:rPr>
        <w:t>por concepto de obligaciones tributarias</w:t>
      </w:r>
      <w:r w:rsidRPr="00FF24B7">
        <w:rPr>
          <w:rFonts w:ascii="Segoe UI" w:eastAsia="Times New Roman" w:hAnsi="Segoe UI" w:cs="Segoe UI"/>
          <w:i/>
          <w:iCs/>
          <w:color w:val="000000"/>
          <w:szCs w:val="24"/>
          <w:lang w:eastAsia="es-CO"/>
        </w:rPr>
        <w:t> y aduaneras, </w:t>
      </w:r>
      <w:r w:rsidRPr="00FF24B7">
        <w:rPr>
          <w:rFonts w:ascii="Segoe UI" w:eastAsia="Times New Roman" w:hAnsi="Segoe UI" w:cs="Segoe UI"/>
          <w:i/>
          <w:iCs/>
          <w:color w:val="000000"/>
          <w:szCs w:val="24"/>
          <w:u w:val="single"/>
          <w:lang w:eastAsia="es-CO"/>
        </w:rPr>
        <w:t>cualquiera que fuere el concepto del pago,</w:t>
      </w:r>
      <w:r w:rsidRPr="00FF24B7">
        <w:rPr>
          <w:rFonts w:ascii="Segoe UI" w:eastAsia="Times New Roman" w:hAnsi="Segoe UI" w:cs="Segoe UI"/>
          <w:i/>
          <w:iCs/>
          <w:color w:val="000000"/>
          <w:szCs w:val="24"/>
          <w:lang w:eastAsia="es-CO"/>
        </w:rPr>
        <w:t> siguiendo el mismo procedimiento que se aplica para las devoluciones de los saldos a favor»</w:t>
      </w:r>
      <w:r w:rsidRPr="00FF24B7">
        <w:rPr>
          <w:rFonts w:ascii="Segoe UI" w:eastAsia="Times New Roman" w:hAnsi="Segoe UI" w:cs="Segoe UI"/>
          <w:color w:val="000000"/>
          <w:szCs w:val="24"/>
          <w:lang w:eastAsia="es-CO"/>
        </w:rPr>
        <w:t> (énfasis propio).</w:t>
      </w:r>
    </w:p>
    <w:p w14:paraId="7D9DB20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5C2B6DE"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yellow"/>
          <w:lang w:eastAsia="es-CO"/>
        </w:rPr>
      </w:pPr>
      <w:r w:rsidRPr="00FF24B7">
        <w:rPr>
          <w:rFonts w:ascii="Segoe UI" w:eastAsia="Times New Roman" w:hAnsi="Segoe UI" w:cs="Segoe UI"/>
          <w:b/>
          <w:bCs/>
          <w:color w:val="000000"/>
          <w:szCs w:val="24"/>
          <w:highlight w:val="yellow"/>
          <w:lang w:eastAsia="es-CO"/>
        </w:rPr>
        <w:t>VII. EN RELACIÓN CON LA CONTRIBUCIÓN PARAFISCAL CULTURAL A LA BOLETERÍA DE LOS ESPECTÁCULOS PÚBLICOS DE LAS ARTES ESCÉNICAS</w:t>
      </w:r>
    </w:p>
    <w:p w14:paraId="39EE28B5"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009C7B3A"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yellow"/>
          <w:lang w:eastAsia="es-CO"/>
        </w:rPr>
        <w:t>1.</w:t>
      </w:r>
      <w:r w:rsidRPr="00FF24B7">
        <w:rPr>
          <w:rFonts w:ascii="Segoe UI" w:eastAsia="Times New Roman" w:hAnsi="Segoe UI" w:cs="Segoe UI"/>
          <w:color w:val="000000"/>
          <w:szCs w:val="24"/>
          <w:highlight w:val="yellow"/>
          <w:lang w:eastAsia="es-CO"/>
        </w:rPr>
        <w:t> </w:t>
      </w:r>
      <w:r w:rsidRPr="00FF24B7">
        <w:rPr>
          <w:rFonts w:ascii="Segoe UI" w:eastAsia="Times New Roman" w:hAnsi="Segoe UI" w:cs="Segoe UI"/>
          <w:b/>
          <w:bCs/>
          <w:color w:val="000000"/>
          <w:szCs w:val="24"/>
          <w:highlight w:val="yellow"/>
          <w:lang w:eastAsia="es-CO"/>
        </w:rPr>
        <w:t>¿Es aplicable lo previsto en los artículos 91 y 93 de la Ley 2277 de 2022?</w:t>
      </w:r>
    </w:p>
    <w:p w14:paraId="0E3020E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76A5C83"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Sea lo primero señalar que la mencionada contribución parafiscal, creada mediante el artículo 7 de la Ley 1493 de 2011, </w:t>
      </w:r>
      <w:r w:rsidRPr="00FF24B7">
        <w:rPr>
          <w:rFonts w:ascii="Segoe UI" w:eastAsia="Times New Roman" w:hAnsi="Segoe UI" w:cs="Segoe UI"/>
          <w:i/>
          <w:iCs/>
          <w:color w:val="000000"/>
          <w:szCs w:val="24"/>
          <w:highlight w:val="yellow"/>
          <w:lang w:eastAsia="es-CO"/>
        </w:rPr>
        <w:t>«hace parte de las obligaciones </w:t>
      </w:r>
      <w:r w:rsidRPr="00FF24B7">
        <w:rPr>
          <w:rFonts w:ascii="Segoe UI" w:eastAsia="Times New Roman" w:hAnsi="Segoe UI" w:cs="Segoe UI"/>
          <w:i/>
          <w:iCs/>
          <w:color w:val="000000"/>
          <w:szCs w:val="24"/>
          <w:highlight w:val="yellow"/>
          <w:u w:val="single"/>
          <w:lang w:eastAsia="es-CO"/>
        </w:rPr>
        <w:t>administradas por esta Entidad,</w:t>
      </w:r>
      <w:r w:rsidRPr="00FF24B7">
        <w:rPr>
          <w:rFonts w:ascii="Segoe UI" w:eastAsia="Times New Roman" w:hAnsi="Segoe UI" w:cs="Segoe UI"/>
          <w:i/>
          <w:iCs/>
          <w:color w:val="000000"/>
          <w:szCs w:val="24"/>
          <w:highlight w:val="yellow"/>
          <w:lang w:eastAsia="es-CO"/>
        </w:rPr>
        <w:t> toda vez que el legislador le ha asignado su fiscalización, determinación, cobro coactivo y la imposición de las respectivas sanciones»</w:t>
      </w:r>
      <w:r w:rsidRPr="00FF24B7">
        <w:rPr>
          <w:rFonts w:ascii="Segoe UI" w:eastAsia="Times New Roman" w:hAnsi="Segoe UI" w:cs="Segoe UI"/>
          <w:color w:val="000000"/>
          <w:szCs w:val="24"/>
          <w:highlight w:val="yellow"/>
          <w:lang w:eastAsia="es-CO"/>
        </w:rPr>
        <w:t> (énfasis propio), como fuera explicado en el Oficio 904781 - interno 806 del 17 de junio de 2022.</w:t>
      </w:r>
    </w:p>
    <w:p w14:paraId="766BEDD5"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258FFD9D"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El artículo 14 de la referida Ley 1493 establece:</w:t>
      </w:r>
    </w:p>
    <w:p w14:paraId="200145FB"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6BE66EC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b/>
          <w:bCs/>
          <w:i/>
          <w:iCs/>
          <w:color w:val="000000"/>
          <w:szCs w:val="24"/>
          <w:highlight w:val="yellow"/>
          <w:lang w:eastAsia="es-CO"/>
        </w:rPr>
        <w:t>ARTÍCULO 14. RÉGIMEN DE LA CONTRIBUCIÓN PARAFISCAL.</w:t>
      </w:r>
      <w:r w:rsidRPr="00FF24B7">
        <w:rPr>
          <w:rFonts w:ascii="Segoe UI" w:eastAsia="Times New Roman" w:hAnsi="Segoe UI" w:cs="Segoe UI"/>
          <w:i/>
          <w:iCs/>
          <w:color w:val="000000"/>
          <w:szCs w:val="24"/>
          <w:highlight w:val="yellow"/>
          <w:lang w:eastAsia="es-CO"/>
        </w:rPr>
        <w:t> La administración y </w:t>
      </w:r>
      <w:r w:rsidRPr="00FF24B7">
        <w:rPr>
          <w:rFonts w:ascii="Segoe UI" w:eastAsia="Times New Roman" w:hAnsi="Segoe UI" w:cs="Segoe UI"/>
          <w:i/>
          <w:iCs/>
          <w:color w:val="000000"/>
          <w:szCs w:val="24"/>
          <w:highlight w:val="yellow"/>
          <w:u w:val="single"/>
          <w:lang w:eastAsia="es-CO"/>
        </w:rPr>
        <w:t>sanciones</w:t>
      </w:r>
      <w:r w:rsidRPr="00FF24B7">
        <w:rPr>
          <w:rFonts w:ascii="Segoe UI" w:eastAsia="Times New Roman" w:hAnsi="Segoe UI" w:cs="Segoe UI"/>
          <w:i/>
          <w:iCs/>
          <w:color w:val="000000"/>
          <w:szCs w:val="24"/>
          <w:highlight w:val="yellow"/>
          <w:lang w:eastAsia="es-CO"/>
        </w:rPr>
        <w:t> de la contribución parafiscal serán </w:t>
      </w:r>
      <w:r w:rsidRPr="00FF24B7">
        <w:rPr>
          <w:rFonts w:ascii="Segoe UI" w:eastAsia="Times New Roman" w:hAnsi="Segoe UI" w:cs="Segoe UI"/>
          <w:i/>
          <w:iCs/>
          <w:color w:val="000000"/>
          <w:szCs w:val="24"/>
          <w:highlight w:val="yellow"/>
          <w:u w:val="single"/>
          <w:lang w:eastAsia="es-CO"/>
        </w:rPr>
        <w:t>los contemplados en el Estatuto Tributario para el impuesto sobre las ventas</w:t>
      </w:r>
      <w:r w:rsidRPr="00FF24B7">
        <w:rPr>
          <w:rFonts w:ascii="Segoe UI" w:eastAsia="Times New Roman" w:hAnsi="Segoe UI" w:cs="Segoe UI"/>
          <w:i/>
          <w:iCs/>
          <w:color w:val="000000"/>
          <w:szCs w:val="24"/>
          <w:highlight w:val="yellow"/>
          <w:lang w:eastAsia="es-CO"/>
        </w:rPr>
        <w:t>. La Dirección de Impuestos y Aduanas Nacionales, DIAN, tendrá competencia para efectuar la fiscalización, los procesos de determinación, aplicación de sanciones y la resolución de los recursos e impugnaciones a dichos actos, así como para el cobro coactivo de la contribución parafiscal, </w:t>
      </w:r>
      <w:r w:rsidRPr="00FF24B7">
        <w:rPr>
          <w:rFonts w:ascii="Segoe UI" w:eastAsia="Times New Roman" w:hAnsi="Segoe UI" w:cs="Segoe UI"/>
          <w:i/>
          <w:iCs/>
          <w:color w:val="000000"/>
          <w:szCs w:val="24"/>
          <w:highlight w:val="yellow"/>
          <w:u w:val="single"/>
          <w:lang w:eastAsia="es-CO"/>
        </w:rPr>
        <w:t>intereses</w:t>
      </w:r>
      <w:r w:rsidRPr="00FF24B7">
        <w:rPr>
          <w:rFonts w:ascii="Segoe UI" w:eastAsia="Times New Roman" w:hAnsi="Segoe UI" w:cs="Segoe UI"/>
          <w:i/>
          <w:iCs/>
          <w:color w:val="000000"/>
          <w:szCs w:val="24"/>
          <w:highlight w:val="yellow"/>
          <w:lang w:eastAsia="es-CO"/>
        </w:rPr>
        <w:t> y sanciones </w:t>
      </w:r>
      <w:r w:rsidRPr="00FF24B7">
        <w:rPr>
          <w:rFonts w:ascii="Segoe UI" w:eastAsia="Times New Roman" w:hAnsi="Segoe UI" w:cs="Segoe UI"/>
          <w:i/>
          <w:iCs/>
          <w:color w:val="000000"/>
          <w:szCs w:val="24"/>
          <w:highlight w:val="yellow"/>
          <w:u w:val="single"/>
          <w:lang w:eastAsia="es-CO"/>
        </w:rPr>
        <w:t>aplicando los procedimientos previstos en el Estatuto Tributario</w:t>
      </w: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color w:val="000000"/>
          <w:szCs w:val="24"/>
          <w:highlight w:val="yellow"/>
          <w:lang w:eastAsia="es-CO"/>
        </w:rPr>
        <w:t> (énfasis propio)</w:t>
      </w:r>
    </w:p>
    <w:p w14:paraId="02346B70"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00A628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Por ende, es de colegir que, además de las respectivas sanciones de índole tributario, la falta de pago o el pago extemporáneo de la contribución parafiscal en comento causa intereses moratorios en los términos de los artículos </w:t>
      </w:r>
      <w:hyperlink r:id="rId22" w:tooltip="Estatuto Tributario CETA" w:history="1">
        <w:r w:rsidRPr="00FF24B7">
          <w:rPr>
            <w:rFonts w:ascii="Segoe UI" w:eastAsia="Times New Roman" w:hAnsi="Segoe UI" w:cs="Segoe UI"/>
            <w:color w:val="0645AD"/>
            <w:szCs w:val="24"/>
            <w:u w:val="single"/>
            <w:lang w:eastAsia="es-CO"/>
          </w:rPr>
          <w:t>634</w:t>
        </w:r>
      </w:hyperlink>
      <w:r w:rsidRPr="00FF24B7">
        <w:rPr>
          <w:rFonts w:ascii="Segoe UI" w:eastAsia="Times New Roman" w:hAnsi="Segoe UI" w:cs="Segoe UI"/>
          <w:color w:val="000000"/>
          <w:szCs w:val="24"/>
          <w:lang w:eastAsia="es-CO"/>
        </w:rPr>
        <w:t> y </w:t>
      </w:r>
      <w:hyperlink r:id="rId23" w:tooltip="Estatuto Tributario CETA" w:history="1">
        <w:r w:rsidRPr="00FF24B7">
          <w:rPr>
            <w:rFonts w:ascii="Segoe UI" w:eastAsia="Times New Roman" w:hAnsi="Segoe UI" w:cs="Segoe UI"/>
            <w:color w:val="0645AD"/>
            <w:szCs w:val="24"/>
            <w:u w:val="single"/>
            <w:lang w:eastAsia="es-CO"/>
          </w:rPr>
          <w:t>635</w:t>
        </w:r>
      </w:hyperlink>
      <w:r w:rsidRPr="00FF24B7">
        <w:rPr>
          <w:rFonts w:ascii="Segoe UI" w:eastAsia="Times New Roman" w:hAnsi="Segoe UI" w:cs="Segoe UI"/>
          <w:color w:val="000000"/>
          <w:szCs w:val="24"/>
          <w:lang w:eastAsia="es-CO"/>
        </w:rPr>
        <w:t> del Estatuto Tributario.</w:t>
      </w:r>
    </w:p>
    <w:p w14:paraId="1971DF4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08EC32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72005A">
        <w:rPr>
          <w:rFonts w:ascii="Segoe UI" w:eastAsia="Times New Roman" w:hAnsi="Segoe UI" w:cs="Segoe UI"/>
          <w:color w:val="000000"/>
          <w:szCs w:val="24"/>
          <w:highlight w:val="cyan"/>
          <w:lang w:eastAsia="es-CO"/>
        </w:rPr>
        <w:t xml:space="preserve">Dicho esto, resulta evidente la procedencia de la tasa de interés moratoria transitoria de que trata el artículo 91 de la Ley 2277 de 2021, la cual está prevista para las obligaciones tributarias (en general). </w:t>
      </w:r>
      <w:r w:rsidRPr="00FF24B7">
        <w:rPr>
          <w:rFonts w:ascii="Segoe UI" w:eastAsia="Times New Roman" w:hAnsi="Segoe UI" w:cs="Segoe UI"/>
          <w:color w:val="000000"/>
          <w:szCs w:val="24"/>
          <w:highlight w:val="yellow"/>
          <w:lang w:eastAsia="es-CO"/>
        </w:rPr>
        <w:t>Empero, no ocurre lo mismo con la reducción transitoria de sanciones y de tasa de interés desarrollada en el artículo 93 </w:t>
      </w:r>
      <w:r w:rsidRPr="00FF24B7">
        <w:rPr>
          <w:rFonts w:ascii="Segoe UI" w:eastAsia="Times New Roman" w:hAnsi="Segoe UI" w:cs="Segoe UI"/>
          <w:i/>
          <w:iCs/>
          <w:color w:val="000000"/>
          <w:szCs w:val="24"/>
          <w:highlight w:val="yellow"/>
          <w:lang w:eastAsia="es-CO"/>
        </w:rPr>
        <w:t>ibidem</w:t>
      </w:r>
      <w:r w:rsidRPr="00FF24B7">
        <w:rPr>
          <w:rFonts w:ascii="Segoe UI" w:eastAsia="Times New Roman" w:hAnsi="Segoe UI" w:cs="Segoe UI"/>
          <w:color w:val="000000"/>
          <w:szCs w:val="24"/>
          <w:highlight w:val="yellow"/>
          <w:lang w:eastAsia="es-CO"/>
        </w:rPr>
        <w:t>, por cuanto esta está exclusivamente contemplada en relación con </w:t>
      </w:r>
      <w:r w:rsidRPr="00FF24B7">
        <w:rPr>
          <w:rFonts w:ascii="Segoe UI" w:eastAsia="Times New Roman" w:hAnsi="Segoe UI" w:cs="Segoe UI"/>
          <w:i/>
          <w:iCs/>
          <w:color w:val="000000"/>
          <w:szCs w:val="24"/>
          <w:highlight w:val="yellow"/>
          <w:lang w:eastAsia="es-CO"/>
        </w:rPr>
        <w:t>«lo (sic) </w:t>
      </w:r>
      <w:r w:rsidRPr="00FF24B7">
        <w:rPr>
          <w:rFonts w:ascii="Segoe UI" w:eastAsia="Times New Roman" w:hAnsi="Segoe UI" w:cs="Segoe UI"/>
          <w:i/>
          <w:iCs/>
          <w:color w:val="000000"/>
          <w:szCs w:val="24"/>
          <w:highlight w:val="yellow"/>
          <w:u w:val="single"/>
          <w:lang w:eastAsia="es-CO"/>
        </w:rPr>
        <w:t>impuesto</w:t>
      </w:r>
      <w:r w:rsidRPr="00FF24B7">
        <w:rPr>
          <w:rFonts w:ascii="Segoe UI" w:eastAsia="Times New Roman" w:hAnsi="Segoe UI" w:cs="Segoe UI"/>
          <w:i/>
          <w:iCs/>
          <w:color w:val="000000"/>
          <w:szCs w:val="24"/>
          <w:highlight w:val="yellow"/>
          <w:lang w:eastAsia="es-CO"/>
        </w:rPr>
        <w:t> (sic) administrados por la Unidad Administrativa Especial Dirección de Impuestos y Aduanas Nacionales (DIAN)»</w:t>
      </w:r>
      <w:r w:rsidRPr="00FF24B7">
        <w:rPr>
          <w:rFonts w:ascii="Segoe UI" w:eastAsia="Times New Roman" w:hAnsi="Segoe UI" w:cs="Segoe UI"/>
          <w:color w:val="000000"/>
          <w:szCs w:val="24"/>
          <w:highlight w:val="yellow"/>
          <w:lang w:eastAsia="es-CO"/>
        </w:rPr>
        <w:t> (énfasis propio) y no con las contribuciones parafiscales, aunque ambas especies hagan parte del género «tributo».</w:t>
      </w:r>
    </w:p>
    <w:p w14:paraId="3FE0FF9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5BA109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2.</w:t>
      </w:r>
      <w:r w:rsidRPr="00FF24B7">
        <w:rPr>
          <w:rFonts w:ascii="Segoe UI" w:eastAsia="Times New Roman" w:hAnsi="Segoe UI" w:cs="Segoe UI"/>
          <w:color w:val="000000"/>
          <w:szCs w:val="24"/>
          <w:lang w:eastAsia="es-CO"/>
        </w:rPr>
        <w:t> </w:t>
      </w:r>
      <w:r w:rsidRPr="00FF24B7">
        <w:rPr>
          <w:rFonts w:ascii="Segoe UI" w:eastAsia="Times New Roman" w:hAnsi="Segoe UI" w:cs="Segoe UI"/>
          <w:b/>
          <w:bCs/>
          <w:color w:val="000000"/>
          <w:szCs w:val="24"/>
          <w:lang w:eastAsia="es-CO"/>
        </w:rPr>
        <w:t>¿Es aplicable lo previsto en el artículo 92 de la Ley 2277 de 2022?</w:t>
      </w:r>
    </w:p>
    <w:p w14:paraId="3E1AFDF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C8DE4C4"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lastRenderedPageBreak/>
        <w:t>El artículo 9 de la Ley 1493 de 2011 dispone que </w:t>
      </w:r>
      <w:r w:rsidRPr="00FF24B7">
        <w:rPr>
          <w:rFonts w:ascii="Segoe UI" w:eastAsia="Times New Roman" w:hAnsi="Segoe UI" w:cs="Segoe UI"/>
          <w:i/>
          <w:iCs/>
          <w:color w:val="000000"/>
          <w:szCs w:val="24"/>
          <w:highlight w:val="yellow"/>
          <w:lang w:eastAsia="es-CO"/>
        </w:rPr>
        <w:t>«Los productores permanentes que hayan realizado espectáculos públicos de artes escénicas en el </w:t>
      </w:r>
      <w:r w:rsidRPr="00FF24B7">
        <w:rPr>
          <w:rFonts w:ascii="Segoe UI" w:eastAsia="Times New Roman" w:hAnsi="Segoe UI" w:cs="Segoe UI"/>
          <w:i/>
          <w:iCs/>
          <w:color w:val="000000"/>
          <w:szCs w:val="24"/>
          <w:highlight w:val="yellow"/>
          <w:u w:val="single"/>
          <w:lang w:eastAsia="es-CO"/>
        </w:rPr>
        <w:t>bimestre,</w:t>
      </w:r>
      <w:r w:rsidRPr="00FF24B7">
        <w:rPr>
          <w:rFonts w:ascii="Segoe UI" w:eastAsia="Times New Roman" w:hAnsi="Segoe UI" w:cs="Segoe UI"/>
          <w:i/>
          <w:iCs/>
          <w:color w:val="000000"/>
          <w:szCs w:val="24"/>
          <w:highlight w:val="yellow"/>
          <w:lang w:eastAsia="es-CO"/>
        </w:rPr>
        <w:t> deberán declarar y pagar la contribución parafiscal </w:t>
      </w:r>
      <w:r w:rsidRPr="00FF24B7">
        <w:rPr>
          <w:rFonts w:ascii="Segoe UI" w:eastAsia="Times New Roman" w:hAnsi="Segoe UI" w:cs="Segoe UI"/>
          <w:i/>
          <w:iCs/>
          <w:color w:val="000000"/>
          <w:szCs w:val="24"/>
          <w:highlight w:val="yellow"/>
          <w:u w:val="single"/>
          <w:lang w:eastAsia="es-CO"/>
        </w:rPr>
        <w:t>en los mismos plazos establecidos para presentar y pagar la declaración de IVA</w:t>
      </w: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color w:val="000000"/>
          <w:szCs w:val="24"/>
          <w:highlight w:val="yellow"/>
          <w:lang w:eastAsia="es-CO"/>
        </w:rPr>
        <w:t> (énfasis propio).</w:t>
      </w:r>
    </w:p>
    <w:p w14:paraId="5A8E0C97"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1685F17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yellow"/>
          <w:lang w:eastAsia="es-CO"/>
        </w:rPr>
        <w:t>Aunado a lo anterior, se reitera lo expresado en el punto #1 del título V, esto es que, por sustracción de materia, el artículo 92 carece de aplicabilidad, considerando que los fallos de nulidad del Consejo de Estado (como es el caso de la Sentencia del 3 de noviembre de 2022, Radicación No. 11001-03-27-000-2020-00027-00 (25406)) tienen efectos </w:t>
      </w:r>
      <w:r w:rsidRPr="00FF24B7">
        <w:rPr>
          <w:rFonts w:ascii="Segoe UI" w:eastAsia="Times New Roman" w:hAnsi="Segoe UI" w:cs="Segoe UI"/>
          <w:i/>
          <w:iCs/>
          <w:color w:val="000000"/>
          <w:szCs w:val="24"/>
          <w:highlight w:val="yellow"/>
          <w:lang w:eastAsia="es-CO"/>
        </w:rPr>
        <w:t xml:space="preserve">ex </w:t>
      </w:r>
      <w:proofErr w:type="spellStart"/>
      <w:r w:rsidRPr="00FF24B7">
        <w:rPr>
          <w:rFonts w:ascii="Segoe UI" w:eastAsia="Times New Roman" w:hAnsi="Segoe UI" w:cs="Segoe UI"/>
          <w:i/>
          <w:iCs/>
          <w:color w:val="000000"/>
          <w:szCs w:val="24"/>
          <w:highlight w:val="yellow"/>
          <w:lang w:eastAsia="es-CO"/>
        </w:rPr>
        <w:t>tunc</w:t>
      </w:r>
      <w:proofErr w:type="spellEnd"/>
      <w:r w:rsidRPr="00FF24B7">
        <w:rPr>
          <w:rFonts w:ascii="Segoe UI" w:eastAsia="Times New Roman" w:hAnsi="Segoe UI" w:cs="Segoe UI"/>
          <w:color w:val="000000"/>
          <w:szCs w:val="24"/>
          <w:highlight w:val="yellow"/>
          <w:lang w:eastAsia="es-CO"/>
        </w:rPr>
        <w:t>.</w:t>
      </w:r>
    </w:p>
    <w:p w14:paraId="2B8C6E2B"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56B339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4" w:tgtFrame="_blank" w:history="1">
        <w:r w:rsidRPr="00FF24B7">
          <w:rPr>
            <w:rFonts w:ascii="Segoe UI" w:eastAsia="Times New Roman" w:hAnsi="Segoe UI" w:cs="Segoe UI"/>
            <w:color w:val="0645AD"/>
            <w:szCs w:val="24"/>
            <w:u w:val="single"/>
            <w:lang w:eastAsia="es-CO"/>
          </w:rPr>
          <w:t>www.dian.gov.co</w:t>
        </w:r>
      </w:hyperlink>
      <w:r w:rsidRPr="00FF24B7">
        <w:rPr>
          <w:rFonts w:ascii="Segoe UI" w:eastAsia="Times New Roman" w:hAnsi="Segoe UI" w:cs="Segoe UI"/>
          <w:color w:val="000000"/>
          <w:szCs w:val="24"/>
          <w:lang w:eastAsia="es-CO"/>
        </w:rPr>
        <w:t>, la base de conceptos en materia tributaria, aduanera y cambiaria expedidos desde el año 2001, la cual se puede ingresar por el icono de «Normatividad»-«Doctrina», oprimiendo el vínculo «Doctrina Dirección de Gestión Jurídica».</w:t>
      </w:r>
    </w:p>
    <w:p w14:paraId="3CA7557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A868AB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Atentamente,</w:t>
      </w:r>
    </w:p>
    <w:p w14:paraId="1685BD6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3BF96D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80ABD6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ALFREDO RAMÍREZ CASTAÑEDA</w:t>
      </w:r>
    </w:p>
    <w:p w14:paraId="1F11DA1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Subdirector de Normativa y Doctrina</w:t>
      </w:r>
    </w:p>
    <w:p w14:paraId="0AE84F8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Dirección de Gestión Jurídica</w:t>
      </w:r>
    </w:p>
    <w:p w14:paraId="0D3F466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UAE-Dirección de Impuestos y Aduanas Nacionales</w:t>
      </w:r>
    </w:p>
    <w:p w14:paraId="7AE6EB2A" w14:textId="77777777" w:rsidR="007F5CC8" w:rsidRPr="00FF24B7" w:rsidRDefault="007F5CC8">
      <w:pPr>
        <w:rPr>
          <w:szCs w:val="24"/>
        </w:rPr>
      </w:pPr>
    </w:p>
    <w:sectPr w:rsidR="007F5CC8" w:rsidRPr="00FF24B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2B8"/>
    <w:multiLevelType w:val="multilevel"/>
    <w:tmpl w:val="7DF8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E61A3"/>
    <w:multiLevelType w:val="multilevel"/>
    <w:tmpl w:val="C86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978121">
    <w:abstractNumId w:val="1"/>
    <w:lvlOverride w:ilvl="0">
      <w:startOverride w:val="1"/>
    </w:lvlOverride>
  </w:num>
  <w:num w:numId="2" w16cid:durableId="300185988">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B7"/>
    <w:rsid w:val="00010FC2"/>
    <w:rsid w:val="000F3837"/>
    <w:rsid w:val="001E311E"/>
    <w:rsid w:val="00434AE6"/>
    <w:rsid w:val="0072005A"/>
    <w:rsid w:val="007F5CC8"/>
    <w:rsid w:val="008779BE"/>
    <w:rsid w:val="00EB5ADB"/>
    <w:rsid w:val="00FF24B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F803"/>
  <w15:chartTrackingRefBased/>
  <w15:docId w15:val="{8669D64B-62AE-44AA-BA1D-C01AA7EF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994" TargetMode="External"/><Relationship Id="rId18" Type="http://schemas.openxmlformats.org/officeDocument/2006/relationships/hyperlink" Target="https://www.ceta.org.co/html/vista_de_un_articulo.asp?Norma=268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ta.org.co/html/vista_de_un_articulo.asp?Norma=1058" TargetMode="External"/><Relationship Id="rId7" Type="http://schemas.openxmlformats.org/officeDocument/2006/relationships/hyperlink" Target="https://www.ceta.org.co/html/vista_de_un_articulo.asp?Norma=790" TargetMode="External"/><Relationship Id="rId12" Type="http://schemas.openxmlformats.org/officeDocument/2006/relationships/hyperlink" Target="https://www.ceta.org.co/html/vista_de_un_articulo.asp?Norma=26860" TargetMode="External"/><Relationship Id="rId17" Type="http://schemas.openxmlformats.org/officeDocument/2006/relationships/hyperlink" Target="https://www.ceta.org.co/html/vista_de_un_articulo.asp?Norma=8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articulo.asp?Norma=810" TargetMode="External"/><Relationship Id="rId20" Type="http://schemas.openxmlformats.org/officeDocument/2006/relationships/hyperlink" Target="https://www.ceta.org.co/html/vista_de_un_articulo.asp?Norma=42525" TargetMode="External"/><Relationship Id="rId1" Type="http://schemas.openxmlformats.org/officeDocument/2006/relationships/numbering" Target="numbering.xml"/><Relationship Id="rId6" Type="http://schemas.openxmlformats.org/officeDocument/2006/relationships/hyperlink" Target="https://www.ceta.org.co/html/vista_de_un_articulo.asp?Norma=788" TargetMode="External"/><Relationship Id="rId11" Type="http://schemas.openxmlformats.org/officeDocument/2006/relationships/hyperlink" Target="https://www.ceta.org.co/html/vista_de_un_articulo.asp?Norma=994" TargetMode="External"/><Relationship Id="rId24" Type="http://schemas.openxmlformats.org/officeDocument/2006/relationships/hyperlink" Target="http://www.dian.gov.co/" TargetMode="External"/><Relationship Id="rId5" Type="http://schemas.openxmlformats.org/officeDocument/2006/relationships/hyperlink" Target="http://juridicanormativa@dian.gov.co/"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articulo.asp?Norma=790" TargetMode="External"/><Relationship Id="rId10" Type="http://schemas.openxmlformats.org/officeDocument/2006/relationships/hyperlink" Target="https://www.ceta.org.co/html/vista_de_un_articulo.asp?Norma=42525" TargetMode="External"/><Relationship Id="rId19" Type="http://schemas.openxmlformats.org/officeDocument/2006/relationships/hyperlink" Target="https://www.ceta.org.co/html/vista_de_un_articulo.asp?Norma=2686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58" TargetMode="External"/><Relationship Id="rId14" Type="http://schemas.openxmlformats.org/officeDocument/2006/relationships/hyperlink" Target="https://www.ceta.org.co/html/vista_de_un_articulo.asp?Norma=26860" TargetMode="External"/><Relationship Id="rId22" Type="http://schemas.openxmlformats.org/officeDocument/2006/relationships/hyperlink" Target="https://www.ceta.org.co/html/vista_de_un_articulo.asp?Norma=7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13532</Characters>
  <Application>Microsoft Office Word</Application>
  <DocSecurity>0</DocSecurity>
  <Lines>112</Lines>
  <Paragraphs>31</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2023-04-02T16:54:00Z</dcterms:created>
  <dcterms:modified xsi:type="dcterms:W3CDTF">2023-04-02T16:54:00Z</dcterms:modified>
</cp:coreProperties>
</file>