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9AA8" w14:textId="77777777" w:rsidR="00E67622" w:rsidRDefault="00E67622" w:rsidP="00E67622">
      <w:p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p>
    <w:p w14:paraId="42CC6A5E" w14:textId="77777777" w:rsidR="00E67622" w:rsidRPr="00E67622" w:rsidRDefault="00E67622" w:rsidP="00E67622">
      <w:pPr>
        <w:spacing w:after="0" w:line="240" w:lineRule="auto"/>
        <w:jc w:val="center"/>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 xml:space="preserve">CONCEPTO </w:t>
      </w:r>
      <w:proofErr w:type="spellStart"/>
      <w:r w:rsidRPr="00E67622">
        <w:rPr>
          <w:rFonts w:ascii="Segoe UI" w:eastAsia="Times New Roman" w:hAnsi="Segoe UI" w:cs="Segoe UI"/>
          <w:b/>
          <w:bCs/>
          <w:color w:val="000000"/>
          <w:kern w:val="0"/>
          <w:sz w:val="21"/>
          <w:szCs w:val="21"/>
          <w:lang w:eastAsia="es-CO"/>
          <w14:ligatures w14:val="none"/>
        </w:rPr>
        <w:t>Nº</w:t>
      </w:r>
      <w:proofErr w:type="spellEnd"/>
      <w:r w:rsidRPr="00E67622">
        <w:rPr>
          <w:rFonts w:ascii="Segoe UI" w:eastAsia="Times New Roman" w:hAnsi="Segoe UI" w:cs="Segoe UI"/>
          <w:b/>
          <w:bCs/>
          <w:color w:val="000000"/>
          <w:kern w:val="0"/>
          <w:sz w:val="21"/>
          <w:szCs w:val="21"/>
          <w:lang w:eastAsia="es-CO"/>
          <w14:ligatures w14:val="none"/>
        </w:rPr>
        <w:t xml:space="preserve"> 1261 [024584]</w:t>
      </w:r>
    </w:p>
    <w:p w14:paraId="37196F84" w14:textId="77777777" w:rsidR="00E67622" w:rsidRPr="00E67622" w:rsidRDefault="00E67622" w:rsidP="00E67622">
      <w:pPr>
        <w:spacing w:after="0" w:line="240" w:lineRule="auto"/>
        <w:jc w:val="center"/>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26-12-2023</w:t>
      </w:r>
    </w:p>
    <w:p w14:paraId="65D7ECD9" w14:textId="77777777" w:rsidR="00E67622" w:rsidRPr="00E67622" w:rsidRDefault="00E67622" w:rsidP="00E67622">
      <w:pPr>
        <w:spacing w:after="0" w:line="240" w:lineRule="auto"/>
        <w:jc w:val="center"/>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DIAN</w:t>
      </w:r>
    </w:p>
    <w:p w14:paraId="27A62F2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D6AC6D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45B661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100208192-1261</w:t>
      </w:r>
    </w:p>
    <w:p w14:paraId="7167A85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Bogotá, D.C.</w:t>
      </w:r>
    </w:p>
    <w:p w14:paraId="30B0F4E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FB12FA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Señores</w:t>
      </w:r>
    </w:p>
    <w:p w14:paraId="1B7D96F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CONTRIBUYENTES</w:t>
      </w:r>
    </w:p>
    <w:p w14:paraId="3C15939E"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juridicanormativa@dian.gov.co</w:t>
      </w:r>
    </w:p>
    <w:p w14:paraId="22CCE0F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8DFA2B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Ref.:</w:t>
      </w:r>
      <w:r w:rsidRPr="00E67622">
        <w:rPr>
          <w:rFonts w:ascii="Segoe UI" w:eastAsia="Times New Roman" w:hAnsi="Segoe UI" w:cs="Segoe UI"/>
          <w:color w:val="000000"/>
          <w:kern w:val="0"/>
          <w:sz w:val="21"/>
          <w:szCs w:val="21"/>
          <w:lang w:eastAsia="es-CO"/>
          <w14:ligatures w14:val="none"/>
        </w:rPr>
        <w:t> Adición al Concepto Unificado No. 0106 de agosto 19 de 2022 - Obligación de facturar y Sistema de Factura Electrónica</w:t>
      </w:r>
    </w:p>
    <w:p w14:paraId="26726D1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ED116E8"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Cordial saludo.</w:t>
      </w:r>
    </w:p>
    <w:p w14:paraId="0668713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6FCB0D0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E67622">
          <w:rPr>
            <w:rFonts w:ascii="Segoe UI" w:eastAsia="Times New Roman" w:hAnsi="Segoe UI" w:cs="Segoe UI"/>
            <w:color w:val="0645AD"/>
            <w:kern w:val="0"/>
            <w:sz w:val="21"/>
            <w:szCs w:val="21"/>
            <w:vertAlign w:val="superscript"/>
            <w:lang w:eastAsia="es-CO"/>
            <w14:ligatures w14:val="none"/>
          </w:rPr>
          <w:t>1</w:t>
        </w:r>
      </w:hyperlink>
      <w:r w:rsidRPr="00E67622">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E67622">
          <w:rPr>
            <w:rFonts w:ascii="Segoe UI" w:eastAsia="Times New Roman" w:hAnsi="Segoe UI" w:cs="Segoe UI"/>
            <w:color w:val="0645AD"/>
            <w:kern w:val="0"/>
            <w:sz w:val="21"/>
            <w:szCs w:val="21"/>
            <w:vertAlign w:val="superscript"/>
            <w:lang w:eastAsia="es-CO"/>
            <w14:ligatures w14:val="none"/>
          </w:rPr>
          <w:t>2</w:t>
        </w:r>
      </w:hyperlink>
      <w:r w:rsidRPr="00E67622">
        <w:rPr>
          <w:rFonts w:ascii="Segoe UI" w:eastAsia="Times New Roman" w:hAnsi="Segoe UI" w:cs="Segoe UI"/>
          <w:color w:val="000000"/>
          <w:kern w:val="0"/>
          <w:sz w:val="21"/>
          <w:szCs w:val="21"/>
          <w:lang w:eastAsia="es-CO"/>
          <w14:ligatures w14:val="none"/>
        </w:rPr>
        <w:t>.</w:t>
      </w:r>
    </w:p>
    <w:p w14:paraId="5BC000D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6FEDFC0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Mediante el presente pronunciamiento se adiciona el Concepto Unificado de la referencia con los siguientes temas: </w:t>
      </w:r>
      <w:r w:rsidRPr="00E67622">
        <w:rPr>
          <w:rFonts w:ascii="Segoe UI" w:eastAsia="Times New Roman" w:hAnsi="Segoe UI" w:cs="Segoe UI"/>
          <w:i/>
          <w:iCs/>
          <w:color w:val="000000"/>
          <w:kern w:val="0"/>
          <w:sz w:val="21"/>
          <w:szCs w:val="21"/>
          <w:lang w:eastAsia="es-CO"/>
          <w14:ligatures w14:val="none"/>
        </w:rPr>
        <w:t>(i)</w:t>
      </w:r>
      <w:r w:rsidRPr="00E67622">
        <w:rPr>
          <w:rFonts w:ascii="Segoe UI" w:eastAsia="Times New Roman" w:hAnsi="Segoe UI" w:cs="Segoe UI"/>
          <w:color w:val="000000"/>
          <w:kern w:val="0"/>
          <w:sz w:val="21"/>
          <w:szCs w:val="21"/>
          <w:lang w:eastAsia="es-CO"/>
          <w14:ligatures w14:val="none"/>
        </w:rPr>
        <w:t> obligación de facturar la venta de activos fijos, </w:t>
      </w:r>
      <w:r w:rsidRPr="00E67622">
        <w:rPr>
          <w:rFonts w:ascii="Segoe UI" w:eastAsia="Times New Roman" w:hAnsi="Segoe UI" w:cs="Segoe UI"/>
          <w:i/>
          <w:iCs/>
          <w:color w:val="000000"/>
          <w:kern w:val="0"/>
          <w:sz w:val="21"/>
          <w:szCs w:val="21"/>
          <w:lang w:eastAsia="es-CO"/>
          <w14:ligatures w14:val="none"/>
        </w:rPr>
        <w:t>(</w:t>
      </w:r>
      <w:proofErr w:type="spellStart"/>
      <w:r w:rsidRPr="00E67622">
        <w:rPr>
          <w:rFonts w:ascii="Segoe UI" w:eastAsia="Times New Roman" w:hAnsi="Segoe UI" w:cs="Segoe UI"/>
          <w:i/>
          <w:iCs/>
          <w:color w:val="000000"/>
          <w:kern w:val="0"/>
          <w:sz w:val="21"/>
          <w:szCs w:val="21"/>
          <w:lang w:eastAsia="es-CO"/>
          <w14:ligatures w14:val="none"/>
        </w:rPr>
        <w:t>ii</w:t>
      </w:r>
      <w:proofErr w:type="spellEnd"/>
      <w:r w:rsidRPr="00E67622">
        <w:rPr>
          <w:rFonts w:ascii="Segoe UI" w:eastAsia="Times New Roman" w:hAnsi="Segoe UI" w:cs="Segoe UI"/>
          <w:i/>
          <w:iCs/>
          <w:color w:val="000000"/>
          <w:kern w:val="0"/>
          <w:sz w:val="21"/>
          <w:szCs w:val="21"/>
          <w:lang w:eastAsia="es-CO"/>
          <w14:ligatures w14:val="none"/>
        </w:rPr>
        <w:t>)</w:t>
      </w:r>
      <w:r w:rsidRPr="00E67622">
        <w:rPr>
          <w:rFonts w:ascii="Segoe UI" w:eastAsia="Times New Roman" w:hAnsi="Segoe UI" w:cs="Segoe UI"/>
          <w:color w:val="000000"/>
          <w:kern w:val="0"/>
          <w:sz w:val="21"/>
          <w:szCs w:val="21"/>
          <w:lang w:eastAsia="es-CO"/>
          <w14:ligatures w14:val="none"/>
        </w:rPr>
        <w:t> la factura de talonario o de papel, </w:t>
      </w:r>
      <w:r w:rsidRPr="00E67622">
        <w:rPr>
          <w:rFonts w:ascii="Segoe UI" w:eastAsia="Times New Roman" w:hAnsi="Segoe UI" w:cs="Segoe UI"/>
          <w:i/>
          <w:iCs/>
          <w:color w:val="000000"/>
          <w:kern w:val="0"/>
          <w:sz w:val="21"/>
          <w:szCs w:val="21"/>
          <w:lang w:eastAsia="es-CO"/>
          <w14:ligatures w14:val="none"/>
        </w:rPr>
        <w:t>(</w:t>
      </w:r>
      <w:proofErr w:type="spellStart"/>
      <w:r w:rsidRPr="00E67622">
        <w:rPr>
          <w:rFonts w:ascii="Segoe UI" w:eastAsia="Times New Roman" w:hAnsi="Segoe UI" w:cs="Segoe UI"/>
          <w:i/>
          <w:iCs/>
          <w:color w:val="000000"/>
          <w:kern w:val="0"/>
          <w:sz w:val="21"/>
          <w:szCs w:val="21"/>
          <w:lang w:eastAsia="es-CO"/>
          <w14:ligatures w14:val="none"/>
        </w:rPr>
        <w:t>iii</w:t>
      </w:r>
      <w:proofErr w:type="spellEnd"/>
      <w:r w:rsidRPr="00E67622">
        <w:rPr>
          <w:rFonts w:ascii="Segoe UI" w:eastAsia="Times New Roman" w:hAnsi="Segoe UI" w:cs="Segoe UI"/>
          <w:i/>
          <w:iCs/>
          <w:color w:val="000000"/>
          <w:kern w:val="0"/>
          <w:sz w:val="21"/>
          <w:szCs w:val="21"/>
          <w:lang w:eastAsia="es-CO"/>
          <w14:ligatures w14:val="none"/>
        </w:rPr>
        <w:t>)</w:t>
      </w:r>
      <w:r w:rsidRPr="00E67622">
        <w:rPr>
          <w:rFonts w:ascii="Segoe UI" w:eastAsia="Times New Roman" w:hAnsi="Segoe UI" w:cs="Segoe UI"/>
          <w:color w:val="000000"/>
          <w:kern w:val="0"/>
          <w:sz w:val="21"/>
          <w:szCs w:val="21"/>
          <w:lang w:eastAsia="es-CO"/>
          <w14:ligatures w14:val="none"/>
        </w:rPr>
        <w:t> generación de notas crédito y sus implicaciones en materia del IVA ante el rechazo de la factura y en el caso de devoluciones, anulaciones, rescisiones o resoluciones, </w:t>
      </w:r>
      <w:r w:rsidRPr="00E67622">
        <w:rPr>
          <w:rFonts w:ascii="Segoe UI" w:eastAsia="Times New Roman" w:hAnsi="Segoe UI" w:cs="Segoe UI"/>
          <w:i/>
          <w:iCs/>
          <w:color w:val="000000"/>
          <w:kern w:val="0"/>
          <w:sz w:val="21"/>
          <w:szCs w:val="21"/>
          <w:lang w:eastAsia="es-CO"/>
          <w14:ligatures w14:val="none"/>
        </w:rPr>
        <w:t>(</w:t>
      </w:r>
      <w:proofErr w:type="spellStart"/>
      <w:r w:rsidRPr="00E67622">
        <w:rPr>
          <w:rFonts w:ascii="Segoe UI" w:eastAsia="Times New Roman" w:hAnsi="Segoe UI" w:cs="Segoe UI"/>
          <w:i/>
          <w:iCs/>
          <w:color w:val="000000"/>
          <w:kern w:val="0"/>
          <w:sz w:val="21"/>
          <w:szCs w:val="21"/>
          <w:lang w:eastAsia="es-CO"/>
          <w14:ligatures w14:val="none"/>
        </w:rPr>
        <w:t>iv</w:t>
      </w:r>
      <w:proofErr w:type="spellEnd"/>
      <w:r w:rsidRPr="00E67622">
        <w:rPr>
          <w:rFonts w:ascii="Segoe UI" w:eastAsia="Times New Roman" w:hAnsi="Segoe UI" w:cs="Segoe UI"/>
          <w:i/>
          <w:iCs/>
          <w:color w:val="000000"/>
          <w:kern w:val="0"/>
          <w:sz w:val="21"/>
          <w:szCs w:val="21"/>
          <w:lang w:eastAsia="es-CO"/>
          <w14:ligatures w14:val="none"/>
        </w:rPr>
        <w:t>)</w:t>
      </w:r>
      <w:r w:rsidRPr="00E67622">
        <w:rPr>
          <w:rFonts w:ascii="Segoe UI" w:eastAsia="Times New Roman" w:hAnsi="Segoe UI" w:cs="Segoe UI"/>
          <w:color w:val="000000"/>
          <w:kern w:val="0"/>
          <w:sz w:val="21"/>
          <w:szCs w:val="21"/>
          <w:lang w:eastAsia="es-CO"/>
          <w14:ligatures w14:val="none"/>
        </w:rPr>
        <w:t> procedencia del extracto por operaciones de crédito realizadas por personas no vigiladas por la Superintendencia Financiera de Colombia, </w:t>
      </w:r>
      <w:r w:rsidRPr="00E67622">
        <w:rPr>
          <w:rFonts w:ascii="Segoe UI" w:eastAsia="Times New Roman" w:hAnsi="Segoe UI" w:cs="Segoe UI"/>
          <w:i/>
          <w:iCs/>
          <w:color w:val="000000"/>
          <w:kern w:val="0"/>
          <w:sz w:val="21"/>
          <w:szCs w:val="21"/>
          <w:lang w:eastAsia="es-CO"/>
          <w14:ligatures w14:val="none"/>
        </w:rPr>
        <w:t>(v) </w:t>
      </w:r>
      <w:r w:rsidRPr="00E67622">
        <w:rPr>
          <w:rFonts w:ascii="Segoe UI" w:eastAsia="Times New Roman" w:hAnsi="Segoe UI" w:cs="Segoe UI"/>
          <w:color w:val="000000"/>
          <w:kern w:val="0"/>
          <w:sz w:val="21"/>
          <w:szCs w:val="21"/>
          <w:lang w:eastAsia="es-CO"/>
          <w14:ligatures w14:val="none"/>
        </w:rPr>
        <w:t>generación y transmisión del documento soporte de que trata el artículo 1.6.1.4.12. del Decreto 1625 de 2016, </w:t>
      </w:r>
      <w:r w:rsidRPr="00E67622">
        <w:rPr>
          <w:rFonts w:ascii="Segoe UI" w:eastAsia="Times New Roman" w:hAnsi="Segoe UI" w:cs="Segoe UI"/>
          <w:i/>
          <w:iCs/>
          <w:color w:val="000000"/>
          <w:kern w:val="0"/>
          <w:sz w:val="21"/>
          <w:szCs w:val="21"/>
          <w:lang w:eastAsia="es-CO"/>
          <w14:ligatures w14:val="none"/>
        </w:rPr>
        <w:t>(vi)</w:t>
      </w:r>
      <w:r w:rsidRPr="00E67622">
        <w:rPr>
          <w:rFonts w:ascii="Segoe UI" w:eastAsia="Times New Roman" w:hAnsi="Segoe UI" w:cs="Segoe UI"/>
          <w:color w:val="000000"/>
          <w:kern w:val="0"/>
          <w:sz w:val="21"/>
          <w:szCs w:val="21"/>
          <w:lang w:eastAsia="es-CO"/>
          <w14:ligatures w14:val="none"/>
        </w:rPr>
        <w:t> reporte en nómina electrónica de los pagos realizados por el empleador a favor de sus trabajadores por concepto de medicina prepagada, planes complementarios de salud y/o pólizas de salud, </w:t>
      </w:r>
      <w:r w:rsidRPr="00E67622">
        <w:rPr>
          <w:rFonts w:ascii="Segoe UI" w:eastAsia="Times New Roman" w:hAnsi="Segoe UI" w:cs="Segoe UI"/>
          <w:i/>
          <w:iCs/>
          <w:color w:val="000000"/>
          <w:kern w:val="0"/>
          <w:sz w:val="21"/>
          <w:szCs w:val="21"/>
          <w:lang w:eastAsia="es-CO"/>
          <w14:ligatures w14:val="none"/>
        </w:rPr>
        <w:t>(</w:t>
      </w:r>
      <w:proofErr w:type="spellStart"/>
      <w:r w:rsidRPr="00E67622">
        <w:rPr>
          <w:rFonts w:ascii="Segoe UI" w:eastAsia="Times New Roman" w:hAnsi="Segoe UI" w:cs="Segoe UI"/>
          <w:i/>
          <w:iCs/>
          <w:color w:val="000000"/>
          <w:kern w:val="0"/>
          <w:sz w:val="21"/>
          <w:szCs w:val="21"/>
          <w:lang w:eastAsia="es-CO"/>
          <w14:ligatures w14:val="none"/>
        </w:rPr>
        <w:t>vii</w:t>
      </w:r>
      <w:proofErr w:type="spellEnd"/>
      <w:r w:rsidRPr="00E67622">
        <w:rPr>
          <w:rFonts w:ascii="Segoe UI" w:eastAsia="Times New Roman" w:hAnsi="Segoe UI" w:cs="Segoe UI"/>
          <w:i/>
          <w:iCs/>
          <w:color w:val="000000"/>
          <w:kern w:val="0"/>
          <w:sz w:val="21"/>
          <w:szCs w:val="21"/>
          <w:lang w:eastAsia="es-CO"/>
          <w14:ligatures w14:val="none"/>
        </w:rPr>
        <w:t>)</w:t>
      </w:r>
      <w:r w:rsidRPr="00E67622">
        <w:rPr>
          <w:rFonts w:ascii="Segoe UI" w:eastAsia="Times New Roman" w:hAnsi="Segoe UI" w:cs="Segoe UI"/>
          <w:color w:val="000000"/>
          <w:kern w:val="0"/>
          <w:sz w:val="21"/>
          <w:szCs w:val="21"/>
          <w:lang w:eastAsia="es-CO"/>
          <w14:ligatures w14:val="none"/>
        </w:rPr>
        <w:t> el RADIAN, y </w:t>
      </w:r>
      <w:r w:rsidRPr="00E67622">
        <w:rPr>
          <w:rFonts w:ascii="Segoe UI" w:eastAsia="Times New Roman" w:hAnsi="Segoe UI" w:cs="Segoe UI"/>
          <w:i/>
          <w:iCs/>
          <w:color w:val="000000"/>
          <w:kern w:val="0"/>
          <w:sz w:val="21"/>
          <w:szCs w:val="21"/>
          <w:lang w:eastAsia="es-CO"/>
          <w14:ligatures w14:val="none"/>
        </w:rPr>
        <w:t>(</w:t>
      </w:r>
      <w:proofErr w:type="spellStart"/>
      <w:r w:rsidRPr="00E67622">
        <w:rPr>
          <w:rFonts w:ascii="Segoe UI" w:eastAsia="Times New Roman" w:hAnsi="Segoe UI" w:cs="Segoe UI"/>
          <w:i/>
          <w:iCs/>
          <w:color w:val="000000"/>
          <w:kern w:val="0"/>
          <w:sz w:val="21"/>
          <w:szCs w:val="21"/>
          <w:lang w:eastAsia="es-CO"/>
          <w14:ligatures w14:val="none"/>
        </w:rPr>
        <w:t>viii</w:t>
      </w:r>
      <w:proofErr w:type="spellEnd"/>
      <w:r w:rsidRPr="00E67622">
        <w:rPr>
          <w:rFonts w:ascii="Segoe UI" w:eastAsia="Times New Roman" w:hAnsi="Segoe UI" w:cs="Segoe UI"/>
          <w:i/>
          <w:iCs/>
          <w:color w:val="000000"/>
          <w:kern w:val="0"/>
          <w:sz w:val="21"/>
          <w:szCs w:val="21"/>
          <w:lang w:eastAsia="es-CO"/>
          <w14:ligatures w14:val="none"/>
        </w:rPr>
        <w:t>)</w:t>
      </w:r>
      <w:r w:rsidRPr="00E67622">
        <w:rPr>
          <w:rFonts w:ascii="Segoe UI" w:eastAsia="Times New Roman" w:hAnsi="Segoe UI" w:cs="Segoe UI"/>
          <w:color w:val="000000"/>
          <w:kern w:val="0"/>
          <w:sz w:val="21"/>
          <w:szCs w:val="21"/>
          <w:lang w:eastAsia="es-CO"/>
          <w14:ligatures w14:val="none"/>
        </w:rPr>
        <w:t> el registro de la factura electrónica de venta como título valor en el marco de una fusión de sociedades.</w:t>
      </w:r>
    </w:p>
    <w:p w14:paraId="17EA2E9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E098077"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1.1.1. (NATURALEZA JURÍDICA DE LA OBLIGACIÓN DE FACTURAR - ¿CUÁLES OPERACIONES SE DEBEN FACTURAR?):</w:t>
      </w:r>
    </w:p>
    <w:p w14:paraId="1D921E8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9A953C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1.1.1.1. ¿Se debe expedir factura electrónica de venta por la venta de activos fijos?</w:t>
      </w:r>
    </w:p>
    <w:p w14:paraId="4000622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69C2FA2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Toda venta de bienes que lleve a cabo un obligado a facturar electrónicamente debe ser objeto de facturación electrónica en los términos del </w:t>
      </w:r>
      <w:hyperlink r:id="rId7" w:tooltip="Estatuto Tributario CETA" w:history="1">
        <w:r w:rsidRPr="00E67622">
          <w:rPr>
            <w:rFonts w:ascii="Segoe UI" w:eastAsia="Times New Roman" w:hAnsi="Segoe UI" w:cs="Segoe UI"/>
            <w:color w:val="0645AD"/>
            <w:kern w:val="0"/>
            <w:sz w:val="21"/>
            <w:szCs w:val="21"/>
            <w:u w:val="single"/>
            <w:lang w:eastAsia="es-CO"/>
            <w14:ligatures w14:val="none"/>
          </w:rPr>
          <w:t>artículo 616-1</w:t>
        </w:r>
      </w:hyperlink>
      <w:r w:rsidRPr="00E67622">
        <w:rPr>
          <w:rFonts w:ascii="Segoe UI" w:eastAsia="Times New Roman" w:hAnsi="Segoe UI" w:cs="Segoe UI"/>
          <w:color w:val="000000"/>
          <w:kern w:val="0"/>
          <w:sz w:val="21"/>
          <w:szCs w:val="21"/>
          <w:lang w:eastAsia="es-CO"/>
          <w14:ligatures w14:val="none"/>
        </w:rPr>
        <w:t> del Estatuto Tributario y su reglamentación.</w:t>
      </w:r>
    </w:p>
    <w:p w14:paraId="78030DD8"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836FE5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Precisamente, el </w:t>
      </w:r>
      <w:hyperlink r:id="rId8" w:tooltip="Estatuto Tributario CETA" w:history="1">
        <w:r w:rsidRPr="00E67622">
          <w:rPr>
            <w:rFonts w:ascii="Segoe UI" w:eastAsia="Times New Roman" w:hAnsi="Segoe UI" w:cs="Segoe UI"/>
            <w:color w:val="0645AD"/>
            <w:kern w:val="0"/>
            <w:sz w:val="21"/>
            <w:szCs w:val="21"/>
            <w:u w:val="single"/>
            <w:lang w:eastAsia="es-CO"/>
            <w14:ligatures w14:val="none"/>
          </w:rPr>
          <w:t>artículo 615</w:t>
        </w:r>
      </w:hyperlink>
      <w:r w:rsidRPr="00E67622">
        <w:rPr>
          <w:rFonts w:ascii="Segoe UI" w:eastAsia="Times New Roman" w:hAnsi="Segoe UI" w:cs="Segoe UI"/>
          <w:color w:val="000000"/>
          <w:kern w:val="0"/>
          <w:sz w:val="21"/>
          <w:szCs w:val="21"/>
          <w:lang w:eastAsia="es-CO"/>
          <w14:ligatures w14:val="none"/>
        </w:rPr>
        <w:t> </w:t>
      </w:r>
      <w:r w:rsidRPr="00E67622">
        <w:rPr>
          <w:rFonts w:ascii="Segoe UI" w:eastAsia="Times New Roman" w:hAnsi="Segoe UI" w:cs="Segoe UI"/>
          <w:i/>
          <w:iCs/>
          <w:color w:val="000000"/>
          <w:kern w:val="0"/>
          <w:sz w:val="21"/>
          <w:szCs w:val="21"/>
          <w:lang w:eastAsia="es-CO"/>
          <w14:ligatures w14:val="none"/>
        </w:rPr>
        <w:t>ibidem</w:t>
      </w:r>
      <w:r w:rsidRPr="00E67622">
        <w:rPr>
          <w:rFonts w:ascii="Segoe UI" w:eastAsia="Times New Roman" w:hAnsi="Segoe UI" w:cs="Segoe UI"/>
          <w:color w:val="000000"/>
          <w:kern w:val="0"/>
          <w:sz w:val="21"/>
          <w:szCs w:val="21"/>
          <w:lang w:eastAsia="es-CO"/>
          <w14:ligatures w14:val="none"/>
        </w:rPr>
        <w:t> señala que “Para efectos tributarios, todas las personas o entidades que tengan la calidad de comerciantes, ejerzan profesiones liberales o presten servicios inherentes a éstas, o enajenen bienes producto de la actividad agrícola o ganadera, deberán expedir factura o documento equivalente, y conservar copia de la misma </w:t>
      </w:r>
      <w:r w:rsidRPr="00E67622">
        <w:rPr>
          <w:rFonts w:ascii="Segoe UI" w:eastAsia="Times New Roman" w:hAnsi="Segoe UI" w:cs="Segoe UI"/>
          <w:color w:val="000000"/>
          <w:kern w:val="0"/>
          <w:sz w:val="21"/>
          <w:szCs w:val="21"/>
          <w:u w:val="single"/>
          <w:lang w:eastAsia="es-CO"/>
          <w14:ligatures w14:val="none"/>
        </w:rPr>
        <w:t>por cada una de las operaciones que realicen</w:t>
      </w:r>
      <w:r w:rsidRPr="00E67622">
        <w:rPr>
          <w:rFonts w:ascii="Segoe UI" w:eastAsia="Times New Roman" w:hAnsi="Segoe UI" w:cs="Segoe UI"/>
          <w:color w:val="000000"/>
          <w:kern w:val="0"/>
          <w:sz w:val="21"/>
          <w:szCs w:val="21"/>
          <w:lang w:eastAsia="es-CO"/>
          <w14:ligatures w14:val="none"/>
        </w:rPr>
        <w:t>” (subrayado fuera de texto).</w:t>
      </w:r>
    </w:p>
    <w:p w14:paraId="60C85EF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1EF2FC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2.2.2 (LA FACTURA DE TALONARIO O DE PAPEL):</w:t>
      </w:r>
    </w:p>
    <w:p w14:paraId="5007975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4E44CB9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2.2.2.2. ¿La factura de talonario o de papel hace parte del Sistema de Facturación?</w:t>
      </w:r>
    </w:p>
    <w:p w14:paraId="4043C73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33F1F0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Sí. La factura de talonario o de papel hace parte del Sistema de Facturación teniendo en cuenta lo siguiente:</w:t>
      </w:r>
    </w:p>
    <w:p w14:paraId="27969F1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8623B1B" w14:textId="77777777" w:rsidR="00E67622" w:rsidRPr="00E67622" w:rsidRDefault="00E67622" w:rsidP="00E67622">
      <w:pPr>
        <w:spacing w:after="0" w:line="240" w:lineRule="auto"/>
        <w:ind w:left="284"/>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i) “El sistema de facturación comprende </w:t>
      </w:r>
      <w:r w:rsidRPr="00E67622">
        <w:rPr>
          <w:rFonts w:ascii="Segoe UI" w:eastAsia="Times New Roman" w:hAnsi="Segoe UI" w:cs="Segoe UI"/>
          <w:color w:val="000000"/>
          <w:kern w:val="0"/>
          <w:sz w:val="21"/>
          <w:szCs w:val="21"/>
          <w:u w:val="single"/>
          <w:lang w:eastAsia="es-CO"/>
          <w14:ligatures w14:val="none"/>
        </w:rPr>
        <w:t>la factura de venta</w:t>
      </w:r>
      <w:r w:rsidRPr="00E67622">
        <w:rPr>
          <w:rFonts w:ascii="Segoe UI" w:eastAsia="Times New Roman" w:hAnsi="Segoe UI" w:cs="Segoe UI"/>
          <w:color w:val="000000"/>
          <w:kern w:val="0"/>
          <w:sz w:val="21"/>
          <w:szCs w:val="21"/>
          <w:lang w:eastAsia="es-CO"/>
          <w14:ligatures w14:val="none"/>
        </w:rPr>
        <w:t> y los documentos equivalentes” (subrayado fuera de texto) (cfr. inciso 1° del </w:t>
      </w:r>
      <w:hyperlink r:id="rId9" w:tooltip="Estatuto Tributario CETA" w:history="1">
        <w:r w:rsidRPr="00E67622">
          <w:rPr>
            <w:rFonts w:ascii="Segoe UI" w:eastAsia="Times New Roman" w:hAnsi="Segoe UI" w:cs="Segoe UI"/>
            <w:color w:val="0645AD"/>
            <w:kern w:val="0"/>
            <w:sz w:val="21"/>
            <w:szCs w:val="21"/>
            <w:u w:val="single"/>
            <w:lang w:eastAsia="es-CO"/>
            <w14:ligatures w14:val="none"/>
          </w:rPr>
          <w:t>artículo 616-1</w:t>
        </w:r>
      </w:hyperlink>
      <w:r w:rsidRPr="00E67622">
        <w:rPr>
          <w:rFonts w:ascii="Segoe UI" w:eastAsia="Times New Roman" w:hAnsi="Segoe UI" w:cs="Segoe UI"/>
          <w:color w:val="000000"/>
          <w:kern w:val="0"/>
          <w:sz w:val="21"/>
          <w:szCs w:val="21"/>
          <w:lang w:eastAsia="es-CO"/>
          <w14:ligatures w14:val="none"/>
        </w:rPr>
        <w:t> del Estatuto Tributario).</w:t>
      </w:r>
    </w:p>
    <w:p w14:paraId="4B824E0E" w14:textId="77777777" w:rsidR="00E67622" w:rsidRPr="00E67622" w:rsidRDefault="00E67622" w:rsidP="00E67622">
      <w:pPr>
        <w:spacing w:after="0" w:line="240" w:lineRule="auto"/>
        <w:ind w:left="284"/>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lastRenderedPageBreak/>
        <w:t> </w:t>
      </w:r>
    </w:p>
    <w:p w14:paraId="60F9415B" w14:textId="77777777" w:rsidR="00E67622" w:rsidRPr="00E67622" w:rsidRDefault="00E67622" w:rsidP="00E67622">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E67622">
        <w:rPr>
          <w:rFonts w:ascii="Segoe UI" w:eastAsia="Times New Roman" w:hAnsi="Segoe UI" w:cs="Segoe UI"/>
          <w:color w:val="000000"/>
          <w:kern w:val="0"/>
          <w:sz w:val="21"/>
          <w:szCs w:val="21"/>
          <w:lang w:eastAsia="es-CO"/>
          <w14:ligatures w14:val="none"/>
        </w:rPr>
        <w:t>ii</w:t>
      </w:r>
      <w:proofErr w:type="spellEnd"/>
      <w:r w:rsidRPr="00E67622">
        <w:rPr>
          <w:rFonts w:ascii="Segoe UI" w:eastAsia="Times New Roman" w:hAnsi="Segoe UI" w:cs="Segoe UI"/>
          <w:color w:val="000000"/>
          <w:kern w:val="0"/>
          <w:sz w:val="21"/>
          <w:szCs w:val="21"/>
          <w:lang w:eastAsia="es-CO"/>
          <w14:ligatures w14:val="none"/>
        </w:rPr>
        <w:t>) “La factura de venta de talonario o de papel y la factura electrónica de venta </w:t>
      </w:r>
      <w:r w:rsidRPr="00E67622">
        <w:rPr>
          <w:rFonts w:ascii="Segoe UI" w:eastAsia="Times New Roman" w:hAnsi="Segoe UI" w:cs="Segoe UI"/>
          <w:color w:val="000000"/>
          <w:kern w:val="0"/>
          <w:sz w:val="21"/>
          <w:szCs w:val="21"/>
          <w:u w:val="single"/>
          <w:lang w:eastAsia="es-CO"/>
          <w14:ligatures w14:val="none"/>
        </w:rPr>
        <w:t>se consideran para todos los efectos como una factura de venta</w:t>
      </w:r>
      <w:r w:rsidRPr="00E67622">
        <w:rPr>
          <w:rFonts w:ascii="Segoe UI" w:eastAsia="Times New Roman" w:hAnsi="Segoe UI" w:cs="Segoe UI"/>
          <w:color w:val="000000"/>
          <w:kern w:val="0"/>
          <w:sz w:val="21"/>
          <w:szCs w:val="21"/>
          <w:lang w:eastAsia="es-CO"/>
          <w14:ligatures w14:val="none"/>
        </w:rPr>
        <w:t>” (subrayado fuera de texto) (cfr. inciso 4° del </w:t>
      </w:r>
      <w:hyperlink r:id="rId10" w:tooltip="Estatuto Tributario CETA" w:history="1">
        <w:r w:rsidRPr="00E67622">
          <w:rPr>
            <w:rFonts w:ascii="Segoe UI" w:eastAsia="Times New Roman" w:hAnsi="Segoe UI" w:cs="Segoe UI"/>
            <w:color w:val="0645AD"/>
            <w:kern w:val="0"/>
            <w:sz w:val="21"/>
            <w:szCs w:val="21"/>
            <w:u w:val="single"/>
            <w:lang w:eastAsia="es-CO"/>
            <w14:ligatures w14:val="none"/>
          </w:rPr>
          <w:t>artículo 616-1</w:t>
        </w:r>
      </w:hyperlink>
      <w:r w:rsidRPr="00E67622">
        <w:rPr>
          <w:rFonts w:ascii="Segoe UI" w:eastAsia="Times New Roman" w:hAnsi="Segoe UI" w:cs="Segoe UI"/>
          <w:color w:val="000000"/>
          <w:kern w:val="0"/>
          <w:sz w:val="21"/>
          <w:szCs w:val="21"/>
          <w:lang w:eastAsia="es-CO"/>
          <w14:ligatures w14:val="none"/>
        </w:rPr>
        <w:t> </w:t>
      </w:r>
      <w:r w:rsidRPr="00E67622">
        <w:rPr>
          <w:rFonts w:ascii="Segoe UI" w:eastAsia="Times New Roman" w:hAnsi="Segoe UI" w:cs="Segoe UI"/>
          <w:i/>
          <w:iCs/>
          <w:color w:val="000000"/>
          <w:kern w:val="0"/>
          <w:sz w:val="21"/>
          <w:szCs w:val="21"/>
          <w:lang w:eastAsia="es-CO"/>
          <w14:ligatures w14:val="none"/>
        </w:rPr>
        <w:t>ibidem</w:t>
      </w:r>
      <w:r w:rsidRPr="00E67622">
        <w:rPr>
          <w:rFonts w:ascii="Segoe UI" w:eastAsia="Times New Roman" w:hAnsi="Segoe UI" w:cs="Segoe UI"/>
          <w:color w:val="000000"/>
          <w:kern w:val="0"/>
          <w:sz w:val="21"/>
          <w:szCs w:val="21"/>
          <w:lang w:eastAsia="es-CO"/>
          <w14:ligatures w14:val="none"/>
        </w:rPr>
        <w:t>).</w:t>
      </w:r>
    </w:p>
    <w:p w14:paraId="554D2AD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C71010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Sin perjuicio de lo anterior, no sobra anotar que “La factura de talonario o de papel solo tendrá validez cuando al sujeto obligado a facturar se le presenten </w:t>
      </w:r>
      <w:r w:rsidRPr="00E67622">
        <w:rPr>
          <w:rFonts w:ascii="Segoe UI" w:eastAsia="Times New Roman" w:hAnsi="Segoe UI" w:cs="Segoe UI"/>
          <w:color w:val="000000"/>
          <w:kern w:val="0"/>
          <w:sz w:val="21"/>
          <w:szCs w:val="21"/>
          <w:u w:val="single"/>
          <w:lang w:eastAsia="es-CO"/>
          <w14:ligatures w14:val="none"/>
        </w:rPr>
        <w:t>inconvenientes tecnológicos que imposibiliten facturar electrónicamente</w:t>
      </w:r>
      <w:r w:rsidRPr="00E67622">
        <w:rPr>
          <w:rFonts w:ascii="Segoe UI" w:eastAsia="Times New Roman" w:hAnsi="Segoe UI" w:cs="Segoe UI"/>
          <w:color w:val="000000"/>
          <w:kern w:val="0"/>
          <w:sz w:val="21"/>
          <w:szCs w:val="21"/>
          <w:lang w:eastAsia="es-CO"/>
          <w14:ligatures w14:val="none"/>
        </w:rPr>
        <w:t>” (subrayado fuera de texto), de conformidad con el artículo 1.6.1.4.5. del Decreto 1625 de 2016.</w:t>
      </w:r>
    </w:p>
    <w:p w14:paraId="66402BB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46DB3AE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3.1.7 (NOTAS ASOCIADAS Y NO ASOCIADAS A UNA FACTURA ELECTRÓNICA DE VENTA Y LA ANULACIÓN DE LA FACTURA ELECTRÓNICA):</w:t>
      </w:r>
    </w:p>
    <w:p w14:paraId="63701ED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F5CE7C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3.1.7.7. ¿Es obligación del facturador electrónico generar una nota crédito cuando el adquirente rechaza la factura electrónica de venta o en el caso de devoluciones, anulaciones, rescisiones o resoluciones?</w:t>
      </w:r>
    </w:p>
    <w:p w14:paraId="0A35129E"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3117EFE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De conformidad con el artículo 36 de la Resolución DIAN 165 de 2023, la nota crédito es “el mecanismo de </w:t>
      </w:r>
      <w:r w:rsidRPr="00E67622">
        <w:rPr>
          <w:rFonts w:ascii="Segoe UI" w:eastAsia="Times New Roman" w:hAnsi="Segoe UI" w:cs="Segoe UI"/>
          <w:color w:val="000000"/>
          <w:kern w:val="0"/>
          <w:sz w:val="21"/>
          <w:szCs w:val="21"/>
          <w:u w:val="single"/>
          <w:lang w:eastAsia="es-CO"/>
          <w14:ligatures w14:val="none"/>
        </w:rPr>
        <w:t>anulación de la factura electrónica de venta</w:t>
      </w:r>
      <w:r w:rsidRPr="00E67622">
        <w:rPr>
          <w:rFonts w:ascii="Segoe UI" w:eastAsia="Times New Roman" w:hAnsi="Segoe UI" w:cs="Segoe UI"/>
          <w:color w:val="000000"/>
          <w:kern w:val="0"/>
          <w:sz w:val="21"/>
          <w:szCs w:val="21"/>
          <w:lang w:eastAsia="es-CO"/>
          <w14:ligatures w14:val="none"/>
        </w:rPr>
        <w:t>, caso en el cual el número de la factura anulada no podrá ser utilizado nuevamente, y siempre deberá estar referenciada en la nota crédito que la anule” (subrayado fuera de texto).</w:t>
      </w:r>
    </w:p>
    <w:p w14:paraId="7E5AFC6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3910D6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Así las cosas, ante el rechazo de la factura electrónica de venta por parte del adquirente, el obligado a facturar debe generar una nota crédito con el propósito antes reseñado; nota que debe cumplir con los requisitos de que trata el citado artículo 36.</w:t>
      </w:r>
    </w:p>
    <w:p w14:paraId="6EBCCF8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C738D4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Esto mismo resulta procedente cuando la factura electrónica sea entregada en representación gráfica.</w:t>
      </w:r>
    </w:p>
    <w:p w14:paraId="5800694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2D3023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Ahora, en lo atinente a las devoluciones, anulaciones, rescisiones o resoluciones, del numeral 9 del artículo 1.6.1.4.1. del Decreto 1625 de 2016 también se desprende que será menester acudir a la nota crédito.</w:t>
      </w:r>
    </w:p>
    <w:p w14:paraId="1408A76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B0B402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3.1.7.8. ¿Qué implicaciones genera en materia del IVA la falta de generación de la nota crédito cuando el adquirente rechaza la factura electrónica de venta o en el caso de devoluciones, anulaciones, rescisiones o resoluciones?</w:t>
      </w:r>
    </w:p>
    <w:p w14:paraId="69A936A4"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1BA211F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Mientras la factura electrónica de venta no sea anulada, el IVA -discriminado en la misma y causado</w:t>
      </w:r>
      <w:hyperlink r:id="rId11" w:anchor="cite_note-3" w:history="1">
        <w:r w:rsidRPr="00E67622">
          <w:rPr>
            <w:rFonts w:ascii="Segoe UI" w:eastAsia="Times New Roman" w:hAnsi="Segoe UI" w:cs="Segoe UI"/>
            <w:color w:val="0645AD"/>
            <w:kern w:val="0"/>
            <w:sz w:val="21"/>
            <w:szCs w:val="21"/>
            <w:vertAlign w:val="superscript"/>
            <w:lang w:eastAsia="es-CO"/>
            <w14:ligatures w14:val="none"/>
          </w:rPr>
          <w:t>3</w:t>
        </w:r>
      </w:hyperlink>
      <w:r w:rsidRPr="00E67622">
        <w:rPr>
          <w:rFonts w:ascii="Segoe UI" w:eastAsia="Times New Roman" w:hAnsi="Segoe UI" w:cs="Segoe UI"/>
          <w:color w:val="000000"/>
          <w:kern w:val="0"/>
          <w:sz w:val="21"/>
          <w:szCs w:val="21"/>
          <w:lang w:eastAsia="es-CO"/>
          <w14:ligatures w14:val="none"/>
        </w:rPr>
        <w:t>- continuará siendo exigible por parte del Estado, con lo cual el facturador electrónico (en su calidad de responsable del impuesto) deberá declararlo y pagarlo en los plazos fijados por el Gobierno nacional, según la periodicidad del caso</w:t>
      </w:r>
      <w:hyperlink r:id="rId12" w:anchor="cite_note-4" w:history="1">
        <w:r w:rsidRPr="00E67622">
          <w:rPr>
            <w:rFonts w:ascii="Segoe UI" w:eastAsia="Times New Roman" w:hAnsi="Segoe UI" w:cs="Segoe UI"/>
            <w:color w:val="0645AD"/>
            <w:kern w:val="0"/>
            <w:sz w:val="21"/>
            <w:szCs w:val="21"/>
            <w:vertAlign w:val="superscript"/>
            <w:lang w:eastAsia="es-CO"/>
            <w14:ligatures w14:val="none"/>
          </w:rPr>
          <w:t>4</w:t>
        </w:r>
      </w:hyperlink>
      <w:r w:rsidRPr="00E67622">
        <w:rPr>
          <w:rFonts w:ascii="Segoe UI" w:eastAsia="Times New Roman" w:hAnsi="Segoe UI" w:cs="Segoe UI"/>
          <w:color w:val="000000"/>
          <w:kern w:val="0"/>
          <w:sz w:val="21"/>
          <w:szCs w:val="21"/>
          <w:lang w:eastAsia="es-CO"/>
          <w14:ligatures w14:val="none"/>
        </w:rPr>
        <w:t>.</w:t>
      </w:r>
    </w:p>
    <w:p w14:paraId="3396EE4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40407F6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3.3.5 (EL EXTRACTO):</w:t>
      </w:r>
    </w:p>
    <w:p w14:paraId="05634E5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4DC0DF28"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3.3.5.4.</w:t>
      </w:r>
      <w:r w:rsidRPr="00E67622">
        <w:rPr>
          <w:rFonts w:ascii="Segoe UI" w:eastAsia="Times New Roman" w:hAnsi="Segoe UI" w:cs="Segoe UI"/>
          <w:color w:val="000000"/>
          <w:kern w:val="0"/>
          <w:sz w:val="21"/>
          <w:szCs w:val="21"/>
          <w:lang w:eastAsia="es-CO"/>
          <w14:ligatures w14:val="none"/>
        </w:rPr>
        <w:t> ¿Es procedente la expedición del extracto por operaciones de crédito realizadas por personas no vigiladas por la Superintendencia Financiera de Colombia?</w:t>
      </w:r>
    </w:p>
    <w:p w14:paraId="7B3DD7E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E91632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De acuerdo con el numeral 4 del artículo 1.6.1.4.6. del Decreto 1625 de 2016, el extracto sólo está permitido para “los obligados a facturar que sean </w:t>
      </w:r>
      <w:r w:rsidRPr="00E67622">
        <w:rPr>
          <w:rFonts w:ascii="Segoe UI" w:eastAsia="Times New Roman" w:hAnsi="Segoe UI" w:cs="Segoe UI"/>
          <w:color w:val="000000"/>
          <w:kern w:val="0"/>
          <w:sz w:val="21"/>
          <w:szCs w:val="21"/>
          <w:u w:val="single"/>
          <w:lang w:eastAsia="es-CO"/>
          <w14:ligatures w14:val="none"/>
        </w:rPr>
        <w:t>sociedades fiduciarias, fondos de inversión colectiva, fondos de capital privado, fondos de inversión extranjera, fondos mutuos de inversión, fondos de valores, fondos de pensiones y de cesantías</w:t>
      </w:r>
      <w:r w:rsidRPr="00E67622">
        <w:rPr>
          <w:rFonts w:ascii="Segoe UI" w:eastAsia="Times New Roman" w:hAnsi="Segoe UI" w:cs="Segoe UI"/>
          <w:color w:val="000000"/>
          <w:kern w:val="0"/>
          <w:sz w:val="21"/>
          <w:szCs w:val="21"/>
          <w:lang w:eastAsia="es-CO"/>
          <w14:ligatures w14:val="none"/>
        </w:rPr>
        <w:t>, por los ingresos que obtengan por concepto de depósitos y demás recursos captados del público y en general por las operaciones de financiamiento efectuadas por </w:t>
      </w:r>
      <w:r w:rsidRPr="00E67622">
        <w:rPr>
          <w:rFonts w:ascii="Segoe UI" w:eastAsia="Times New Roman" w:hAnsi="Segoe UI" w:cs="Segoe UI"/>
          <w:color w:val="000000"/>
          <w:kern w:val="0"/>
          <w:sz w:val="21"/>
          <w:szCs w:val="21"/>
          <w:u w:val="single"/>
          <w:lang w:eastAsia="es-CO"/>
          <w14:ligatures w14:val="none"/>
        </w:rPr>
        <w:t>las cajas de compensación, y entidades del Estado</w:t>
      </w:r>
      <w:r w:rsidRPr="00E67622">
        <w:rPr>
          <w:rFonts w:ascii="Segoe UI" w:eastAsia="Times New Roman" w:hAnsi="Segoe UI" w:cs="Segoe UI"/>
          <w:color w:val="000000"/>
          <w:kern w:val="0"/>
          <w:sz w:val="21"/>
          <w:szCs w:val="21"/>
          <w:lang w:eastAsia="es-CO"/>
          <w14:ligatures w14:val="none"/>
        </w:rPr>
        <w:t> que realizan las citadas operaciones” (subrayado fuera de texto).</w:t>
      </w:r>
    </w:p>
    <w:p w14:paraId="7A94E67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3D5B532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Por lo tanto, en cada caso particular, las personas no vigiladas por la Superintendencia</w:t>
      </w:r>
    </w:p>
    <w:p w14:paraId="7390ED6E"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19F18A0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xml:space="preserve">Financiera de Colombia deberán evaluar si se encuentran o no obligadas a expedir factura electrónica de venta por las operaciones de crédito que lleven a cabo, teniendo en cuenta lo previsto en los </w:t>
      </w:r>
      <w:r w:rsidRPr="00E67622">
        <w:rPr>
          <w:rFonts w:ascii="Segoe UI" w:eastAsia="Times New Roman" w:hAnsi="Segoe UI" w:cs="Segoe UI"/>
          <w:color w:val="000000"/>
          <w:kern w:val="0"/>
          <w:sz w:val="21"/>
          <w:szCs w:val="21"/>
          <w:lang w:eastAsia="es-CO"/>
          <w14:ligatures w14:val="none"/>
        </w:rPr>
        <w:lastRenderedPageBreak/>
        <w:t>artículos </w:t>
      </w:r>
      <w:hyperlink r:id="rId13" w:tooltip="Estatuto Tributario CETA" w:history="1">
        <w:r w:rsidRPr="00E67622">
          <w:rPr>
            <w:rFonts w:ascii="Segoe UI" w:eastAsia="Times New Roman" w:hAnsi="Segoe UI" w:cs="Segoe UI"/>
            <w:color w:val="0645AD"/>
            <w:kern w:val="0"/>
            <w:sz w:val="21"/>
            <w:szCs w:val="21"/>
            <w:u w:val="single"/>
            <w:lang w:eastAsia="es-CO"/>
            <w14:ligatures w14:val="none"/>
          </w:rPr>
          <w:t>615</w:t>
        </w:r>
      </w:hyperlink>
      <w:hyperlink r:id="rId14" w:anchor="cite_note-5" w:history="1">
        <w:r w:rsidRPr="00E67622">
          <w:rPr>
            <w:rFonts w:ascii="Segoe UI" w:eastAsia="Times New Roman" w:hAnsi="Segoe UI" w:cs="Segoe UI"/>
            <w:color w:val="0645AD"/>
            <w:kern w:val="0"/>
            <w:sz w:val="21"/>
            <w:szCs w:val="21"/>
            <w:vertAlign w:val="superscript"/>
            <w:lang w:eastAsia="es-CO"/>
            <w14:ligatures w14:val="none"/>
          </w:rPr>
          <w:t>5</w:t>
        </w:r>
      </w:hyperlink>
      <w:r w:rsidRPr="00E67622">
        <w:rPr>
          <w:rFonts w:ascii="Segoe UI" w:eastAsia="Times New Roman" w:hAnsi="Segoe UI" w:cs="Segoe UI"/>
          <w:color w:val="000000"/>
          <w:kern w:val="0"/>
          <w:sz w:val="21"/>
          <w:szCs w:val="21"/>
          <w:lang w:eastAsia="es-CO"/>
          <w14:ligatures w14:val="none"/>
        </w:rPr>
        <w:t> y </w:t>
      </w:r>
      <w:hyperlink r:id="rId15" w:tooltip="Estatuto Tributario CETA" w:history="1">
        <w:r w:rsidRPr="00E67622">
          <w:rPr>
            <w:rFonts w:ascii="Segoe UI" w:eastAsia="Times New Roman" w:hAnsi="Segoe UI" w:cs="Segoe UI"/>
            <w:color w:val="0645AD"/>
            <w:kern w:val="0"/>
            <w:sz w:val="21"/>
            <w:szCs w:val="21"/>
            <w:u w:val="single"/>
            <w:lang w:eastAsia="es-CO"/>
            <w14:ligatures w14:val="none"/>
          </w:rPr>
          <w:t>616-2</w:t>
        </w:r>
      </w:hyperlink>
      <w:hyperlink r:id="rId16" w:anchor="cite_note-6" w:history="1">
        <w:r w:rsidRPr="00E67622">
          <w:rPr>
            <w:rFonts w:ascii="Segoe UI" w:eastAsia="Times New Roman" w:hAnsi="Segoe UI" w:cs="Segoe UI"/>
            <w:color w:val="0645AD"/>
            <w:kern w:val="0"/>
            <w:sz w:val="21"/>
            <w:szCs w:val="21"/>
            <w:vertAlign w:val="superscript"/>
            <w:lang w:eastAsia="es-CO"/>
            <w14:ligatures w14:val="none"/>
          </w:rPr>
          <w:t>6</w:t>
        </w:r>
      </w:hyperlink>
      <w:r w:rsidRPr="00E67622">
        <w:rPr>
          <w:rFonts w:ascii="Segoe UI" w:eastAsia="Times New Roman" w:hAnsi="Segoe UI" w:cs="Segoe UI"/>
          <w:color w:val="000000"/>
          <w:kern w:val="0"/>
          <w:sz w:val="21"/>
          <w:szCs w:val="21"/>
          <w:lang w:eastAsia="es-CO"/>
          <w14:ligatures w14:val="none"/>
        </w:rPr>
        <w:t> del Estatuto Tributario y 1.6.1.4.3.</w:t>
      </w:r>
      <w:hyperlink r:id="rId17" w:anchor="cite_note-7" w:history="1">
        <w:r w:rsidRPr="00E67622">
          <w:rPr>
            <w:rFonts w:ascii="Segoe UI" w:eastAsia="Times New Roman" w:hAnsi="Segoe UI" w:cs="Segoe UI"/>
            <w:color w:val="0645AD"/>
            <w:kern w:val="0"/>
            <w:sz w:val="21"/>
            <w:szCs w:val="21"/>
            <w:vertAlign w:val="superscript"/>
            <w:lang w:eastAsia="es-CO"/>
            <w14:ligatures w14:val="none"/>
          </w:rPr>
          <w:t>7</w:t>
        </w:r>
      </w:hyperlink>
      <w:r w:rsidRPr="00E67622">
        <w:rPr>
          <w:rFonts w:ascii="Segoe UI" w:eastAsia="Times New Roman" w:hAnsi="Segoe UI" w:cs="Segoe UI"/>
          <w:color w:val="000000"/>
          <w:kern w:val="0"/>
          <w:sz w:val="21"/>
          <w:szCs w:val="21"/>
          <w:lang w:eastAsia="es-CO"/>
          <w14:ligatures w14:val="none"/>
        </w:rPr>
        <w:t> del Decreto 1625 de 2016, entre otras disposiciones.</w:t>
      </w:r>
    </w:p>
    <w:p w14:paraId="6247F15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D02CAE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4.1.5 (PERIODICIDAD DE LA TRASMISIÓN DEL DOCUMENTO SOPORTE EN ADQUISICIONES CON SUJETOS NO OBLIGADOS A EXPEDIR FACTURA DE VENTA O DOCUMENTO EQUIVALENTE GENERADO EN FORMA ELECTRÓNICA):</w:t>
      </w:r>
    </w:p>
    <w:p w14:paraId="6F2E1AF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6CE427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xml:space="preserve">4.1.5.2. </w:t>
      </w:r>
      <w:proofErr w:type="gramStart"/>
      <w:r w:rsidRPr="00E67622">
        <w:rPr>
          <w:rFonts w:ascii="Segoe UI" w:eastAsia="Times New Roman" w:hAnsi="Segoe UI" w:cs="Segoe UI"/>
          <w:color w:val="000000"/>
          <w:kern w:val="0"/>
          <w:sz w:val="21"/>
          <w:szCs w:val="21"/>
          <w:lang w:eastAsia="es-CO"/>
          <w14:ligatures w14:val="none"/>
        </w:rPr>
        <w:t>¿En qué momento se debe generar el documento soporte de que trata el artículo 1.</w:t>
      </w:r>
      <w:proofErr w:type="gramEnd"/>
      <w:r w:rsidRPr="00E67622">
        <w:rPr>
          <w:rFonts w:ascii="Segoe UI" w:eastAsia="Times New Roman" w:hAnsi="Segoe UI" w:cs="Segoe UI"/>
          <w:color w:val="000000"/>
          <w:kern w:val="0"/>
          <w:sz w:val="21"/>
          <w:szCs w:val="21"/>
          <w:lang w:eastAsia="es-CO"/>
          <w14:ligatures w14:val="none"/>
        </w:rPr>
        <w:t>6.1.4.12. del Decreto 1625 de 2016 si el prestador de un servicio pasa una cuenta de cobro al adquirente finalizando cada mes?</w:t>
      </w:r>
    </w:p>
    <w:p w14:paraId="41D9828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070B1E8"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Del artículo 1.6.1.4.12. del Decreto 1625 de 2016 y del numeral 6 del artículo 4</w:t>
      </w:r>
      <w:hyperlink r:id="rId18" w:anchor="cite_note-8" w:history="1">
        <w:r w:rsidRPr="00E67622">
          <w:rPr>
            <w:rFonts w:ascii="Segoe UI" w:eastAsia="Times New Roman" w:hAnsi="Segoe UI" w:cs="Segoe UI"/>
            <w:color w:val="0645AD"/>
            <w:kern w:val="0"/>
            <w:sz w:val="21"/>
            <w:szCs w:val="21"/>
            <w:vertAlign w:val="superscript"/>
            <w:lang w:eastAsia="es-CO"/>
            <w14:ligatures w14:val="none"/>
          </w:rPr>
          <w:t>8</w:t>
        </w:r>
      </w:hyperlink>
      <w:r w:rsidRPr="00E67622">
        <w:rPr>
          <w:rFonts w:ascii="Segoe UI" w:eastAsia="Times New Roman" w:hAnsi="Segoe UI" w:cs="Segoe UI"/>
          <w:color w:val="000000"/>
          <w:kern w:val="0"/>
          <w:sz w:val="21"/>
          <w:szCs w:val="21"/>
          <w:lang w:eastAsia="es-CO"/>
          <w14:ligatures w14:val="none"/>
        </w:rPr>
        <w:t> de la Resolución 167 de 2021 se colige que el documento soporte -objeto de consulta- debe generarse una vez finaliza la prestación del servicio, independientemente de que, a lo largo de su ejecución, su prestador entregue diferentes cuentas de cobro al adquirente.</w:t>
      </w:r>
    </w:p>
    <w:p w14:paraId="0E65F4B7"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869C56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4.1.5.3. ¿Qué se debe entender por “fecha de la operación” y por “fecha de generación”?</w:t>
      </w:r>
    </w:p>
    <w:p w14:paraId="0CC5FD3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290253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De acuerdo con el numeral 2 del artículo 4 de la Resolución 167 de 2021, el documento soporte en adquisiciones efectuadas a sujetos no obligados a expedir factura de venta o documento equivalente debe contener “la fecha de operación y la fecha de generación del documento”.</w:t>
      </w:r>
    </w:p>
    <w:p w14:paraId="0EF14B1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9DB429E"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 partir de una interpretación gramatical, es dable entender por “fecha de la operación” aquella en la que se vende un bien o se presta un servicio y por “fecha de generación” aquella en la que se genera el mencionado documento soporte. Sobre esto último, debe tenerse en cuenta lo contemplado en el numeral 8 del artículo 1° de la citada Resolución 167:</w:t>
      </w:r>
    </w:p>
    <w:p w14:paraId="4B97923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10D2557A" w14:textId="77777777" w:rsidR="00E67622" w:rsidRPr="00E67622" w:rsidRDefault="00E67622" w:rsidP="00E67622">
      <w:pPr>
        <w:spacing w:after="0" w:line="240" w:lineRule="auto"/>
        <w:ind w:left="284"/>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8. Generación del documento soporte en adquisiciones efectuadas a sujetos no obligados a expedir factura de venta o documento equivalente y de las notas de ajuste del citado documento: La generación del documento soporte en adquisiciones efectuadas a sujetos no obligados a expedir factura de venta o documento equivalente y de las notas de ajuste del citado documento, </w:t>
      </w:r>
      <w:r w:rsidRPr="00E67622">
        <w:rPr>
          <w:rFonts w:ascii="Segoe UI" w:eastAsia="Times New Roman" w:hAnsi="Segoe UI" w:cs="Segoe UI"/>
          <w:color w:val="000000"/>
          <w:kern w:val="0"/>
          <w:sz w:val="21"/>
          <w:szCs w:val="21"/>
          <w:u w:val="single"/>
          <w:lang w:eastAsia="es-CO"/>
          <w14:ligatures w14:val="none"/>
        </w:rPr>
        <w:t>es el procedimiento informático para la estructuración de la información</w:t>
      </w:r>
      <w:r w:rsidRPr="00E67622">
        <w:rPr>
          <w:rFonts w:ascii="Segoe UI" w:eastAsia="Times New Roman" w:hAnsi="Segoe UI" w:cs="Segoe UI"/>
          <w:color w:val="000000"/>
          <w:kern w:val="0"/>
          <w:sz w:val="21"/>
          <w:szCs w:val="21"/>
          <w:lang w:eastAsia="es-CO"/>
          <w14:ligatures w14:val="none"/>
        </w:rPr>
        <w:t> de acuerdo con los requisitos que deben contener los citados documentos, </w:t>
      </w:r>
      <w:r w:rsidRPr="00E67622">
        <w:rPr>
          <w:rFonts w:ascii="Segoe UI" w:eastAsia="Times New Roman" w:hAnsi="Segoe UI" w:cs="Segoe UI"/>
          <w:color w:val="000000"/>
          <w:kern w:val="0"/>
          <w:sz w:val="21"/>
          <w:szCs w:val="21"/>
          <w:u w:val="single"/>
          <w:lang w:eastAsia="es-CO"/>
          <w14:ligatures w14:val="none"/>
        </w:rPr>
        <w:t>previo a la transmisión, y validación</w:t>
      </w:r>
      <w:r w:rsidRPr="00E67622">
        <w:rPr>
          <w:rFonts w:ascii="Segoe UI" w:eastAsia="Times New Roman" w:hAnsi="Segoe UI" w:cs="Segoe UI"/>
          <w:color w:val="000000"/>
          <w:kern w:val="0"/>
          <w:sz w:val="21"/>
          <w:szCs w:val="21"/>
          <w:lang w:eastAsia="es-CO"/>
          <w14:ligatures w14:val="none"/>
        </w:rPr>
        <w:t>, cumpliendo las condiciones, términos, mecanismos técnicos y tecnológicos que para el efecto señala la Unidad Administrativa Especial Dirección de Impuestos y Aduanas Nacionales (DIAN). (Subrayado fuera de texto)</w:t>
      </w:r>
    </w:p>
    <w:p w14:paraId="7025F3F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B0C87D1"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xml:space="preserve">4.1.5.4. </w:t>
      </w:r>
      <w:proofErr w:type="gramStart"/>
      <w:r w:rsidRPr="00E67622">
        <w:rPr>
          <w:rFonts w:ascii="Segoe UI" w:eastAsia="Times New Roman" w:hAnsi="Segoe UI" w:cs="Segoe UI"/>
          <w:color w:val="000000"/>
          <w:kern w:val="0"/>
          <w:sz w:val="21"/>
          <w:szCs w:val="21"/>
          <w:lang w:eastAsia="es-CO"/>
          <w14:ligatures w14:val="none"/>
        </w:rPr>
        <w:t>¿Se puede generar el documento soporte de que trata el artículo 1.</w:t>
      </w:r>
      <w:proofErr w:type="gramEnd"/>
      <w:r w:rsidRPr="00E67622">
        <w:rPr>
          <w:rFonts w:ascii="Segoe UI" w:eastAsia="Times New Roman" w:hAnsi="Segoe UI" w:cs="Segoe UI"/>
          <w:color w:val="000000"/>
          <w:kern w:val="0"/>
          <w:sz w:val="21"/>
          <w:szCs w:val="21"/>
          <w:lang w:eastAsia="es-CO"/>
          <w14:ligatures w14:val="none"/>
        </w:rPr>
        <w:t>6.1.4.12. del Decreto 1625 de 2016 con posterioridad a la operación de venta o prestación del servicio?</w:t>
      </w:r>
    </w:p>
    <w:p w14:paraId="2AC3555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2AD9A3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El numeral 2 del artículo 1.6.1.4.12. </w:t>
      </w:r>
      <w:r w:rsidRPr="00E67622">
        <w:rPr>
          <w:rFonts w:ascii="Segoe UI" w:eastAsia="Times New Roman" w:hAnsi="Segoe UI" w:cs="Segoe UI"/>
          <w:i/>
          <w:iCs/>
          <w:color w:val="000000"/>
          <w:kern w:val="0"/>
          <w:sz w:val="21"/>
          <w:szCs w:val="21"/>
          <w:lang w:eastAsia="es-CO"/>
          <w14:ligatures w14:val="none"/>
        </w:rPr>
        <w:t>ibidem</w:t>
      </w:r>
      <w:r w:rsidRPr="00E67622">
        <w:rPr>
          <w:rFonts w:ascii="Segoe UI" w:eastAsia="Times New Roman" w:hAnsi="Segoe UI" w:cs="Segoe UI"/>
          <w:color w:val="000000"/>
          <w:kern w:val="0"/>
          <w:sz w:val="21"/>
          <w:szCs w:val="21"/>
          <w:lang w:eastAsia="es-CO"/>
          <w14:ligatures w14:val="none"/>
        </w:rPr>
        <w:t> antes establecía que el documento soporte debía contener “la fecha de la operación </w:t>
      </w:r>
      <w:r w:rsidRPr="00E67622">
        <w:rPr>
          <w:rFonts w:ascii="Segoe UI" w:eastAsia="Times New Roman" w:hAnsi="Segoe UI" w:cs="Segoe UI"/>
          <w:color w:val="000000"/>
          <w:kern w:val="0"/>
          <w:sz w:val="21"/>
          <w:szCs w:val="21"/>
          <w:u w:val="single"/>
          <w:lang w:eastAsia="es-CO"/>
          <w14:ligatures w14:val="none"/>
        </w:rPr>
        <w:t>que debe corresponder</w:t>
      </w:r>
      <w:r w:rsidRPr="00E67622">
        <w:rPr>
          <w:rFonts w:ascii="Segoe UI" w:eastAsia="Times New Roman" w:hAnsi="Segoe UI" w:cs="Segoe UI"/>
          <w:color w:val="000000"/>
          <w:kern w:val="0"/>
          <w:sz w:val="21"/>
          <w:szCs w:val="21"/>
          <w:lang w:eastAsia="es-CO"/>
          <w14:ligatures w14:val="none"/>
        </w:rPr>
        <w:t> a la fecha de generación del documento” (subrayado fuera de texto), numeral que fue modificado por el artículo 7° del Decreto 442 de 2023 y cuyo tenor literal dispone ahora: “Tener la fecha de operación y la fecha de generación del documento”.</w:t>
      </w:r>
    </w:p>
    <w:p w14:paraId="7900E40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3238AA0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Esta modificación abre entonces la posibilidad de que el documento soporte en comento pueda generarse en una fecha posterior a la fecha de la operación.</w:t>
      </w:r>
    </w:p>
    <w:p w14:paraId="42E06F8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3723F187"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4.2.2 (REQUISITOS DEL DOCUMENTO SOPORTE DE PAGO DE NÓMINA ELECTRÓNICA):</w:t>
      </w:r>
    </w:p>
    <w:p w14:paraId="78F58D3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F36D077"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4.2.2.2.1. ¿Los pagos realizados por el empleador a favor de sus trabajadores por concepto de medicina prepagada, planes complementarios de salud y/o pólizas de salud deben reportarse en nómina electrónica para efectos de su deducibilidad y de los impuestos descontables a que haya lugar?</w:t>
      </w:r>
    </w:p>
    <w:p w14:paraId="74E857A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10773CDF"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El artículo 4 de la Resolución 13 de 2021 señala que están obligados a generar y transmitir el documento soporte de pago de nómina electrónica “aquellos contribuyentes del impuesto sobre la renta y complementarios, </w:t>
      </w:r>
      <w:r w:rsidRPr="00E67622">
        <w:rPr>
          <w:rFonts w:ascii="Segoe UI" w:eastAsia="Times New Roman" w:hAnsi="Segoe UI" w:cs="Segoe UI"/>
          <w:color w:val="000000"/>
          <w:kern w:val="0"/>
          <w:sz w:val="21"/>
          <w:szCs w:val="21"/>
          <w:u w:val="single"/>
          <w:lang w:eastAsia="es-CO"/>
          <w14:ligatures w14:val="none"/>
        </w:rPr>
        <w:t xml:space="preserve">que realizan pagos o abonos en cuenta que se derivan de una vinculación, </w:t>
      </w:r>
      <w:r w:rsidRPr="00E67622">
        <w:rPr>
          <w:rFonts w:ascii="Segoe UI" w:eastAsia="Times New Roman" w:hAnsi="Segoe UI" w:cs="Segoe UI"/>
          <w:color w:val="000000"/>
          <w:kern w:val="0"/>
          <w:sz w:val="21"/>
          <w:szCs w:val="21"/>
          <w:u w:val="single"/>
          <w:lang w:eastAsia="es-CO"/>
          <w14:ligatures w14:val="none"/>
        </w:rPr>
        <w:lastRenderedPageBreak/>
        <w:t>por una relación laboral o legal y reglamentaria</w:t>
      </w:r>
      <w:r w:rsidRPr="00E67622">
        <w:rPr>
          <w:rFonts w:ascii="Segoe UI" w:eastAsia="Times New Roman" w:hAnsi="Segoe UI" w:cs="Segoe UI"/>
          <w:color w:val="000000"/>
          <w:kern w:val="0"/>
          <w:sz w:val="21"/>
          <w:szCs w:val="21"/>
          <w:lang w:eastAsia="es-CO"/>
          <w14:ligatures w14:val="none"/>
        </w:rPr>
        <w:t> (…) que requieran soportar los costos y deducciones en el impuesto sobre la renta y complementarios e impuestos descontables en el Impuesto sobre las Ventas (IVA), cuando aplique” (subrayado fuera de texto).</w:t>
      </w:r>
    </w:p>
    <w:p w14:paraId="4966E817"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BE2933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Nótese que la reseñada disposición no hace mayor distinción sobre la naturaleza de los pagos o abonos en cuenta ni la forma en la que éstos se realizan; simplemente indica que deben originarse de una relación laboral o legal y reglamentaria.</w:t>
      </w:r>
    </w:p>
    <w:p w14:paraId="0E36B58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63DE718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Por ende, asumiendo que los pagos por concepto de medicina prepagada, planes complementarios de salud y/o pólizas de salud son realizados por el empleador en virtud de la relación laboral que lo vincula con sus trabajadores, es de colegir que sobre éstos debe generarse y transmitirse el referido documento soporte.</w:t>
      </w:r>
    </w:p>
    <w:p w14:paraId="67B71DF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70479B8"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5.1.1 (NATURALEZA Y DEFINICIÓN DEL REGISTRO DE LA FACTURA ELECTRÓNICA DE VENTA COMO TÍTULO VALOR -RADIAN):</w:t>
      </w:r>
    </w:p>
    <w:p w14:paraId="01BE7984"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3485F3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5.1.1.1.1. ¿El RADIAN hace parte de las funcionalidades que integran el Sistema de Facturación?</w:t>
      </w:r>
    </w:p>
    <w:p w14:paraId="0A78DB6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984FD6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De acuerdo con el parágrafo 3° del </w:t>
      </w:r>
      <w:hyperlink r:id="rId19" w:tooltip="Estatuto Tributario CETA" w:history="1">
        <w:r w:rsidRPr="00E67622">
          <w:rPr>
            <w:rFonts w:ascii="Segoe UI" w:eastAsia="Times New Roman" w:hAnsi="Segoe UI" w:cs="Segoe UI"/>
            <w:color w:val="0645AD"/>
            <w:kern w:val="0"/>
            <w:sz w:val="21"/>
            <w:szCs w:val="21"/>
            <w:u w:val="single"/>
            <w:lang w:eastAsia="es-CO"/>
            <w14:ligatures w14:val="none"/>
          </w:rPr>
          <w:t>artículo 616-1</w:t>
        </w:r>
      </w:hyperlink>
      <w:r w:rsidRPr="00E67622">
        <w:rPr>
          <w:rFonts w:ascii="Segoe UI" w:eastAsia="Times New Roman" w:hAnsi="Segoe UI" w:cs="Segoe UI"/>
          <w:color w:val="000000"/>
          <w:kern w:val="0"/>
          <w:sz w:val="21"/>
          <w:szCs w:val="21"/>
          <w:lang w:eastAsia="es-CO"/>
          <w14:ligatures w14:val="none"/>
        </w:rPr>
        <w:t> del Estatuto Tributario, “La plataforma de factura electrónica de la Unidad Administrativa Especial Dirección de Impuestos y Aduanas Nacionales (DIAN), </w:t>
      </w:r>
      <w:r w:rsidRPr="00E67622">
        <w:rPr>
          <w:rFonts w:ascii="Segoe UI" w:eastAsia="Times New Roman" w:hAnsi="Segoe UI" w:cs="Segoe UI"/>
          <w:color w:val="000000"/>
          <w:kern w:val="0"/>
          <w:sz w:val="21"/>
          <w:szCs w:val="21"/>
          <w:u w:val="single"/>
          <w:lang w:eastAsia="es-CO"/>
          <w14:ligatures w14:val="none"/>
        </w:rPr>
        <w:t>incluirá el registro de las facturas electrónicas consideradas como título valor</w:t>
      </w:r>
      <w:r w:rsidRPr="00E67622">
        <w:rPr>
          <w:rFonts w:ascii="Segoe UI" w:eastAsia="Times New Roman" w:hAnsi="Segoe UI" w:cs="Segoe UI"/>
          <w:color w:val="000000"/>
          <w:kern w:val="0"/>
          <w:sz w:val="21"/>
          <w:szCs w:val="21"/>
          <w:lang w:eastAsia="es-CO"/>
          <w14:ligatures w14:val="none"/>
        </w:rPr>
        <w:t> que circulen en el territorio nacional y permitirá su consulta y trazabilidad” (subrayado fuera de texto).</w:t>
      </w:r>
    </w:p>
    <w:p w14:paraId="5DF9996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4B7F9F6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Ahora, el artículo 1.6.1.4.4. del Decreto 1625 de 2016 señala que “El sistema de facturación es el </w:t>
      </w:r>
      <w:r w:rsidRPr="00E67622">
        <w:rPr>
          <w:rFonts w:ascii="Segoe UI" w:eastAsia="Times New Roman" w:hAnsi="Segoe UI" w:cs="Segoe UI"/>
          <w:color w:val="000000"/>
          <w:kern w:val="0"/>
          <w:sz w:val="21"/>
          <w:szCs w:val="21"/>
          <w:u w:val="single"/>
          <w:lang w:eastAsia="es-CO"/>
          <w14:ligatures w14:val="none"/>
        </w:rPr>
        <w:t>conjunto de funcionalidades</w:t>
      </w:r>
      <w:r w:rsidRPr="00E67622">
        <w:rPr>
          <w:rFonts w:ascii="Segoe UI" w:eastAsia="Times New Roman" w:hAnsi="Segoe UI" w:cs="Segoe UI"/>
          <w:color w:val="000000"/>
          <w:kern w:val="0"/>
          <w:sz w:val="21"/>
          <w:szCs w:val="21"/>
          <w:lang w:eastAsia="es-CO"/>
          <w14:ligatures w14:val="none"/>
        </w:rPr>
        <w:t> que permiten </w:t>
      </w:r>
      <w:r w:rsidRPr="00E67622">
        <w:rPr>
          <w:rFonts w:ascii="Segoe UI" w:eastAsia="Times New Roman" w:hAnsi="Segoe UI" w:cs="Segoe UI"/>
          <w:color w:val="000000"/>
          <w:kern w:val="0"/>
          <w:sz w:val="21"/>
          <w:szCs w:val="21"/>
          <w:u w:val="single"/>
          <w:lang w:eastAsia="es-CO"/>
          <w14:ligatures w14:val="none"/>
        </w:rPr>
        <w:t>la interoperabilidad e interacción de la factura electrónica</w:t>
      </w:r>
      <w:r w:rsidRPr="00E67622">
        <w:rPr>
          <w:rFonts w:ascii="Segoe UI" w:eastAsia="Times New Roman" w:hAnsi="Segoe UI" w:cs="Segoe UI"/>
          <w:color w:val="000000"/>
          <w:kern w:val="0"/>
          <w:sz w:val="21"/>
          <w:szCs w:val="21"/>
          <w:lang w:eastAsia="es-CO"/>
          <w14:ligatures w14:val="none"/>
        </w:rPr>
        <w:t>, los documentos equivalentes y los documentos electrónicos determinados por la Unidad Administrativa Especial Dirección de Impuestos y Aduanas Nacionales (DIAN), y </w:t>
      </w:r>
      <w:r w:rsidRPr="00E67622">
        <w:rPr>
          <w:rFonts w:ascii="Segoe UI" w:eastAsia="Times New Roman" w:hAnsi="Segoe UI" w:cs="Segoe UI"/>
          <w:color w:val="000000"/>
          <w:kern w:val="0"/>
          <w:sz w:val="21"/>
          <w:szCs w:val="21"/>
          <w:u w:val="single"/>
          <w:lang w:eastAsia="es-CO"/>
          <w14:ligatures w14:val="none"/>
        </w:rPr>
        <w:t>que puedan servir para el ejercicio de control de la autoridad tributaria y aduanera, de soporte de las declaraciones tributarias o aduaneras y/o de soporte de los trámites que se adelanten ante esta entidad</w:t>
      </w:r>
      <w:r w:rsidRPr="00E67622">
        <w:rPr>
          <w:rFonts w:ascii="Segoe UI" w:eastAsia="Times New Roman" w:hAnsi="Segoe UI" w:cs="Segoe UI"/>
          <w:color w:val="000000"/>
          <w:kern w:val="0"/>
          <w:sz w:val="21"/>
          <w:szCs w:val="21"/>
          <w:lang w:eastAsia="es-CO"/>
          <w14:ligatures w14:val="none"/>
        </w:rPr>
        <w:t>, así como los demás instrumentos electrónicos que se deriven de estos” (subrayado fuera de texto).</w:t>
      </w:r>
    </w:p>
    <w:p w14:paraId="7A13CE3E"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64DC22D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Se desprende de lo anterior que los conceptos de “plataforma de factura electrónica” y “sistema de facturación”, si bien se encuentran directamente relacionados, difieren sustancialmente entre sí: el primero se refiere a los servicios informáticos electrónicos destinados a facilitar la generación, transmisión, validación, entrega y recepción de la factura electrónica de venta, las notas débito, crédito y demás documentos electrónicos que hacen parte del sistema de facturación; el segundo, por su parte, hace alusión a los documentos y funcionalidades que lo conforman.</w:t>
      </w:r>
    </w:p>
    <w:p w14:paraId="6C30CDB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75005B9"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Ahora bien, dada la finalidad de los referidos servicios informáticos electrónicos, resulta lógico concluir que éstos hacen parte del sistema de facturación, pues permiten la interoperabilidad e interacción de los documentos que conforman este último. En consecuencia, el RADIAN -que hace parte de la plataforma de factura electrónica- haría parte del sistema de facturación.</w:t>
      </w:r>
    </w:p>
    <w:p w14:paraId="43F85EF3"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2A5F7AD4"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Adición al Descriptor 5.1.3 (EL REGISTRO DE LA FACTURA ELECTRÓNICA DE VENTA COMO TÍTULO VALOR -RADIAN EN EL SISTEMA DE FACTURACIÓN ELECTRÓNICA DE LA DIAN):</w:t>
      </w:r>
    </w:p>
    <w:p w14:paraId="2BF7D5B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DCF420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5.1.3.2. ¿Las facturas electrónicas de venta registradas en el RADIAN se entienden automáticamente cedidas por parte de una sociedad absorbida a su sociedad absorbente como resultado de un proceso de fusión?</w:t>
      </w:r>
    </w:p>
    <w:p w14:paraId="73259B6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4C79E7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El artículo 172 del Código de Comercio establece que, en el caso de una fusión, “La absorbente o la nueva compañía </w:t>
      </w:r>
      <w:r w:rsidRPr="00E67622">
        <w:rPr>
          <w:rFonts w:ascii="Segoe UI" w:eastAsia="Times New Roman" w:hAnsi="Segoe UI" w:cs="Segoe UI"/>
          <w:color w:val="000000"/>
          <w:kern w:val="0"/>
          <w:sz w:val="21"/>
          <w:szCs w:val="21"/>
          <w:u w:val="single"/>
          <w:lang w:eastAsia="es-CO"/>
          <w14:ligatures w14:val="none"/>
        </w:rPr>
        <w:t>adquirirá los derechos</w:t>
      </w:r>
      <w:r w:rsidRPr="00E67622">
        <w:rPr>
          <w:rFonts w:ascii="Segoe UI" w:eastAsia="Times New Roman" w:hAnsi="Segoe UI" w:cs="Segoe UI"/>
          <w:color w:val="000000"/>
          <w:kern w:val="0"/>
          <w:sz w:val="21"/>
          <w:szCs w:val="21"/>
          <w:lang w:eastAsia="es-CO"/>
          <w14:ligatures w14:val="none"/>
        </w:rPr>
        <w:t> y obligaciones de la sociedad o sociedades disueltas al formalizarse el acuerdo de fusión” (subrayado fuera de texto). A su vez, el artículo 178 </w:t>
      </w:r>
      <w:r w:rsidRPr="00E67622">
        <w:rPr>
          <w:rFonts w:ascii="Segoe UI" w:eastAsia="Times New Roman" w:hAnsi="Segoe UI" w:cs="Segoe UI"/>
          <w:i/>
          <w:iCs/>
          <w:color w:val="000000"/>
          <w:kern w:val="0"/>
          <w:sz w:val="21"/>
          <w:szCs w:val="21"/>
          <w:lang w:eastAsia="es-CO"/>
          <w14:ligatures w14:val="none"/>
        </w:rPr>
        <w:t>ibidem</w:t>
      </w:r>
      <w:r w:rsidRPr="00E67622">
        <w:rPr>
          <w:rFonts w:ascii="Segoe UI" w:eastAsia="Times New Roman" w:hAnsi="Segoe UI" w:cs="Segoe UI"/>
          <w:color w:val="000000"/>
          <w:kern w:val="0"/>
          <w:sz w:val="21"/>
          <w:szCs w:val="21"/>
          <w:lang w:eastAsia="es-CO"/>
          <w14:ligatures w14:val="none"/>
        </w:rPr>
        <w:t> prevé que “En virtud del acuerdo de fusión, una vez formalizado, </w:t>
      </w:r>
      <w:r w:rsidRPr="00E67622">
        <w:rPr>
          <w:rFonts w:ascii="Segoe UI" w:eastAsia="Times New Roman" w:hAnsi="Segoe UI" w:cs="Segoe UI"/>
          <w:color w:val="000000"/>
          <w:kern w:val="0"/>
          <w:sz w:val="21"/>
          <w:szCs w:val="21"/>
          <w:u w:val="single"/>
          <w:lang w:eastAsia="es-CO"/>
          <w14:ligatures w14:val="none"/>
        </w:rPr>
        <w:t>la sociedad absorbente adquiere los bienes y derechos de las sociedades absorbidas</w:t>
      </w:r>
      <w:r w:rsidRPr="00E67622">
        <w:rPr>
          <w:rFonts w:ascii="Segoe UI" w:eastAsia="Times New Roman" w:hAnsi="Segoe UI" w:cs="Segoe UI"/>
          <w:color w:val="000000"/>
          <w:kern w:val="0"/>
          <w:sz w:val="21"/>
          <w:szCs w:val="21"/>
          <w:lang w:eastAsia="es-CO"/>
          <w14:ligatures w14:val="none"/>
        </w:rPr>
        <w:t>, y se hace cargo de pagar el pasivo interno y externo de las mismas” (subrayado fuera de texto).</w:t>
      </w:r>
    </w:p>
    <w:p w14:paraId="7917831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160BE75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lastRenderedPageBreak/>
        <w:t>Para la Superintendencia de Sociedades, según lo expuesto en el Concepto 220-090723 de mayo 20 de 2016, “la escritura de formalización del acuerdo de fusión se erige en justo título para adquirir derechos y recibir obligaciones, efecto que opera por ministerio de la ley”, agregando que “como es un título traslaticio de dominio, </w:t>
      </w:r>
      <w:r w:rsidRPr="00E67622">
        <w:rPr>
          <w:rFonts w:ascii="Segoe UI" w:eastAsia="Times New Roman" w:hAnsi="Segoe UI" w:cs="Segoe UI"/>
          <w:color w:val="000000"/>
          <w:kern w:val="0"/>
          <w:sz w:val="21"/>
          <w:szCs w:val="21"/>
          <w:u w:val="single"/>
          <w:lang w:eastAsia="es-CO"/>
          <w14:ligatures w14:val="none"/>
        </w:rPr>
        <w:t>debe ajustarse a los requisitos establecidos por el modo de adquirir</w:t>
      </w:r>
      <w:r w:rsidRPr="00E67622">
        <w:rPr>
          <w:rFonts w:ascii="Segoe UI" w:eastAsia="Times New Roman" w:hAnsi="Segoe UI" w:cs="Segoe UI"/>
          <w:color w:val="000000"/>
          <w:kern w:val="0"/>
          <w:sz w:val="21"/>
          <w:szCs w:val="21"/>
          <w:lang w:eastAsia="es-CO"/>
          <w14:ligatures w14:val="none"/>
        </w:rPr>
        <w:t>, así que </w:t>
      </w:r>
      <w:r w:rsidRPr="00E67622">
        <w:rPr>
          <w:rFonts w:ascii="Segoe UI" w:eastAsia="Times New Roman" w:hAnsi="Segoe UI" w:cs="Segoe UI"/>
          <w:color w:val="000000"/>
          <w:kern w:val="0"/>
          <w:sz w:val="21"/>
          <w:szCs w:val="21"/>
          <w:u w:val="single"/>
          <w:lang w:eastAsia="es-CO"/>
          <w14:ligatures w14:val="none"/>
        </w:rPr>
        <w:t>siempre que se trate de un bien sujeto a registro, la fusión sólo dará o transferirá la posesión efectiva cuando se verifique este procedimiento</w:t>
      </w:r>
      <w:r w:rsidRPr="00E67622">
        <w:rPr>
          <w:rFonts w:ascii="Segoe UI" w:eastAsia="Times New Roman" w:hAnsi="Segoe UI" w:cs="Segoe UI"/>
          <w:color w:val="000000"/>
          <w:kern w:val="0"/>
          <w:sz w:val="21"/>
          <w:szCs w:val="21"/>
          <w:lang w:eastAsia="es-CO"/>
          <w14:ligatures w14:val="none"/>
        </w:rPr>
        <w:t>” (subrayado fuera de texto).</w:t>
      </w:r>
    </w:p>
    <w:p w14:paraId="61B799A6"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B8E5E5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Así las cosas, para efectos de la transferencia (cesión) de las facturas electrónicas de venta que tuviera registradas en el RADIAN la sociedad absorbida será menester atender lo señalado en el Decreto 1074 de 2015, en particular su Capítulo 53 (De la circulación de la factura electrónica como título valor), en el que se hace referencia al “endoso electrónico del tenedor legítimo”</w:t>
      </w:r>
      <w:hyperlink r:id="rId20" w:anchor="cite_note-9" w:history="1">
        <w:r w:rsidRPr="00E67622">
          <w:rPr>
            <w:rFonts w:ascii="Segoe UI" w:eastAsia="Times New Roman" w:hAnsi="Segoe UI" w:cs="Segoe UI"/>
            <w:color w:val="0645AD"/>
            <w:kern w:val="0"/>
            <w:sz w:val="21"/>
            <w:szCs w:val="21"/>
            <w:vertAlign w:val="superscript"/>
            <w:lang w:eastAsia="es-CO"/>
            <w14:ligatures w14:val="none"/>
          </w:rPr>
          <w:t>9</w:t>
        </w:r>
      </w:hyperlink>
      <w:r w:rsidRPr="00E67622">
        <w:rPr>
          <w:rFonts w:ascii="Segoe UI" w:eastAsia="Times New Roman" w:hAnsi="Segoe UI" w:cs="Segoe UI"/>
          <w:color w:val="000000"/>
          <w:kern w:val="0"/>
          <w:sz w:val="21"/>
          <w:szCs w:val="21"/>
          <w:lang w:eastAsia="es-CO"/>
          <w14:ligatures w14:val="none"/>
        </w:rPr>
        <w:t>.</w:t>
      </w:r>
    </w:p>
    <w:p w14:paraId="7FC695D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006FF9B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1" w:tgtFrame="_blank" w:history="1">
        <w:r w:rsidRPr="00E67622">
          <w:rPr>
            <w:rFonts w:ascii="Segoe UI" w:eastAsia="Times New Roman" w:hAnsi="Segoe UI" w:cs="Segoe UI"/>
            <w:color w:val="0645AD"/>
            <w:kern w:val="0"/>
            <w:sz w:val="21"/>
            <w:szCs w:val="21"/>
            <w:u w:val="single"/>
            <w:lang w:eastAsia="es-CO"/>
            <w14:ligatures w14:val="none"/>
          </w:rPr>
          <w:t>https://normograma.dian.gov.co/dian/</w:t>
        </w:r>
      </w:hyperlink>
      <w:r w:rsidRPr="00E67622">
        <w:rPr>
          <w:rFonts w:ascii="Segoe UI" w:eastAsia="Times New Roman" w:hAnsi="Segoe UI" w:cs="Segoe UI"/>
          <w:color w:val="000000"/>
          <w:kern w:val="0"/>
          <w:sz w:val="21"/>
          <w:szCs w:val="21"/>
          <w:lang w:eastAsia="es-CO"/>
          <w14:ligatures w14:val="none"/>
        </w:rPr>
        <w:t>.</w:t>
      </w:r>
    </w:p>
    <w:p w14:paraId="62CC487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520596D0"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Atentamente,</w:t>
      </w:r>
    </w:p>
    <w:p w14:paraId="3B777FBB"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26BFE6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340C7F1A"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ALFREDO RAMÍREZ CASTAÑEDA</w:t>
      </w:r>
    </w:p>
    <w:p w14:paraId="5E74EAAD"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Subdirector de Normativa y Doctrina</w:t>
      </w:r>
    </w:p>
    <w:p w14:paraId="465BCDB5"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Dirección de Gestión Jurídica</w:t>
      </w:r>
    </w:p>
    <w:p w14:paraId="4AEF70F2"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U.A.E. Dirección de Impuestos y Aduanas Nacionales – DIAN</w:t>
      </w:r>
    </w:p>
    <w:p w14:paraId="5ECCC5BC" w14:textId="77777777" w:rsidR="00E67622" w:rsidRPr="00E67622" w:rsidRDefault="00E67622" w:rsidP="00E67622">
      <w:pPr>
        <w:spacing w:after="0" w:line="240" w:lineRule="auto"/>
        <w:jc w:val="both"/>
        <w:rPr>
          <w:rFonts w:ascii="Segoe UI" w:eastAsia="Times New Roman" w:hAnsi="Segoe UI" w:cs="Segoe UI"/>
          <w:color w:val="000000"/>
          <w:kern w:val="0"/>
          <w:sz w:val="21"/>
          <w:szCs w:val="21"/>
          <w:lang w:eastAsia="es-CO"/>
          <w14:ligatures w14:val="none"/>
        </w:rPr>
      </w:pPr>
      <w:r w:rsidRPr="00E67622">
        <w:rPr>
          <w:rFonts w:ascii="Segoe UI" w:eastAsia="Times New Roman" w:hAnsi="Segoe UI" w:cs="Segoe UI"/>
          <w:color w:val="000000"/>
          <w:kern w:val="0"/>
          <w:sz w:val="21"/>
          <w:szCs w:val="21"/>
          <w:lang w:eastAsia="es-CO"/>
          <w14:ligatures w14:val="none"/>
        </w:rPr>
        <w:t> </w:t>
      </w:r>
    </w:p>
    <w:p w14:paraId="70CAA49F" w14:textId="77777777" w:rsidR="00E67622" w:rsidRPr="00E67622" w:rsidRDefault="00E67622" w:rsidP="00E6762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E67622">
        <w:rPr>
          <w:rFonts w:ascii="Segoe UI" w:eastAsia="Times New Roman" w:hAnsi="Segoe UI" w:cs="Segoe UI"/>
          <w:b/>
          <w:bCs/>
          <w:color w:val="000000"/>
          <w:kern w:val="0"/>
          <w:sz w:val="21"/>
          <w:szCs w:val="21"/>
          <w:lang w:eastAsia="es-CO"/>
          <w14:ligatures w14:val="none"/>
        </w:rPr>
        <w:t>Notas al pie</w:t>
      </w:r>
    </w:p>
    <w:p w14:paraId="39418F9A" w14:textId="77777777" w:rsidR="00E67622" w:rsidRDefault="00E67622" w:rsidP="00E67622">
      <w:pPr>
        <w:shd w:val="clear" w:color="auto" w:fill="FFFFFF"/>
        <w:spacing w:before="100" w:beforeAutospacing="1" w:after="100" w:afterAutospacing="1" w:line="240" w:lineRule="auto"/>
        <w:ind w:left="502"/>
        <w:jc w:val="both"/>
        <w:rPr>
          <w:rFonts w:ascii="Segoe UI" w:eastAsia="Times New Roman" w:hAnsi="Segoe UI" w:cs="Segoe UI"/>
          <w:color w:val="000000"/>
          <w:kern w:val="0"/>
          <w:sz w:val="21"/>
          <w:szCs w:val="21"/>
          <w:lang w:eastAsia="es-CO"/>
          <w14:ligatures w14:val="none"/>
        </w:rPr>
      </w:pPr>
    </w:p>
    <w:p w14:paraId="559B1169" w14:textId="763247BE" w:rsidR="00E67622" w:rsidRPr="00E67622" w:rsidRDefault="00E67622" w:rsidP="00E67622">
      <w:pPr>
        <w:shd w:val="clear" w:color="auto" w:fill="FFFFFF"/>
        <w:spacing w:before="100" w:beforeAutospacing="1" w:after="100" w:afterAutospacing="1" w:line="240" w:lineRule="auto"/>
        <w:ind w:left="502"/>
        <w:jc w:val="both"/>
        <w:rPr>
          <w:rFonts w:ascii="Segoe UI" w:eastAsia="Times New Roman" w:hAnsi="Segoe UI" w:cs="Segoe UI"/>
          <w:color w:val="000000"/>
          <w:kern w:val="0"/>
          <w:sz w:val="21"/>
          <w:szCs w:val="21"/>
          <w:lang w:eastAsia="es-CO"/>
          <w14:ligatures w14:val="none"/>
        </w:rPr>
      </w:pPr>
      <w:r>
        <w:rPr>
          <w:rFonts w:ascii="Segoe UI" w:eastAsia="Times New Roman" w:hAnsi="Segoe UI" w:cs="Segoe UI"/>
          <w:color w:val="000000"/>
          <w:kern w:val="0"/>
          <w:sz w:val="21"/>
          <w:szCs w:val="21"/>
          <w:lang w:eastAsia="es-CO"/>
          <w14:ligatures w14:val="none"/>
        </w:rPr>
        <w:t>_____________________________________________________________________________________________________</w:t>
      </w:r>
    </w:p>
    <w:p w14:paraId="65222DC7" w14:textId="609D8462"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1"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6B431AEF"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2"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086D3565"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3"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Cfr. artículo 429 del Estatuto Tributario.</w:t>
      </w:r>
    </w:p>
    <w:p w14:paraId="60A60CD3"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4"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Cfr. artículo 600 del Estatuto Tributario.</w:t>
      </w:r>
    </w:p>
    <w:p w14:paraId="5D46F023"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5"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Obligación de expedir factura.</w:t>
      </w:r>
    </w:p>
    <w:p w14:paraId="057767BA"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6"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Casos en los cuales no se requiere la expedición de factura.</w:t>
      </w:r>
    </w:p>
    <w:p w14:paraId="50D30B75"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7"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Sujetos no obligados a expedir factura de venta y/o documento equivalente.</w:t>
      </w:r>
    </w:p>
    <w:p w14:paraId="4B6B6CE2"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8"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ARTÍCULO 4o. INFORMACIÓN Y CONTENIDO DEL DOCUMENTO SOPORTE EN ADQUISICIONES EFECTUADAS A SUJETOS NO OBLIGADOS A EXPEDIR FACTURA DE VENTA O DOCUMENTO EQUIVALENTE. El documento soporte en adquisiciones efectuadas a sujetos no obligados a expedir factura de venta o documento equivalente deberá cumplir con los requisitos previstos en los artículos 1.6.1.4.12. del Decreto 1625 de 2016, Único Reglamentario en Materia Tributaria, así:</w:t>
      </w:r>
    </w:p>
    <w:p w14:paraId="733CEAB9" w14:textId="77777777" w:rsidR="00E67622" w:rsidRPr="00E67622" w:rsidRDefault="00E67622" w:rsidP="00E67622">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9" w:tooltip="Volver arriba" w:history="1">
        <w:r w:rsidRPr="00E67622">
          <w:rPr>
            <w:rFonts w:ascii="Segoe UI" w:eastAsia="Times New Roman" w:hAnsi="Segoe UI" w:cs="Segoe UI"/>
            <w:color w:val="0645AD"/>
            <w:kern w:val="0"/>
            <w:sz w:val="21"/>
            <w:szCs w:val="21"/>
            <w:u w:val="single"/>
            <w:lang w:eastAsia="es-CO"/>
            <w14:ligatures w14:val="none"/>
          </w:rPr>
          <w:t>↑</w:t>
        </w:r>
      </w:hyperlink>
      <w:r w:rsidRPr="00E67622">
        <w:rPr>
          <w:rFonts w:ascii="Segoe UI" w:eastAsia="Times New Roman" w:hAnsi="Segoe UI" w:cs="Segoe UI"/>
          <w:color w:val="000000"/>
          <w:kern w:val="0"/>
          <w:sz w:val="21"/>
          <w:szCs w:val="21"/>
          <w:lang w:eastAsia="es-CO"/>
          <w14:ligatures w14:val="none"/>
        </w:rPr>
        <w:t> Cfr. artículo 9° de la Resolución 85 de 2022 sobre eventos que se registran en el RADIAN.</w:t>
      </w:r>
    </w:p>
    <w:p w14:paraId="1C238E5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F54BD"/>
    <w:multiLevelType w:val="multilevel"/>
    <w:tmpl w:val="58DEACE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23701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22"/>
    <w:rsid w:val="000F3837"/>
    <w:rsid w:val="001E311E"/>
    <w:rsid w:val="00434AE6"/>
    <w:rsid w:val="005D25EE"/>
    <w:rsid w:val="007F5CC8"/>
    <w:rsid w:val="008779BE"/>
    <w:rsid w:val="00E6762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A3FB"/>
  <w15:chartTrackingRefBased/>
  <w15:docId w15:val="{A26B6DF6-0991-487B-96BB-F508E88B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2457">
      <w:bodyDiv w:val="1"/>
      <w:marLeft w:val="0"/>
      <w:marRight w:val="0"/>
      <w:marTop w:val="0"/>
      <w:marBottom w:val="0"/>
      <w:divBdr>
        <w:top w:val="none" w:sz="0" w:space="0" w:color="auto"/>
        <w:left w:val="none" w:sz="0" w:space="0" w:color="auto"/>
        <w:bottom w:val="none" w:sz="0" w:space="0" w:color="auto"/>
        <w:right w:val="none" w:sz="0" w:space="0" w:color="auto"/>
      </w:divBdr>
    </w:div>
    <w:div w:id="21257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www.ceta.org.co/html/vista_de_un_articulo.asp?Norma=755" TargetMode="External"/><Relationship Id="rId18" Type="http://schemas.openxmlformats.org/officeDocument/2006/relationships/hyperlink" Target="https://www.ceta.org.co/html/vista_de_un_documento.asp?DocumentoID=50675" TargetMode="External"/><Relationship Id="rId26" Type="http://schemas.openxmlformats.org/officeDocument/2006/relationships/hyperlink" Target="https://www.ceta.org.co/html/vista_de_un_documento.asp?DocumentoID=50675" TargetMode="External"/><Relationship Id="rId3" Type="http://schemas.openxmlformats.org/officeDocument/2006/relationships/settings" Target="settings.xml"/><Relationship Id="rId21" Type="http://schemas.openxmlformats.org/officeDocument/2006/relationships/hyperlink" Target="https://normograma.dian.gov.co/dian/" TargetMode="Externa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documento.asp?DocumentoID=50675" TargetMode="External"/><Relationship Id="rId17" Type="http://schemas.openxmlformats.org/officeDocument/2006/relationships/hyperlink" Target="https://www.ceta.org.co/html/vista_de_un_documento.asp?DocumentoID=50675" TargetMode="External"/><Relationship Id="rId25" Type="http://schemas.openxmlformats.org/officeDocument/2006/relationships/hyperlink" Target="https://www.ceta.org.co/html/vista_de_un_documento.asp?DocumentoID=50675"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0675" TargetMode="External"/><Relationship Id="rId20" Type="http://schemas.openxmlformats.org/officeDocument/2006/relationships/hyperlink" Target="https://www.ceta.org.co/html/vista_de_un_documento.asp?DocumentoID=50675" TargetMode="External"/><Relationship Id="rId29" Type="http://schemas.openxmlformats.org/officeDocument/2006/relationships/hyperlink" Target="https://www.ceta.org.co/html/vista_de_un_documento.asp?DocumentoID=50675"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0675" TargetMode="External"/><Relationship Id="rId11" Type="http://schemas.openxmlformats.org/officeDocument/2006/relationships/hyperlink" Target="https://www.ceta.org.co/html/vista_de_un_documento.asp?DocumentoID=50675" TargetMode="External"/><Relationship Id="rId24" Type="http://schemas.openxmlformats.org/officeDocument/2006/relationships/hyperlink" Target="https://www.ceta.org.co/html/vista_de_un_documento.asp?DocumentoID=50675" TargetMode="External"/><Relationship Id="rId32" Type="http://schemas.openxmlformats.org/officeDocument/2006/relationships/theme" Target="theme/theme1.xml"/><Relationship Id="rId5" Type="http://schemas.openxmlformats.org/officeDocument/2006/relationships/hyperlink" Target="https://www.ceta.org.co/html/vista_de_un_documento.asp?DocumentoID=50675" TargetMode="External"/><Relationship Id="rId15" Type="http://schemas.openxmlformats.org/officeDocument/2006/relationships/hyperlink" Target="https://www.ceta.org.co/html/vista_de_un_articulo.asp?Norma=759" TargetMode="External"/><Relationship Id="rId23" Type="http://schemas.openxmlformats.org/officeDocument/2006/relationships/hyperlink" Target="https://www.ceta.org.co/html/vista_de_un_documento.asp?DocumentoID=50675" TargetMode="External"/><Relationship Id="rId28" Type="http://schemas.openxmlformats.org/officeDocument/2006/relationships/hyperlink" Target="https://www.ceta.org.co/html/vista_de_un_documento.asp?DocumentoID=50675" TargetMode="External"/><Relationship Id="rId10" Type="http://schemas.openxmlformats.org/officeDocument/2006/relationships/hyperlink" Target="https://www.ceta.org.co/html/vista_de_un_articulo.asp?Norma=758" TargetMode="External"/><Relationship Id="rId19" Type="http://schemas.openxmlformats.org/officeDocument/2006/relationships/hyperlink" Target="https://www.ceta.org.co/html/vista_de_un_articulo.asp?Norma=75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documento.asp?DocumentoID=50675" TargetMode="External"/><Relationship Id="rId22" Type="http://schemas.openxmlformats.org/officeDocument/2006/relationships/hyperlink" Target="https://www.ceta.org.co/html/vista_de_un_documento.asp?DocumentoID=50675" TargetMode="External"/><Relationship Id="rId27" Type="http://schemas.openxmlformats.org/officeDocument/2006/relationships/hyperlink" Target="https://www.ceta.org.co/html/vista_de_un_documento.asp?DocumentoID=50675" TargetMode="External"/><Relationship Id="rId30" Type="http://schemas.openxmlformats.org/officeDocument/2006/relationships/hyperlink" Target="https://www.ceta.org.co/html/vista_de_un_documento.asp?DocumentoID=506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3029</Words>
  <Characters>16665</Characters>
  <Application>Microsoft Office Word</Application>
  <DocSecurity>0</DocSecurity>
  <Lines>138</Lines>
  <Paragraphs>39</Paragraphs>
  <ScaleCrop>false</ScaleCrop>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2024-01-04T20:27:00Z</dcterms:created>
  <dcterms:modified xsi:type="dcterms:W3CDTF">2024-01-04T20:29:00Z</dcterms:modified>
</cp:coreProperties>
</file>