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BAE4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center"/>
        <w:rPr>
          <w:highlight w:val="yellow"/>
        </w:rPr>
      </w:pPr>
      <w:r w:rsidRPr="00992CD7">
        <w:rPr>
          <w:b/>
          <w:bCs/>
          <w:highlight w:val="yellow"/>
        </w:rPr>
        <w:t>CONCEPTO 1243 DEL 29 DE SEPTIEMBRE DE 2022</w:t>
      </w:r>
    </w:p>
    <w:p w14:paraId="4D059B9D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center"/>
      </w:pPr>
      <w:r w:rsidRPr="00992CD7">
        <w:rPr>
          <w:b/>
          <w:bCs/>
          <w:highlight w:val="yellow"/>
        </w:rPr>
        <w:t>DIRECCIÓN DE IMPUESTOS Y ADUANAS NACIONALES</w:t>
      </w:r>
    </w:p>
    <w:p w14:paraId="6B2FA741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rPr>
          <w:b/>
          <w:bCs/>
        </w:rPr>
        <w:t> </w:t>
      </w:r>
    </w:p>
    <w:p w14:paraId="1E3064EC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Bogotá, D.C.</w:t>
      </w:r>
    </w:p>
    <w:p w14:paraId="419C7266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 </w:t>
      </w:r>
    </w:p>
    <w:p w14:paraId="29DD8388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  <w:rPr>
          <w:highlight w:val="yellow"/>
        </w:rPr>
      </w:pPr>
      <w:r w:rsidRPr="00992CD7">
        <w:rPr>
          <w:b/>
          <w:bCs/>
          <w:highlight w:val="yellow"/>
        </w:rPr>
        <w:t>Tema:                      </w:t>
      </w:r>
      <w:r w:rsidRPr="00992CD7">
        <w:rPr>
          <w:highlight w:val="yellow"/>
        </w:rPr>
        <w:t>Impuesto sobre la renta y complementarios</w:t>
      </w:r>
    </w:p>
    <w:p w14:paraId="320BAF08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2832" w:hanging="2832"/>
        <w:jc w:val="both"/>
        <w:rPr>
          <w:highlight w:val="yellow"/>
        </w:rPr>
      </w:pPr>
      <w:r w:rsidRPr="00992CD7">
        <w:rPr>
          <w:b/>
          <w:bCs/>
          <w:highlight w:val="yellow"/>
        </w:rPr>
        <w:t>Descriptores:           </w:t>
      </w:r>
      <w:r w:rsidRPr="00992CD7">
        <w:rPr>
          <w:highlight w:val="yellow"/>
        </w:rPr>
        <w:t>Convenio para evitar la Doble Imposición suscrito entre Colombia y Francia</w:t>
      </w:r>
    </w:p>
    <w:p w14:paraId="05468958" w14:textId="77777777" w:rsidR="00992CD7" w:rsidRPr="00932933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  <w:r w:rsidRPr="00932933">
        <w:rPr>
          <w:sz w:val="28"/>
          <w:szCs w:val="28"/>
          <w:highlight w:val="cyan"/>
        </w:rPr>
        <w:t>Fuentes formales:    Ley 2061 de 2020</w:t>
      </w:r>
    </w:p>
    <w:p w14:paraId="7E0FBAB9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 </w:t>
      </w:r>
    </w:p>
    <w:p w14:paraId="3C7B4F88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Cordial saludo,</w:t>
      </w:r>
    </w:p>
    <w:p w14:paraId="61A6E5DA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 </w:t>
      </w:r>
    </w:p>
    <w:p w14:paraId="5ACCC70B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6C79EFCD" w14:textId="6DA850FD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Mediante el radicado de la referencia, el peticionario consulta textualmente lo siguiente:</w:t>
      </w:r>
    </w:p>
    <w:p w14:paraId="1CF183CF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92CD7">
        <w:rPr>
          <w:i/>
          <w:iCs/>
        </w:rPr>
        <w:t xml:space="preserve">“¿De acuerdo con la ley 2061 de (sic) el2021 (sic), el CDI entre Colombia y Francia entró en vigor el pasado 01 de enero de 2022, sin embargo, el artículo 30 del convenio indica que las disposiciones </w:t>
      </w:r>
      <w:proofErr w:type="gramStart"/>
      <w:r w:rsidRPr="00992CD7">
        <w:rPr>
          <w:i/>
          <w:iCs/>
        </w:rPr>
        <w:t>del mismo</w:t>
      </w:r>
      <w:proofErr w:type="gramEnd"/>
      <w:r w:rsidRPr="00992CD7">
        <w:rPr>
          <w:i/>
          <w:iCs/>
        </w:rPr>
        <w:t xml:space="preserve"> surtirán efecto después de un año? Es decir, que lo acordado en el convenio comenzará a regir a partir del 01 de enero de 2023 (tarifas de retención en la fuente por renta).</w:t>
      </w:r>
    </w:p>
    <w:p w14:paraId="3FD141EE" w14:textId="3B339709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92CD7">
        <w:rPr>
          <w:i/>
          <w:iCs/>
        </w:rPr>
        <w:t>Dado lo anterior, agradezco por favor su ayuda con la siguiente confirmación:</w:t>
      </w:r>
    </w:p>
    <w:p w14:paraId="20006183" w14:textId="15EDAE98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92CD7">
        <w:rPr>
          <w:i/>
          <w:iCs/>
        </w:rPr>
        <w:t>En la presentación de la declaración de retención en la fuente (formulario 350), cuando se realicen pagos a Francia, ¿Cómo se deben reportar estas operaciones? ¿Las operaciones deben ser reportadas en las casillas 50 y 75 del formulario “Pagos o abonos en cuenta al exterior a países sin convenio” o deben reportarse en las casillas 51 y 76 del formulario “Pagos o abonos en cuenta al exterior a países con convenio”?</w:t>
      </w:r>
    </w:p>
    <w:p w14:paraId="49A99224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92CD7">
        <w:rPr>
          <w:i/>
          <w:iCs/>
        </w:rPr>
        <w:t xml:space="preserve">Esta inquietud se basa en que, si bien la tarifa de retención no tiene discusión (20%), la formalidad en la presentación ha generado inquietudes; ya que, si bien el Convenio entró en vigor el pasado 01 de enero de 2022, las disposiciones </w:t>
      </w:r>
      <w:proofErr w:type="gramStart"/>
      <w:r w:rsidRPr="00992CD7">
        <w:rPr>
          <w:i/>
          <w:iCs/>
        </w:rPr>
        <w:t>del mismo</w:t>
      </w:r>
      <w:proofErr w:type="gramEnd"/>
      <w:r w:rsidRPr="00992CD7">
        <w:rPr>
          <w:i/>
          <w:iCs/>
        </w:rPr>
        <w:t xml:space="preserve"> serán aplicables en </w:t>
      </w:r>
      <w:r w:rsidRPr="00992CD7">
        <w:rPr>
          <w:i/>
          <w:iCs/>
        </w:rPr>
        <w:lastRenderedPageBreak/>
        <w:t>el año siguiente. Por eso se enfatiza en que, si estos pagos deben reportarse en las casillas de países con convenio, o sin convenio”.</w:t>
      </w:r>
    </w:p>
    <w:p w14:paraId="1AC4331D" w14:textId="11BA9D4D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Sobre el particular, las consideraciones de este Despacho son las siguientes:</w:t>
      </w:r>
    </w:p>
    <w:p w14:paraId="291196A5" w14:textId="77777777" w:rsid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El artículo 30 del Convenio para Evitar la Doble Imposición suscrito entre Colombia y Francia (en adelante el “CDI” o el “Convenio”), establece:</w:t>
      </w:r>
    </w:p>
    <w:p w14:paraId="7790EDA5" w14:textId="411A4D3B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rPr>
          <w:i/>
          <w:iCs/>
        </w:rPr>
        <w:t> </w:t>
      </w:r>
    </w:p>
    <w:p w14:paraId="0DF9DC10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92CD7">
        <w:rPr>
          <w:b/>
          <w:bCs/>
          <w:i/>
          <w:iCs/>
        </w:rPr>
        <w:t>“ARTICULO 30</w:t>
      </w:r>
    </w:p>
    <w:p w14:paraId="44399EA8" w14:textId="6F927179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92CD7">
        <w:rPr>
          <w:b/>
          <w:bCs/>
          <w:i/>
          <w:iCs/>
        </w:rPr>
        <w:t>ENTRADA EN VIGOR</w:t>
      </w:r>
      <w:r w:rsidRPr="00992CD7">
        <w:rPr>
          <w:i/>
          <w:iCs/>
        </w:rPr>
        <w:t> </w:t>
      </w:r>
    </w:p>
    <w:p w14:paraId="17BA5039" w14:textId="60182079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1068" w:hanging="360"/>
        <w:jc w:val="both"/>
      </w:pPr>
      <w:r w:rsidRPr="00992CD7">
        <w:rPr>
          <w:i/>
          <w:iCs/>
        </w:rPr>
        <w:t>1.   Cada uno de los Estados Contratantes notificará al otro el cumplimiento de los procedimientos requeridos en lo que le concierne para la entrada en vigor del presente Convenio. </w:t>
      </w:r>
      <w:r w:rsidRPr="00992CD7">
        <w:rPr>
          <w:rStyle w:val="cuerpodeltexto310ptonegrita"/>
        </w:rPr>
        <w:t>Este Convenio entrará en vigor el primer día del mes siguiente al día de recepción de la última de dichas notificaciones. Las disposiciones del presente Convenio surtirán efecto</w:t>
      </w:r>
      <w:r w:rsidRPr="00992CD7">
        <w:rPr>
          <w:i/>
          <w:iCs/>
        </w:rPr>
        <w:t>:</w:t>
      </w:r>
      <w:r w:rsidRPr="00992CD7">
        <w:rPr>
          <w:rStyle w:val="cuerpodeltexto11"/>
        </w:rPr>
        <w:t> </w:t>
      </w:r>
    </w:p>
    <w:p w14:paraId="7A718F0D" w14:textId="18A2A2FE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1068" w:hanging="360"/>
        <w:jc w:val="both"/>
      </w:pPr>
      <w:r w:rsidRPr="00992CD7">
        <w:rPr>
          <w:i/>
          <w:iCs/>
        </w:rPr>
        <w:t>a)   </w:t>
      </w:r>
      <w:r w:rsidRPr="00992CD7">
        <w:rPr>
          <w:rStyle w:val="cuerpodeltexto11"/>
        </w:rPr>
        <w:t>con respecto a los impuestos sobre la renta que son percibidos por vía de retención en la fuente, a las sumas gravables después del año calendario en el curso del cual el Convenio haya entrado en vigor</w:t>
      </w:r>
      <w:r w:rsidRPr="00992CD7">
        <w:rPr>
          <w:rStyle w:val="cuerpodeltexto1195ptosinnegrita"/>
        </w:rPr>
        <w:t>;</w:t>
      </w:r>
      <w:r w:rsidRPr="00992CD7">
        <w:rPr>
          <w:rStyle w:val="cuerpodeltexto11"/>
        </w:rPr>
        <w:t> </w:t>
      </w:r>
    </w:p>
    <w:p w14:paraId="4E7AF28E" w14:textId="3253A65E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1068" w:hanging="360"/>
        <w:jc w:val="both"/>
      </w:pPr>
      <w:r w:rsidRPr="00992CD7">
        <w:rPr>
          <w:i/>
          <w:iCs/>
        </w:rPr>
        <w:t>b)   </w:t>
      </w:r>
      <w:r w:rsidRPr="00992CD7">
        <w:rPr>
          <w:rStyle w:val="cuerpodeltexto11"/>
        </w:rPr>
        <w:t>con respecto a los impuestos sobre la renta que no son percibidos por vía de retención en la fuente, a las rentas relativas a todo el año calendario o ejercicio contable, según sea el caso, que haya comenzado después del año calendario en el curso del cual el Convenio haya entrado en vigor</w:t>
      </w:r>
      <w:r w:rsidRPr="00992CD7">
        <w:rPr>
          <w:rStyle w:val="cuerpodeltexto1195ptosinnegrita"/>
        </w:rPr>
        <w:t>.</w:t>
      </w:r>
      <w:r w:rsidRPr="00992CD7">
        <w:rPr>
          <w:rStyle w:val="cuerpodeltexto2cursiva"/>
        </w:rPr>
        <w:t> </w:t>
      </w:r>
    </w:p>
    <w:p w14:paraId="5DB81DDB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ind w:left="708"/>
        <w:jc w:val="both"/>
      </w:pPr>
      <w:r w:rsidRPr="00992CD7">
        <w:rPr>
          <w:rStyle w:val="cuerpodeltexto2cursiva"/>
        </w:rPr>
        <w:t>(...)”.</w:t>
      </w:r>
      <w:r w:rsidRPr="00992CD7">
        <w:rPr>
          <w:i/>
          <w:iCs/>
        </w:rPr>
        <w:t> </w:t>
      </w:r>
      <w:r w:rsidRPr="00992CD7">
        <w:t>(Subrayado y negrilla fuera de texto)</w:t>
      </w:r>
    </w:p>
    <w:p w14:paraId="6AC1BF8F" w14:textId="10D3BA0E" w:rsidR="00992CD7" w:rsidRPr="00073B60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32"/>
          <w:szCs w:val="32"/>
          <w:u w:val="single"/>
        </w:rPr>
      </w:pPr>
      <w:r w:rsidRPr="00073B60">
        <w:rPr>
          <w:b/>
          <w:bCs/>
          <w:sz w:val="32"/>
          <w:szCs w:val="32"/>
          <w:highlight w:val="yellow"/>
        </w:rPr>
        <w:t xml:space="preserve">Así, teniendo en cuenta que el 23 de diciembre de 2021 se completó el canje de notas del Convenio, el mismo entró en vigor el 1° de enero del 2022. </w:t>
      </w:r>
      <w:r w:rsidRPr="00073B60">
        <w:rPr>
          <w:b/>
          <w:bCs/>
          <w:sz w:val="32"/>
          <w:szCs w:val="32"/>
          <w:highlight w:val="yellow"/>
          <w:u w:val="single"/>
        </w:rPr>
        <w:t>No obstante, teniendo en cuenta el artículo 30 arriba citado, </w:t>
      </w:r>
      <w:r w:rsidRPr="00073B60">
        <w:rPr>
          <w:rStyle w:val="cuerpodeltexto2"/>
          <w:b/>
          <w:bCs/>
          <w:sz w:val="32"/>
          <w:szCs w:val="32"/>
          <w:highlight w:val="yellow"/>
          <w:u w:val="single"/>
        </w:rPr>
        <w:t>sus disposiciones surtirán efecto a partir del 1° de enero del 2023</w:t>
      </w:r>
      <w:r w:rsidRPr="00073B60">
        <w:rPr>
          <w:b/>
          <w:bCs/>
          <w:sz w:val="32"/>
          <w:szCs w:val="32"/>
          <w:highlight w:val="yellow"/>
          <w:u w:val="single"/>
        </w:rPr>
        <w:t>.</w:t>
      </w:r>
    </w:p>
    <w:p w14:paraId="6AE05254" w14:textId="6D5117E1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Así las cosas, aun cuando el Convenio suscrito con Francia se encuentra en vigor desde el 1° de enero de 2022, toda vez que solo a partir del 1° de enero de 2023 sus disposiciones surten efecto, será a partir de esta última fecha que se entiende que el Convenio se encuentra “vigente” </w:t>
      </w:r>
      <w:r w:rsidRPr="00992CD7">
        <w:rPr>
          <w:rStyle w:val="cuerpodeltexto2"/>
        </w:rPr>
        <w:t>para efectos de lo aquí consultado</w:t>
      </w:r>
      <w:r w:rsidRPr="00992CD7">
        <w:t>.</w:t>
      </w:r>
    </w:p>
    <w:p w14:paraId="70F2AC29" w14:textId="453BC1D5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</w:rPr>
      </w:pPr>
      <w:r w:rsidRPr="00992CD7">
        <w:rPr>
          <w:b/>
          <w:bCs/>
        </w:rPr>
        <w:t xml:space="preserve">Así, teniendo en cuenta que los renglones mencionados (i.e. renglones 51 y 76) encuentran su objeto en brindar detalle de información para el control cuando intervienen tarifas de retención distintas a las generales y, </w:t>
      </w:r>
      <w:r w:rsidRPr="00992CD7">
        <w:rPr>
          <w:b/>
          <w:bCs/>
          <w:highlight w:val="yellow"/>
        </w:rPr>
        <w:t xml:space="preserve">teniendo en cuenta que solo a partir del 1° de enero de 2023 podrán aplicarse las tarifas de retención contenidas en el CDI, será solo a partir de </w:t>
      </w:r>
      <w:r w:rsidRPr="00992CD7">
        <w:rPr>
          <w:b/>
          <w:bCs/>
          <w:highlight w:val="yellow"/>
        </w:rPr>
        <w:lastRenderedPageBreak/>
        <w:t>dicho momento que podrá informarse en los renglones correspondientes a </w:t>
      </w:r>
      <w:r w:rsidRPr="00992CD7">
        <w:rPr>
          <w:rStyle w:val="cuerpodeltexto2cursiva"/>
          <w:b/>
          <w:bCs/>
          <w:highlight w:val="yellow"/>
        </w:rPr>
        <w:t>“Pagos o abonos en cuenta al exterior a países con Convenio vigente”.</w:t>
      </w:r>
    </w:p>
    <w:p w14:paraId="2B928C7C" w14:textId="77777777" w:rsid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</w:p>
    <w:p w14:paraId="59C57455" w14:textId="22CCF2FD" w:rsid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Atentamente,</w:t>
      </w:r>
    </w:p>
    <w:p w14:paraId="40BD6415" w14:textId="5C7A456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rPr>
          <w:b/>
          <w:bCs/>
        </w:rPr>
        <w:t>NICOLÁS BERNAL ABELLA</w:t>
      </w:r>
    </w:p>
    <w:p w14:paraId="3CB55F15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Subdirector de Normativa y Doctrina (E)</w:t>
      </w:r>
    </w:p>
    <w:p w14:paraId="150D8039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Dirección de Gestión Jurídica</w:t>
      </w:r>
    </w:p>
    <w:p w14:paraId="41FCCB25" w14:textId="77777777" w:rsidR="00992CD7" w:rsidRPr="00992CD7" w:rsidRDefault="00992CD7" w:rsidP="00992CD7">
      <w:pPr>
        <w:pStyle w:val="Sinespaciado"/>
        <w:shd w:val="clear" w:color="auto" w:fill="FFFFFF"/>
        <w:spacing w:before="0" w:beforeAutospacing="0" w:after="150" w:afterAutospacing="0" w:line="360" w:lineRule="auto"/>
        <w:jc w:val="both"/>
      </w:pPr>
      <w:r w:rsidRPr="00992CD7">
        <w:t>UAE-Dirección de Impuestos y Aduanas Nacionales</w:t>
      </w:r>
    </w:p>
    <w:p w14:paraId="1A0A2C60" w14:textId="0751CFC1" w:rsidR="00992CD7" w:rsidRPr="00992CD7" w:rsidRDefault="00992CD7" w:rsidP="00992CD7">
      <w:pPr>
        <w:pStyle w:val="Sinespaciado"/>
        <w:shd w:val="clear" w:color="auto" w:fill="FFFFFF"/>
        <w:spacing w:before="0" w:beforeAutospacing="0" w:after="0" w:afterAutospacing="0" w:line="360" w:lineRule="auto"/>
        <w:jc w:val="both"/>
      </w:pPr>
      <w:r w:rsidRPr="00992CD7">
        <w:t>Bogotá, D.C.</w:t>
      </w:r>
    </w:p>
    <w:p w14:paraId="689BC5C6" w14:textId="01DB6C95" w:rsidR="00992CD7" w:rsidRPr="00992CD7" w:rsidRDefault="00992CD7" w:rsidP="00992CD7">
      <w:pPr>
        <w:pStyle w:val="Sinespaciado"/>
        <w:shd w:val="clear" w:color="auto" w:fill="FFFFFF"/>
        <w:spacing w:before="0" w:beforeAutospacing="0" w:after="0" w:afterAutospacing="0" w:line="360" w:lineRule="auto"/>
        <w:jc w:val="both"/>
      </w:pPr>
      <w:r w:rsidRPr="00992CD7">
        <w:t>______________________________________________________________________</w:t>
      </w:r>
    </w:p>
    <w:p w14:paraId="16903E6E" w14:textId="77777777" w:rsidR="007F5CC8" w:rsidRPr="00992CD7" w:rsidRDefault="007F5CC8" w:rsidP="00992CD7">
      <w:pPr>
        <w:spacing w:line="360" w:lineRule="auto"/>
        <w:rPr>
          <w:rFonts w:cs="Times New Roman"/>
          <w:szCs w:val="24"/>
        </w:rPr>
      </w:pPr>
    </w:p>
    <w:sectPr w:rsidR="007F5CC8" w:rsidRPr="00992CD7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D7"/>
    <w:rsid w:val="00073B60"/>
    <w:rsid w:val="000F3837"/>
    <w:rsid w:val="001E311E"/>
    <w:rsid w:val="00434AE6"/>
    <w:rsid w:val="007F5CC8"/>
    <w:rsid w:val="008779BE"/>
    <w:rsid w:val="00932933"/>
    <w:rsid w:val="00992CD7"/>
    <w:rsid w:val="00EB5ADB"/>
    <w:rsid w:val="00F5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1D9"/>
  <w15:chartTrackingRefBased/>
  <w15:docId w15:val="{69BB2D7E-00E4-43B2-85B7-D676F5BF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992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992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customStyle="1" w:styleId="cuerpodeltexto310ptonegrita">
    <w:name w:val="cuerpodeltexto310ptonegrita"/>
    <w:basedOn w:val="Fuentedeprrafopredeter"/>
    <w:rsid w:val="00992CD7"/>
  </w:style>
  <w:style w:type="character" w:customStyle="1" w:styleId="cuerpodeltexto11">
    <w:name w:val="cuerpodeltexto11"/>
    <w:basedOn w:val="Fuentedeprrafopredeter"/>
    <w:rsid w:val="00992CD7"/>
  </w:style>
  <w:style w:type="character" w:customStyle="1" w:styleId="cuerpodeltexto1195ptosinnegrita">
    <w:name w:val="cuerpodeltexto1195ptosinnegrita"/>
    <w:basedOn w:val="Fuentedeprrafopredeter"/>
    <w:rsid w:val="00992CD7"/>
  </w:style>
  <w:style w:type="character" w:customStyle="1" w:styleId="cuerpodeltexto2cursiva">
    <w:name w:val="cuerpodeltexto2cursiva"/>
    <w:basedOn w:val="Fuentedeprrafopredeter"/>
    <w:rsid w:val="00992CD7"/>
  </w:style>
  <w:style w:type="character" w:customStyle="1" w:styleId="cuerpodeltexto2">
    <w:name w:val="cuerpodeltexto2"/>
    <w:basedOn w:val="Fuentedeprrafopredeter"/>
    <w:rsid w:val="0099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2</cp:revision>
  <dcterms:created xsi:type="dcterms:W3CDTF">2023-07-21T21:51:00Z</dcterms:created>
  <dcterms:modified xsi:type="dcterms:W3CDTF">2023-07-21T21:51:00Z</dcterms:modified>
</cp:coreProperties>
</file>