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55C3C" w14:textId="77777777" w:rsidR="007F5CC8" w:rsidRPr="00783F46" w:rsidRDefault="007F5CC8" w:rsidP="00783F46">
      <w:pPr>
        <w:spacing w:line="360" w:lineRule="auto"/>
        <w:rPr>
          <w:szCs w:val="24"/>
        </w:rPr>
      </w:pPr>
    </w:p>
    <w:p w14:paraId="201A1F87" w14:textId="77777777" w:rsidR="00783F46" w:rsidRPr="00783F46" w:rsidRDefault="00783F46" w:rsidP="00783F46">
      <w:pPr>
        <w:spacing w:line="360" w:lineRule="auto"/>
        <w:rPr>
          <w:szCs w:val="24"/>
        </w:rPr>
      </w:pPr>
    </w:p>
    <w:p w14:paraId="78BFB8A6" w14:textId="77777777" w:rsidR="00783F46" w:rsidRPr="00783F46" w:rsidRDefault="00783F46" w:rsidP="00783F46">
      <w:pPr>
        <w:spacing w:after="0" w:line="360" w:lineRule="auto"/>
        <w:jc w:val="center"/>
        <w:rPr>
          <w:rFonts w:ascii="Segoe UI" w:eastAsia="Times New Roman" w:hAnsi="Segoe UI" w:cs="Segoe UI"/>
          <w:color w:val="000000"/>
          <w:kern w:val="0"/>
          <w:szCs w:val="24"/>
          <w:lang w:eastAsia="es-CO"/>
          <w14:ligatures w14:val="none"/>
        </w:rPr>
      </w:pPr>
      <w:r w:rsidRPr="00783F46">
        <w:rPr>
          <w:rFonts w:ascii="Segoe UI" w:eastAsia="Times New Roman" w:hAnsi="Segoe UI" w:cs="Segoe UI"/>
          <w:b/>
          <w:bCs/>
          <w:color w:val="000000"/>
          <w:kern w:val="0"/>
          <w:szCs w:val="24"/>
          <w:lang w:eastAsia="es-CO"/>
          <w14:ligatures w14:val="none"/>
        </w:rPr>
        <w:t xml:space="preserve">CONCEPTO </w:t>
      </w:r>
      <w:proofErr w:type="spellStart"/>
      <w:r w:rsidRPr="00783F46">
        <w:rPr>
          <w:rFonts w:ascii="Segoe UI" w:eastAsia="Times New Roman" w:hAnsi="Segoe UI" w:cs="Segoe UI"/>
          <w:b/>
          <w:bCs/>
          <w:color w:val="000000"/>
          <w:kern w:val="0"/>
          <w:szCs w:val="24"/>
          <w:lang w:eastAsia="es-CO"/>
          <w14:ligatures w14:val="none"/>
        </w:rPr>
        <w:t>Nº</w:t>
      </w:r>
      <w:proofErr w:type="spellEnd"/>
      <w:r w:rsidRPr="00783F46">
        <w:rPr>
          <w:rFonts w:ascii="Segoe UI" w:eastAsia="Times New Roman" w:hAnsi="Segoe UI" w:cs="Segoe UI"/>
          <w:b/>
          <w:bCs/>
          <w:color w:val="000000"/>
          <w:kern w:val="0"/>
          <w:szCs w:val="24"/>
          <w:lang w:eastAsia="es-CO"/>
          <w14:ligatures w14:val="none"/>
        </w:rPr>
        <w:t xml:space="preserve"> 1124</w:t>
      </w:r>
    </w:p>
    <w:p w14:paraId="6E1BB50F" w14:textId="77777777" w:rsidR="00783F46" w:rsidRPr="00783F46" w:rsidRDefault="00783F46" w:rsidP="00783F46">
      <w:pPr>
        <w:spacing w:after="0" w:line="360" w:lineRule="auto"/>
        <w:jc w:val="center"/>
        <w:rPr>
          <w:rFonts w:ascii="Segoe UI" w:eastAsia="Times New Roman" w:hAnsi="Segoe UI" w:cs="Segoe UI"/>
          <w:color w:val="000000"/>
          <w:kern w:val="0"/>
          <w:szCs w:val="24"/>
          <w:lang w:eastAsia="es-CO"/>
          <w14:ligatures w14:val="none"/>
        </w:rPr>
      </w:pPr>
      <w:r w:rsidRPr="00783F46">
        <w:rPr>
          <w:rFonts w:ascii="Segoe UI" w:eastAsia="Times New Roman" w:hAnsi="Segoe UI" w:cs="Segoe UI"/>
          <w:b/>
          <w:bCs/>
          <w:color w:val="000000"/>
          <w:kern w:val="0"/>
          <w:szCs w:val="24"/>
          <w:lang w:eastAsia="es-CO"/>
          <w14:ligatures w14:val="none"/>
        </w:rPr>
        <w:t>31-10-2023</w:t>
      </w:r>
    </w:p>
    <w:p w14:paraId="37FE01DA" w14:textId="77777777" w:rsidR="00783F46" w:rsidRPr="00783F46" w:rsidRDefault="00783F46" w:rsidP="00783F46">
      <w:pPr>
        <w:spacing w:after="0" w:line="360" w:lineRule="auto"/>
        <w:jc w:val="center"/>
        <w:rPr>
          <w:rFonts w:ascii="Segoe UI" w:eastAsia="Times New Roman" w:hAnsi="Segoe UI" w:cs="Segoe UI"/>
          <w:color w:val="000000"/>
          <w:kern w:val="0"/>
          <w:szCs w:val="24"/>
          <w:lang w:eastAsia="es-CO"/>
          <w14:ligatures w14:val="none"/>
        </w:rPr>
      </w:pPr>
      <w:r w:rsidRPr="00783F46">
        <w:rPr>
          <w:rFonts w:ascii="Segoe UI" w:eastAsia="Times New Roman" w:hAnsi="Segoe UI" w:cs="Segoe UI"/>
          <w:b/>
          <w:bCs/>
          <w:color w:val="000000"/>
          <w:kern w:val="0"/>
          <w:szCs w:val="24"/>
          <w:lang w:eastAsia="es-CO"/>
          <w14:ligatures w14:val="none"/>
        </w:rPr>
        <w:t>DIAN</w:t>
      </w:r>
    </w:p>
    <w:p w14:paraId="2699D659" w14:textId="77777777" w:rsidR="00783F46" w:rsidRPr="00783F46" w:rsidRDefault="00783F46" w:rsidP="00783F46">
      <w:pPr>
        <w:spacing w:after="0" w:line="360" w:lineRule="auto"/>
        <w:jc w:val="both"/>
        <w:rPr>
          <w:rFonts w:ascii="Segoe UI" w:eastAsia="Times New Roman" w:hAnsi="Segoe UI" w:cs="Segoe UI"/>
          <w:color w:val="000000"/>
          <w:kern w:val="0"/>
          <w:szCs w:val="24"/>
          <w:lang w:eastAsia="es-CO"/>
          <w14:ligatures w14:val="none"/>
        </w:rPr>
      </w:pPr>
      <w:r w:rsidRPr="00783F46">
        <w:rPr>
          <w:rFonts w:ascii="Segoe UI" w:eastAsia="Times New Roman" w:hAnsi="Segoe UI" w:cs="Segoe UI"/>
          <w:color w:val="000000"/>
          <w:kern w:val="0"/>
          <w:szCs w:val="24"/>
          <w:lang w:eastAsia="es-CO"/>
          <w14:ligatures w14:val="none"/>
        </w:rPr>
        <w:t> </w:t>
      </w:r>
    </w:p>
    <w:p w14:paraId="76C0D91D" w14:textId="77777777" w:rsidR="00783F46" w:rsidRPr="00783F46" w:rsidRDefault="00783F46" w:rsidP="00783F46">
      <w:pPr>
        <w:spacing w:after="0" w:line="360" w:lineRule="auto"/>
        <w:jc w:val="both"/>
        <w:rPr>
          <w:rFonts w:ascii="Segoe UI" w:eastAsia="Times New Roman" w:hAnsi="Segoe UI" w:cs="Segoe UI"/>
          <w:color w:val="000000"/>
          <w:kern w:val="0"/>
          <w:szCs w:val="24"/>
          <w:lang w:eastAsia="es-CO"/>
          <w14:ligatures w14:val="none"/>
        </w:rPr>
      </w:pPr>
      <w:r w:rsidRPr="00783F46">
        <w:rPr>
          <w:rFonts w:ascii="Segoe UI" w:eastAsia="Times New Roman" w:hAnsi="Segoe UI" w:cs="Segoe UI"/>
          <w:color w:val="000000"/>
          <w:kern w:val="0"/>
          <w:szCs w:val="24"/>
          <w:lang w:eastAsia="es-CO"/>
          <w14:ligatures w14:val="none"/>
        </w:rPr>
        <w:t> </w:t>
      </w:r>
    </w:p>
    <w:p w14:paraId="5F5623FF" w14:textId="77777777" w:rsidR="00783F46" w:rsidRPr="00783F46" w:rsidRDefault="00783F46" w:rsidP="00783F46">
      <w:pPr>
        <w:spacing w:after="0" w:line="360" w:lineRule="auto"/>
        <w:jc w:val="both"/>
        <w:rPr>
          <w:rFonts w:ascii="Segoe UI" w:eastAsia="Times New Roman" w:hAnsi="Segoe UI" w:cs="Segoe UI"/>
          <w:color w:val="000000"/>
          <w:kern w:val="0"/>
          <w:szCs w:val="24"/>
          <w:lang w:eastAsia="es-CO"/>
          <w14:ligatures w14:val="none"/>
        </w:rPr>
      </w:pPr>
      <w:r w:rsidRPr="00783F46">
        <w:rPr>
          <w:rFonts w:ascii="Segoe UI" w:eastAsia="Times New Roman" w:hAnsi="Segoe UI" w:cs="Segoe UI"/>
          <w:color w:val="000000"/>
          <w:kern w:val="0"/>
          <w:szCs w:val="24"/>
          <w:lang w:eastAsia="es-CO"/>
          <w14:ligatures w14:val="none"/>
        </w:rPr>
        <w:t>100208192-1124</w:t>
      </w:r>
    </w:p>
    <w:p w14:paraId="06AFCE39" w14:textId="77777777" w:rsidR="00783F46" w:rsidRPr="00783F46" w:rsidRDefault="00783F46" w:rsidP="00783F46">
      <w:pPr>
        <w:spacing w:after="0" w:line="360" w:lineRule="auto"/>
        <w:jc w:val="both"/>
        <w:rPr>
          <w:rFonts w:ascii="Segoe UI" w:eastAsia="Times New Roman" w:hAnsi="Segoe UI" w:cs="Segoe UI"/>
          <w:color w:val="000000"/>
          <w:kern w:val="0"/>
          <w:szCs w:val="24"/>
          <w:lang w:eastAsia="es-CO"/>
          <w14:ligatures w14:val="none"/>
        </w:rPr>
      </w:pPr>
      <w:r w:rsidRPr="00783F46">
        <w:rPr>
          <w:rFonts w:ascii="Segoe UI" w:eastAsia="Times New Roman" w:hAnsi="Segoe UI" w:cs="Segoe UI"/>
          <w:color w:val="000000"/>
          <w:kern w:val="0"/>
          <w:szCs w:val="24"/>
          <w:lang w:eastAsia="es-CO"/>
          <w14:ligatures w14:val="none"/>
        </w:rPr>
        <w:t>Bogotá, D.C.</w:t>
      </w:r>
    </w:p>
    <w:p w14:paraId="2187195B" w14:textId="77777777" w:rsidR="00783F46" w:rsidRPr="00783F46" w:rsidRDefault="00783F46" w:rsidP="00783F46">
      <w:pPr>
        <w:spacing w:after="0" w:line="360" w:lineRule="auto"/>
        <w:jc w:val="both"/>
        <w:rPr>
          <w:rFonts w:ascii="Segoe UI" w:eastAsia="Times New Roman" w:hAnsi="Segoe UI" w:cs="Segoe UI"/>
          <w:color w:val="000000"/>
          <w:kern w:val="0"/>
          <w:szCs w:val="24"/>
          <w:lang w:eastAsia="es-CO"/>
          <w14:ligatures w14:val="none"/>
        </w:rPr>
      </w:pPr>
      <w:r w:rsidRPr="00783F46">
        <w:rPr>
          <w:rFonts w:ascii="Segoe UI" w:eastAsia="Times New Roman" w:hAnsi="Segoe UI" w:cs="Segoe UI"/>
          <w:color w:val="000000"/>
          <w:kern w:val="0"/>
          <w:szCs w:val="24"/>
          <w:lang w:eastAsia="es-CO"/>
          <w14:ligatures w14:val="none"/>
        </w:rPr>
        <w:t> </w:t>
      </w:r>
    </w:p>
    <w:p w14:paraId="56E477D2" w14:textId="77777777" w:rsidR="00783F46" w:rsidRPr="00783F46" w:rsidRDefault="00783F46" w:rsidP="00783F46">
      <w:pPr>
        <w:spacing w:after="0" w:line="360" w:lineRule="auto"/>
        <w:jc w:val="both"/>
        <w:rPr>
          <w:rFonts w:ascii="Segoe UI" w:eastAsia="Times New Roman" w:hAnsi="Segoe UI" w:cs="Segoe UI"/>
          <w:color w:val="000000"/>
          <w:kern w:val="0"/>
          <w:szCs w:val="24"/>
          <w:lang w:eastAsia="es-CO"/>
          <w14:ligatures w14:val="none"/>
        </w:rPr>
      </w:pPr>
      <w:r w:rsidRPr="00783F46">
        <w:rPr>
          <w:rFonts w:ascii="Segoe UI" w:eastAsia="Times New Roman" w:hAnsi="Segoe UI" w:cs="Segoe UI"/>
          <w:color w:val="000000"/>
          <w:kern w:val="0"/>
          <w:szCs w:val="24"/>
          <w:lang w:eastAsia="es-CO"/>
          <w14:ligatures w14:val="none"/>
        </w:rPr>
        <w:t>Señores</w:t>
      </w:r>
    </w:p>
    <w:p w14:paraId="15D5A33C" w14:textId="77777777" w:rsidR="00783F46" w:rsidRPr="00783F46" w:rsidRDefault="00783F46" w:rsidP="00783F46">
      <w:pPr>
        <w:spacing w:after="0" w:line="360" w:lineRule="auto"/>
        <w:jc w:val="both"/>
        <w:rPr>
          <w:rFonts w:ascii="Segoe UI" w:eastAsia="Times New Roman" w:hAnsi="Segoe UI" w:cs="Segoe UI"/>
          <w:color w:val="000000"/>
          <w:kern w:val="0"/>
          <w:szCs w:val="24"/>
          <w:lang w:eastAsia="es-CO"/>
          <w14:ligatures w14:val="none"/>
        </w:rPr>
      </w:pPr>
      <w:r w:rsidRPr="00783F46">
        <w:rPr>
          <w:rFonts w:ascii="Segoe UI" w:eastAsia="Times New Roman" w:hAnsi="Segoe UI" w:cs="Segoe UI"/>
          <w:b/>
          <w:bCs/>
          <w:color w:val="000000"/>
          <w:kern w:val="0"/>
          <w:szCs w:val="24"/>
          <w:lang w:eastAsia="es-CO"/>
          <w14:ligatures w14:val="none"/>
        </w:rPr>
        <w:t>CONTRIBUYENTES</w:t>
      </w:r>
    </w:p>
    <w:p w14:paraId="3FE3F682" w14:textId="77777777" w:rsidR="00783F46" w:rsidRPr="00783F46" w:rsidRDefault="00783F46" w:rsidP="00783F46">
      <w:pPr>
        <w:spacing w:after="0" w:line="360" w:lineRule="auto"/>
        <w:jc w:val="both"/>
        <w:rPr>
          <w:rFonts w:ascii="Segoe UI" w:eastAsia="Times New Roman" w:hAnsi="Segoe UI" w:cs="Segoe UI"/>
          <w:color w:val="000000"/>
          <w:kern w:val="0"/>
          <w:szCs w:val="24"/>
          <w:lang w:eastAsia="es-CO"/>
          <w14:ligatures w14:val="none"/>
        </w:rPr>
      </w:pPr>
      <w:r w:rsidRPr="00783F46">
        <w:rPr>
          <w:rFonts w:ascii="Segoe UI" w:eastAsia="Times New Roman" w:hAnsi="Segoe UI" w:cs="Segoe UI"/>
          <w:color w:val="000000"/>
          <w:kern w:val="0"/>
          <w:szCs w:val="24"/>
          <w:lang w:eastAsia="es-CO"/>
          <w14:ligatures w14:val="none"/>
        </w:rPr>
        <w:t>juridicanormativa@dian.gov.co</w:t>
      </w:r>
    </w:p>
    <w:p w14:paraId="2774BE88" w14:textId="77777777" w:rsidR="00783F46" w:rsidRPr="00783F46" w:rsidRDefault="00783F46" w:rsidP="00783F46">
      <w:pPr>
        <w:spacing w:after="0" w:line="360" w:lineRule="auto"/>
        <w:jc w:val="both"/>
        <w:rPr>
          <w:rFonts w:ascii="Segoe UI" w:eastAsia="Times New Roman" w:hAnsi="Segoe UI" w:cs="Segoe UI"/>
          <w:color w:val="000000"/>
          <w:kern w:val="0"/>
          <w:szCs w:val="24"/>
          <w:lang w:eastAsia="es-CO"/>
          <w14:ligatures w14:val="none"/>
        </w:rPr>
      </w:pPr>
      <w:r w:rsidRPr="00783F46">
        <w:rPr>
          <w:rFonts w:ascii="Segoe UI" w:eastAsia="Times New Roman" w:hAnsi="Segoe UI" w:cs="Segoe UI"/>
          <w:color w:val="000000"/>
          <w:kern w:val="0"/>
          <w:szCs w:val="24"/>
          <w:lang w:eastAsia="es-CO"/>
          <w14:ligatures w14:val="none"/>
        </w:rPr>
        <w:t> </w:t>
      </w:r>
    </w:p>
    <w:p w14:paraId="44BE3110" w14:textId="77777777" w:rsidR="00783F46" w:rsidRPr="00783F46" w:rsidRDefault="00783F46" w:rsidP="00783F46">
      <w:pPr>
        <w:spacing w:after="0" w:line="360" w:lineRule="auto"/>
        <w:jc w:val="both"/>
        <w:rPr>
          <w:rFonts w:ascii="Segoe UI" w:eastAsia="Times New Roman" w:hAnsi="Segoe UI" w:cs="Segoe UI"/>
          <w:b/>
          <w:bCs/>
          <w:color w:val="000000"/>
          <w:kern w:val="0"/>
          <w:szCs w:val="24"/>
          <w:lang w:eastAsia="es-CO"/>
          <w14:ligatures w14:val="none"/>
        </w:rPr>
      </w:pPr>
      <w:r w:rsidRPr="00783F46">
        <w:rPr>
          <w:rFonts w:ascii="Segoe UI" w:eastAsia="Times New Roman" w:hAnsi="Segoe UI" w:cs="Segoe UI"/>
          <w:b/>
          <w:bCs/>
          <w:color w:val="000000"/>
          <w:kern w:val="0"/>
          <w:szCs w:val="24"/>
          <w:highlight w:val="yellow"/>
          <w:lang w:eastAsia="es-CO"/>
          <w14:ligatures w14:val="none"/>
        </w:rPr>
        <w:t>Ref.: 4° adición al Concepto General sobre los impuestos saludables</w:t>
      </w:r>
    </w:p>
    <w:p w14:paraId="4F6CFB7E" w14:textId="77777777" w:rsidR="00783F46" w:rsidRPr="00783F46" w:rsidRDefault="00783F46" w:rsidP="00783F46">
      <w:pPr>
        <w:spacing w:after="0" w:line="360" w:lineRule="auto"/>
        <w:jc w:val="both"/>
        <w:rPr>
          <w:rFonts w:ascii="Segoe UI" w:eastAsia="Times New Roman" w:hAnsi="Segoe UI" w:cs="Segoe UI"/>
          <w:color w:val="000000"/>
          <w:kern w:val="0"/>
          <w:szCs w:val="24"/>
          <w:lang w:eastAsia="es-CO"/>
          <w14:ligatures w14:val="none"/>
        </w:rPr>
      </w:pPr>
      <w:r w:rsidRPr="00783F46">
        <w:rPr>
          <w:rFonts w:ascii="Segoe UI" w:eastAsia="Times New Roman" w:hAnsi="Segoe UI" w:cs="Segoe UI"/>
          <w:color w:val="000000"/>
          <w:kern w:val="0"/>
          <w:szCs w:val="24"/>
          <w:lang w:eastAsia="es-CO"/>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2300"/>
        <w:gridCol w:w="6608"/>
      </w:tblGrid>
      <w:tr w:rsidR="00783F46" w:rsidRPr="00783F46" w14:paraId="6392346D" w14:textId="77777777" w:rsidTr="00783F46">
        <w:tc>
          <w:tcPr>
            <w:tcW w:w="2300" w:type="dxa"/>
            <w:tcBorders>
              <w:top w:val="nil"/>
              <w:left w:val="nil"/>
              <w:bottom w:val="nil"/>
              <w:right w:val="nil"/>
            </w:tcBorders>
            <w:tcMar>
              <w:top w:w="0" w:type="dxa"/>
              <w:left w:w="105" w:type="dxa"/>
              <w:bottom w:w="0" w:type="dxa"/>
              <w:right w:w="105" w:type="dxa"/>
            </w:tcMar>
            <w:hideMark/>
          </w:tcPr>
          <w:p w14:paraId="22F8F1F5" w14:textId="77777777" w:rsidR="00783F46" w:rsidRPr="00783F46" w:rsidRDefault="00783F46" w:rsidP="00783F46">
            <w:pPr>
              <w:spacing w:after="0" w:line="360" w:lineRule="auto"/>
              <w:jc w:val="both"/>
              <w:rPr>
                <w:rFonts w:ascii="Segoe UI" w:eastAsia="Times New Roman" w:hAnsi="Segoe UI" w:cs="Segoe UI"/>
                <w:kern w:val="0"/>
                <w:szCs w:val="24"/>
                <w:lang w:eastAsia="es-CO"/>
                <w14:ligatures w14:val="none"/>
              </w:rPr>
            </w:pPr>
            <w:r w:rsidRPr="00783F46">
              <w:rPr>
                <w:rFonts w:ascii="Segoe UI" w:eastAsia="Times New Roman" w:hAnsi="Segoe UI" w:cs="Segoe UI"/>
                <w:b/>
                <w:bCs/>
                <w:kern w:val="0"/>
                <w:szCs w:val="24"/>
                <w:lang w:eastAsia="es-CO"/>
                <w14:ligatures w14:val="none"/>
              </w:rPr>
              <w:t>Tema:</w:t>
            </w:r>
          </w:p>
        </w:tc>
        <w:tc>
          <w:tcPr>
            <w:tcW w:w="6608" w:type="dxa"/>
            <w:tcBorders>
              <w:top w:val="nil"/>
              <w:left w:val="nil"/>
              <w:bottom w:val="nil"/>
              <w:right w:val="nil"/>
            </w:tcBorders>
            <w:tcMar>
              <w:top w:w="0" w:type="dxa"/>
              <w:left w:w="105" w:type="dxa"/>
              <w:bottom w:w="0" w:type="dxa"/>
              <w:right w:w="105" w:type="dxa"/>
            </w:tcMar>
            <w:hideMark/>
          </w:tcPr>
          <w:p w14:paraId="43670E08" w14:textId="77777777" w:rsidR="00783F46" w:rsidRPr="00783F46" w:rsidRDefault="00783F46" w:rsidP="00783F46">
            <w:pPr>
              <w:spacing w:after="0" w:line="360" w:lineRule="auto"/>
              <w:jc w:val="both"/>
              <w:rPr>
                <w:rFonts w:ascii="Segoe UI" w:eastAsia="Times New Roman" w:hAnsi="Segoe UI" w:cs="Segoe UI"/>
                <w:kern w:val="0"/>
                <w:szCs w:val="24"/>
                <w:lang w:eastAsia="es-CO"/>
                <w14:ligatures w14:val="none"/>
              </w:rPr>
            </w:pPr>
            <w:r w:rsidRPr="00783F46">
              <w:rPr>
                <w:rFonts w:ascii="Segoe UI" w:eastAsia="Times New Roman" w:hAnsi="Segoe UI" w:cs="Segoe UI"/>
                <w:kern w:val="0"/>
                <w:szCs w:val="24"/>
                <w:lang w:eastAsia="es-CO"/>
                <w14:ligatures w14:val="none"/>
              </w:rPr>
              <w:t>Impuestos saludables</w:t>
            </w:r>
          </w:p>
        </w:tc>
      </w:tr>
      <w:tr w:rsidR="00783F46" w:rsidRPr="00783F46" w14:paraId="14F41143" w14:textId="77777777" w:rsidTr="00783F46">
        <w:tc>
          <w:tcPr>
            <w:tcW w:w="2300" w:type="dxa"/>
            <w:tcBorders>
              <w:top w:val="nil"/>
              <w:left w:val="nil"/>
              <w:bottom w:val="nil"/>
              <w:right w:val="nil"/>
            </w:tcBorders>
            <w:tcMar>
              <w:top w:w="0" w:type="dxa"/>
              <w:left w:w="105" w:type="dxa"/>
              <w:bottom w:w="0" w:type="dxa"/>
              <w:right w:w="105" w:type="dxa"/>
            </w:tcMar>
            <w:hideMark/>
          </w:tcPr>
          <w:p w14:paraId="7AF22C89" w14:textId="77777777" w:rsidR="00783F46" w:rsidRPr="00783F46" w:rsidRDefault="00783F46" w:rsidP="00783F46">
            <w:pPr>
              <w:spacing w:after="0" w:line="360" w:lineRule="auto"/>
              <w:jc w:val="both"/>
              <w:rPr>
                <w:rFonts w:ascii="Segoe UI" w:eastAsia="Times New Roman" w:hAnsi="Segoe UI" w:cs="Segoe UI"/>
                <w:kern w:val="0"/>
                <w:szCs w:val="24"/>
                <w:lang w:eastAsia="es-CO"/>
                <w14:ligatures w14:val="none"/>
              </w:rPr>
            </w:pPr>
            <w:r w:rsidRPr="00783F46">
              <w:rPr>
                <w:rFonts w:ascii="Segoe UI" w:eastAsia="Times New Roman" w:hAnsi="Segoe UI" w:cs="Segoe UI"/>
                <w:b/>
                <w:bCs/>
                <w:kern w:val="0"/>
                <w:szCs w:val="24"/>
                <w:lang w:eastAsia="es-CO"/>
                <w14:ligatures w14:val="none"/>
              </w:rPr>
              <w:t>Descriptores:</w:t>
            </w:r>
          </w:p>
        </w:tc>
        <w:tc>
          <w:tcPr>
            <w:tcW w:w="6608" w:type="dxa"/>
            <w:tcBorders>
              <w:top w:val="nil"/>
              <w:left w:val="nil"/>
              <w:bottom w:val="nil"/>
              <w:right w:val="nil"/>
            </w:tcBorders>
            <w:tcMar>
              <w:top w:w="0" w:type="dxa"/>
              <w:left w:w="105" w:type="dxa"/>
              <w:bottom w:w="0" w:type="dxa"/>
              <w:right w:w="105" w:type="dxa"/>
            </w:tcMar>
            <w:hideMark/>
          </w:tcPr>
          <w:p w14:paraId="37A37609" w14:textId="77777777" w:rsidR="00783F46" w:rsidRPr="00783F46" w:rsidRDefault="00783F46" w:rsidP="00783F46">
            <w:pPr>
              <w:spacing w:after="0" w:line="360" w:lineRule="auto"/>
              <w:jc w:val="both"/>
              <w:rPr>
                <w:rFonts w:ascii="Segoe UI" w:eastAsia="Times New Roman" w:hAnsi="Segoe UI" w:cs="Segoe UI"/>
                <w:kern w:val="0"/>
                <w:szCs w:val="24"/>
                <w:lang w:eastAsia="es-CO"/>
                <w14:ligatures w14:val="none"/>
              </w:rPr>
            </w:pPr>
            <w:r w:rsidRPr="00783F46">
              <w:rPr>
                <w:rFonts w:ascii="Segoe UI" w:eastAsia="Times New Roman" w:hAnsi="Segoe UI" w:cs="Segoe UI"/>
                <w:kern w:val="0"/>
                <w:szCs w:val="24"/>
                <w:lang w:eastAsia="es-CO"/>
                <w14:ligatures w14:val="none"/>
              </w:rPr>
              <w:t>Discriminación en la factura de venta</w:t>
            </w:r>
          </w:p>
        </w:tc>
      </w:tr>
      <w:tr w:rsidR="00783F46" w:rsidRPr="00783F46" w14:paraId="3BFB4BA1" w14:textId="77777777" w:rsidTr="00783F46">
        <w:tc>
          <w:tcPr>
            <w:tcW w:w="2300" w:type="dxa"/>
            <w:tcBorders>
              <w:top w:val="nil"/>
              <w:left w:val="nil"/>
              <w:bottom w:val="nil"/>
              <w:right w:val="nil"/>
            </w:tcBorders>
            <w:tcMar>
              <w:top w:w="0" w:type="dxa"/>
              <w:left w:w="105" w:type="dxa"/>
              <w:bottom w:w="0" w:type="dxa"/>
              <w:right w:w="105" w:type="dxa"/>
            </w:tcMar>
            <w:hideMark/>
          </w:tcPr>
          <w:p w14:paraId="7246F095" w14:textId="77777777" w:rsidR="00783F46" w:rsidRPr="00783F46" w:rsidRDefault="00783F46" w:rsidP="00783F46">
            <w:pPr>
              <w:spacing w:after="0" w:line="360" w:lineRule="auto"/>
              <w:jc w:val="both"/>
              <w:rPr>
                <w:rFonts w:ascii="Segoe UI" w:eastAsia="Times New Roman" w:hAnsi="Segoe UI" w:cs="Segoe UI"/>
                <w:kern w:val="0"/>
                <w:szCs w:val="24"/>
                <w:lang w:eastAsia="es-CO"/>
                <w14:ligatures w14:val="none"/>
              </w:rPr>
            </w:pPr>
            <w:r w:rsidRPr="00783F46">
              <w:rPr>
                <w:rFonts w:ascii="Segoe UI" w:eastAsia="Times New Roman" w:hAnsi="Segoe UI" w:cs="Segoe UI"/>
                <w:b/>
                <w:bCs/>
                <w:kern w:val="0"/>
                <w:szCs w:val="24"/>
                <w:lang w:eastAsia="es-CO"/>
                <w14:ligatures w14:val="none"/>
              </w:rPr>
              <w:t>Fuentes formales:</w:t>
            </w:r>
          </w:p>
        </w:tc>
        <w:tc>
          <w:tcPr>
            <w:tcW w:w="6608" w:type="dxa"/>
            <w:tcBorders>
              <w:top w:val="nil"/>
              <w:left w:val="nil"/>
              <w:bottom w:val="nil"/>
              <w:right w:val="nil"/>
            </w:tcBorders>
            <w:tcMar>
              <w:top w:w="0" w:type="dxa"/>
              <w:left w:w="105" w:type="dxa"/>
              <w:bottom w:w="0" w:type="dxa"/>
              <w:right w:w="105" w:type="dxa"/>
            </w:tcMar>
            <w:hideMark/>
          </w:tcPr>
          <w:p w14:paraId="26887BA4" w14:textId="77777777" w:rsidR="00783F46" w:rsidRPr="00783F46" w:rsidRDefault="00783F46" w:rsidP="00783F46">
            <w:pPr>
              <w:spacing w:after="0" w:line="360" w:lineRule="auto"/>
              <w:jc w:val="both"/>
              <w:rPr>
                <w:rFonts w:ascii="Segoe UI" w:eastAsia="Times New Roman" w:hAnsi="Segoe UI" w:cs="Segoe UI"/>
                <w:kern w:val="0"/>
                <w:szCs w:val="24"/>
                <w:lang w:eastAsia="es-CO"/>
                <w14:ligatures w14:val="none"/>
              </w:rPr>
            </w:pPr>
            <w:r w:rsidRPr="00783F46">
              <w:rPr>
                <w:rFonts w:ascii="Segoe UI" w:eastAsia="Times New Roman" w:hAnsi="Segoe UI" w:cs="Segoe UI"/>
                <w:kern w:val="0"/>
                <w:szCs w:val="24"/>
                <w:lang w:eastAsia="es-CO"/>
                <w14:ligatures w14:val="none"/>
              </w:rPr>
              <w:t>Artículos </w:t>
            </w:r>
            <w:hyperlink r:id="rId5" w:tooltip="Estatuto Tributario CETA" w:history="1">
              <w:r w:rsidRPr="00783F46">
                <w:rPr>
                  <w:rFonts w:ascii="Segoe UI" w:eastAsia="Times New Roman" w:hAnsi="Segoe UI" w:cs="Segoe UI"/>
                  <w:color w:val="0645AD"/>
                  <w:kern w:val="0"/>
                  <w:szCs w:val="24"/>
                  <w:u w:val="single"/>
                  <w:lang w:eastAsia="es-CO"/>
                  <w14:ligatures w14:val="none"/>
                </w:rPr>
                <w:t>513-1</w:t>
              </w:r>
            </w:hyperlink>
            <w:r w:rsidRPr="00783F46">
              <w:rPr>
                <w:rFonts w:ascii="Segoe UI" w:eastAsia="Times New Roman" w:hAnsi="Segoe UI" w:cs="Segoe UI"/>
                <w:kern w:val="0"/>
                <w:szCs w:val="24"/>
                <w:lang w:eastAsia="es-CO"/>
                <w14:ligatures w14:val="none"/>
              </w:rPr>
              <w:t> y siguientes del Estatuto Tributario</w:t>
            </w:r>
          </w:p>
          <w:p w14:paraId="5CFC11A0" w14:textId="77777777" w:rsidR="00783F46" w:rsidRPr="00783F46" w:rsidRDefault="00783F46" w:rsidP="00783F46">
            <w:pPr>
              <w:spacing w:after="0" w:line="360" w:lineRule="auto"/>
              <w:jc w:val="both"/>
              <w:rPr>
                <w:rFonts w:ascii="Segoe UI" w:eastAsia="Times New Roman" w:hAnsi="Segoe UI" w:cs="Segoe UI"/>
                <w:kern w:val="0"/>
                <w:szCs w:val="24"/>
                <w:lang w:eastAsia="es-CO"/>
                <w14:ligatures w14:val="none"/>
              </w:rPr>
            </w:pPr>
            <w:r w:rsidRPr="00783F46">
              <w:rPr>
                <w:rFonts w:ascii="Segoe UI" w:eastAsia="Times New Roman" w:hAnsi="Segoe UI" w:cs="Segoe UI"/>
                <w:kern w:val="0"/>
                <w:szCs w:val="24"/>
                <w:lang w:eastAsia="es-CO"/>
                <w14:ligatures w14:val="none"/>
              </w:rPr>
              <w:t>Corte Constitucional, Sentencia C-1005/08.</w:t>
            </w:r>
          </w:p>
          <w:p w14:paraId="4D3D192A" w14:textId="77777777" w:rsidR="00783F46" w:rsidRPr="00783F46" w:rsidRDefault="00783F46" w:rsidP="00783F46">
            <w:pPr>
              <w:spacing w:after="0" w:line="360" w:lineRule="auto"/>
              <w:jc w:val="both"/>
              <w:rPr>
                <w:rFonts w:ascii="Segoe UI" w:eastAsia="Times New Roman" w:hAnsi="Segoe UI" w:cs="Segoe UI"/>
                <w:kern w:val="0"/>
                <w:szCs w:val="24"/>
                <w:lang w:eastAsia="es-CO"/>
                <w14:ligatures w14:val="none"/>
              </w:rPr>
            </w:pPr>
            <w:r w:rsidRPr="00783F46">
              <w:rPr>
                <w:rFonts w:ascii="Segoe UI" w:eastAsia="Times New Roman" w:hAnsi="Segoe UI" w:cs="Segoe UI"/>
                <w:kern w:val="0"/>
                <w:szCs w:val="24"/>
                <w:lang w:eastAsia="es-CO"/>
                <w14:ligatures w14:val="none"/>
              </w:rPr>
              <w:t>Consejo de Estado, Sala de lo Contencioso Administrativo, Sección Segunda, Sentencia de abril 6 de 2011, Radicación No. 11001-03-25-000- 2004-00198-01(3819-04).</w:t>
            </w:r>
          </w:p>
        </w:tc>
      </w:tr>
    </w:tbl>
    <w:p w14:paraId="3291447E" w14:textId="77777777" w:rsidR="00783F46" w:rsidRPr="00783F46" w:rsidRDefault="00783F46" w:rsidP="00783F46">
      <w:pPr>
        <w:spacing w:after="0" w:line="360" w:lineRule="auto"/>
        <w:jc w:val="both"/>
        <w:rPr>
          <w:rFonts w:ascii="Segoe UI" w:eastAsia="Times New Roman" w:hAnsi="Segoe UI" w:cs="Segoe UI"/>
          <w:color w:val="000000"/>
          <w:kern w:val="0"/>
          <w:szCs w:val="24"/>
          <w:lang w:eastAsia="es-CO"/>
          <w14:ligatures w14:val="none"/>
        </w:rPr>
      </w:pPr>
      <w:r w:rsidRPr="00783F46">
        <w:rPr>
          <w:rFonts w:ascii="Segoe UI" w:eastAsia="Times New Roman" w:hAnsi="Segoe UI" w:cs="Segoe UI"/>
          <w:color w:val="000000"/>
          <w:kern w:val="0"/>
          <w:szCs w:val="24"/>
          <w:lang w:eastAsia="es-CO"/>
          <w14:ligatures w14:val="none"/>
        </w:rPr>
        <w:t> </w:t>
      </w:r>
    </w:p>
    <w:p w14:paraId="09FD69EC" w14:textId="77777777" w:rsidR="00783F46" w:rsidRPr="00783F46" w:rsidRDefault="00783F46" w:rsidP="00783F46">
      <w:pPr>
        <w:spacing w:after="0" w:line="360" w:lineRule="auto"/>
        <w:jc w:val="both"/>
        <w:rPr>
          <w:rFonts w:ascii="Segoe UI" w:eastAsia="Times New Roman" w:hAnsi="Segoe UI" w:cs="Segoe UI"/>
          <w:color w:val="000000"/>
          <w:kern w:val="0"/>
          <w:szCs w:val="24"/>
          <w:lang w:eastAsia="es-CO"/>
          <w14:ligatures w14:val="none"/>
        </w:rPr>
      </w:pPr>
      <w:r w:rsidRPr="00783F46">
        <w:rPr>
          <w:rFonts w:ascii="Segoe UI" w:eastAsia="Times New Roman" w:hAnsi="Segoe UI" w:cs="Segoe UI"/>
          <w:color w:val="000000"/>
          <w:kern w:val="0"/>
          <w:szCs w:val="24"/>
          <w:lang w:eastAsia="es-CO"/>
          <w14:ligatures w14:val="none"/>
        </w:rPr>
        <w:t> </w:t>
      </w:r>
    </w:p>
    <w:p w14:paraId="59D53589" w14:textId="77777777" w:rsidR="00783F46" w:rsidRPr="00783F46" w:rsidRDefault="00783F46" w:rsidP="00783F46">
      <w:pPr>
        <w:spacing w:after="0" w:line="360" w:lineRule="auto"/>
        <w:jc w:val="both"/>
        <w:rPr>
          <w:rFonts w:ascii="Segoe UI" w:eastAsia="Times New Roman" w:hAnsi="Segoe UI" w:cs="Segoe UI"/>
          <w:color w:val="000000"/>
          <w:kern w:val="0"/>
          <w:szCs w:val="24"/>
          <w:lang w:eastAsia="es-CO"/>
          <w14:ligatures w14:val="none"/>
        </w:rPr>
      </w:pPr>
      <w:r w:rsidRPr="00783F46">
        <w:rPr>
          <w:rFonts w:ascii="Segoe UI" w:eastAsia="Times New Roman" w:hAnsi="Segoe UI" w:cs="Segoe UI"/>
          <w:color w:val="000000"/>
          <w:kern w:val="0"/>
          <w:szCs w:val="24"/>
          <w:lang w:eastAsia="es-CO"/>
          <w14:ligatures w14:val="none"/>
        </w:rPr>
        <w:t>Cordial saludo.</w:t>
      </w:r>
    </w:p>
    <w:p w14:paraId="6373A873" w14:textId="77777777" w:rsidR="00783F46" w:rsidRPr="00783F46" w:rsidRDefault="00783F46" w:rsidP="00783F46">
      <w:pPr>
        <w:spacing w:after="0" w:line="360" w:lineRule="auto"/>
        <w:jc w:val="both"/>
        <w:rPr>
          <w:rFonts w:ascii="Segoe UI" w:eastAsia="Times New Roman" w:hAnsi="Segoe UI" w:cs="Segoe UI"/>
          <w:color w:val="000000"/>
          <w:kern w:val="0"/>
          <w:szCs w:val="24"/>
          <w:lang w:eastAsia="es-CO"/>
          <w14:ligatures w14:val="none"/>
        </w:rPr>
      </w:pPr>
      <w:r w:rsidRPr="00783F46">
        <w:rPr>
          <w:rFonts w:ascii="Segoe UI" w:eastAsia="Times New Roman" w:hAnsi="Segoe UI" w:cs="Segoe UI"/>
          <w:color w:val="000000"/>
          <w:kern w:val="0"/>
          <w:szCs w:val="24"/>
          <w:lang w:eastAsia="es-CO"/>
          <w14:ligatures w14:val="none"/>
        </w:rPr>
        <w:t> </w:t>
      </w:r>
    </w:p>
    <w:p w14:paraId="67124241" w14:textId="77777777" w:rsidR="00783F46" w:rsidRPr="00783F46" w:rsidRDefault="00783F46" w:rsidP="00783F46">
      <w:pPr>
        <w:spacing w:after="0" w:line="360" w:lineRule="auto"/>
        <w:jc w:val="both"/>
        <w:rPr>
          <w:rFonts w:ascii="Segoe UI" w:eastAsia="Times New Roman" w:hAnsi="Segoe UI" w:cs="Segoe UI"/>
          <w:color w:val="000000"/>
          <w:kern w:val="0"/>
          <w:szCs w:val="24"/>
          <w:lang w:eastAsia="es-CO"/>
          <w14:ligatures w14:val="none"/>
        </w:rPr>
      </w:pPr>
      <w:r w:rsidRPr="00783F46">
        <w:rPr>
          <w:rFonts w:ascii="Segoe UI" w:eastAsia="Times New Roman" w:hAnsi="Segoe UI" w:cs="Segoe UI"/>
          <w:color w:val="000000"/>
          <w:kern w:val="0"/>
          <w:szCs w:val="24"/>
          <w:lang w:eastAsia="es-CO"/>
          <w14:ligatures w14:val="none"/>
        </w:rPr>
        <w:t>Esta Subdirección está facultada para absolver las consultas escritas, presentadas de manera general, sobre la interpretación y aplicación de las normas tributarias, aduaneras y de fiscalización cambiaria, en lo de competencia de la DIAN</w:t>
      </w:r>
      <w:hyperlink r:id="rId6" w:anchor="cite_note-1" w:history="1">
        <w:r w:rsidRPr="00783F46">
          <w:rPr>
            <w:rFonts w:ascii="Segoe UI" w:eastAsia="Times New Roman" w:hAnsi="Segoe UI" w:cs="Segoe UI"/>
            <w:color w:val="0645AD"/>
            <w:kern w:val="0"/>
            <w:szCs w:val="24"/>
            <w:u w:val="single"/>
            <w:vertAlign w:val="superscript"/>
            <w:lang w:eastAsia="es-CO"/>
            <w14:ligatures w14:val="none"/>
          </w:rPr>
          <w:t>1</w:t>
        </w:r>
      </w:hyperlink>
      <w:r w:rsidRPr="00783F46">
        <w:rPr>
          <w:rFonts w:ascii="Segoe UI" w:eastAsia="Times New Roman" w:hAnsi="Segoe UI" w:cs="Segoe UI"/>
          <w:color w:val="000000"/>
          <w:kern w:val="0"/>
          <w:szCs w:val="24"/>
          <w:lang w:eastAsia="es-CO"/>
          <w14:ligatures w14:val="none"/>
        </w:rPr>
        <w:t>. En este sentido, la doctrina emitida será de carácter general, no se referirá a asuntos particulares y se someterá a lo consagrado en el artículo 131 de la Ley 2010 de 2019</w:t>
      </w:r>
      <w:hyperlink r:id="rId7" w:anchor="cite_note-2" w:history="1">
        <w:r w:rsidRPr="00783F46">
          <w:rPr>
            <w:rFonts w:ascii="Segoe UI" w:eastAsia="Times New Roman" w:hAnsi="Segoe UI" w:cs="Segoe UI"/>
            <w:color w:val="0645AD"/>
            <w:kern w:val="0"/>
            <w:szCs w:val="24"/>
            <w:u w:val="single"/>
            <w:vertAlign w:val="superscript"/>
            <w:lang w:eastAsia="es-CO"/>
            <w14:ligatures w14:val="none"/>
          </w:rPr>
          <w:t>2</w:t>
        </w:r>
      </w:hyperlink>
      <w:r w:rsidRPr="00783F46">
        <w:rPr>
          <w:rFonts w:ascii="Segoe UI" w:eastAsia="Times New Roman" w:hAnsi="Segoe UI" w:cs="Segoe UI"/>
          <w:color w:val="000000"/>
          <w:kern w:val="0"/>
          <w:szCs w:val="24"/>
          <w:lang w:eastAsia="es-CO"/>
          <w14:ligatures w14:val="none"/>
        </w:rPr>
        <w:t>.</w:t>
      </w:r>
    </w:p>
    <w:p w14:paraId="4284A8D5" w14:textId="77777777" w:rsidR="00783F46" w:rsidRPr="00783F46" w:rsidRDefault="00783F46" w:rsidP="00783F46">
      <w:pPr>
        <w:spacing w:after="0" w:line="360" w:lineRule="auto"/>
        <w:jc w:val="both"/>
        <w:rPr>
          <w:rFonts w:ascii="Segoe UI" w:eastAsia="Times New Roman" w:hAnsi="Segoe UI" w:cs="Segoe UI"/>
          <w:color w:val="000000"/>
          <w:kern w:val="0"/>
          <w:szCs w:val="24"/>
          <w:lang w:eastAsia="es-CO"/>
          <w14:ligatures w14:val="none"/>
        </w:rPr>
      </w:pPr>
      <w:r w:rsidRPr="00783F46">
        <w:rPr>
          <w:rFonts w:ascii="Segoe UI" w:eastAsia="Times New Roman" w:hAnsi="Segoe UI" w:cs="Segoe UI"/>
          <w:color w:val="000000"/>
          <w:kern w:val="0"/>
          <w:szCs w:val="24"/>
          <w:lang w:eastAsia="es-CO"/>
          <w14:ligatures w14:val="none"/>
        </w:rPr>
        <w:t> </w:t>
      </w:r>
    </w:p>
    <w:p w14:paraId="764DB876" w14:textId="77777777" w:rsidR="00783F46" w:rsidRPr="00783F46" w:rsidRDefault="00783F46" w:rsidP="00783F46">
      <w:pPr>
        <w:spacing w:after="0" w:line="360" w:lineRule="auto"/>
        <w:jc w:val="both"/>
        <w:rPr>
          <w:rFonts w:ascii="Segoe UI" w:eastAsia="Times New Roman" w:hAnsi="Segoe UI" w:cs="Segoe UI"/>
          <w:color w:val="000000"/>
          <w:kern w:val="0"/>
          <w:szCs w:val="24"/>
          <w:lang w:eastAsia="es-CO"/>
          <w14:ligatures w14:val="none"/>
        </w:rPr>
      </w:pPr>
      <w:r w:rsidRPr="00783F46">
        <w:rPr>
          <w:rFonts w:ascii="Segoe UI" w:eastAsia="Times New Roman" w:hAnsi="Segoe UI" w:cs="Segoe UI"/>
          <w:color w:val="000000"/>
          <w:kern w:val="0"/>
          <w:szCs w:val="24"/>
          <w:lang w:eastAsia="es-CO"/>
          <w14:ligatures w14:val="none"/>
        </w:rPr>
        <w:lastRenderedPageBreak/>
        <w:t xml:space="preserve">Mediante el presente pronunciamiento, esta Subdirección absolverá un interrogante que se ha formulado en torno a la interpretación y aplicación de los impuestos saludables, a saber, el impuesto a las bebidas </w:t>
      </w:r>
      <w:proofErr w:type="spellStart"/>
      <w:r w:rsidRPr="00783F46">
        <w:rPr>
          <w:rFonts w:ascii="Segoe UI" w:eastAsia="Times New Roman" w:hAnsi="Segoe UI" w:cs="Segoe UI"/>
          <w:color w:val="000000"/>
          <w:kern w:val="0"/>
          <w:szCs w:val="24"/>
          <w:lang w:eastAsia="es-CO"/>
          <w14:ligatures w14:val="none"/>
        </w:rPr>
        <w:t>ultraprocesadas</w:t>
      </w:r>
      <w:proofErr w:type="spellEnd"/>
      <w:r w:rsidRPr="00783F46">
        <w:rPr>
          <w:rFonts w:ascii="Segoe UI" w:eastAsia="Times New Roman" w:hAnsi="Segoe UI" w:cs="Segoe UI"/>
          <w:color w:val="000000"/>
          <w:kern w:val="0"/>
          <w:szCs w:val="24"/>
          <w:lang w:eastAsia="es-CO"/>
          <w14:ligatures w14:val="none"/>
        </w:rPr>
        <w:t xml:space="preserve"> azucaradas (IBUA en adelante) y el impuesto a los productos comestibles </w:t>
      </w:r>
      <w:proofErr w:type="spellStart"/>
      <w:r w:rsidRPr="00783F46">
        <w:rPr>
          <w:rFonts w:ascii="Segoe UI" w:eastAsia="Times New Roman" w:hAnsi="Segoe UI" w:cs="Segoe UI"/>
          <w:color w:val="000000"/>
          <w:kern w:val="0"/>
          <w:szCs w:val="24"/>
          <w:lang w:eastAsia="es-CO"/>
          <w14:ligatures w14:val="none"/>
        </w:rPr>
        <w:t>ultraprocesados</w:t>
      </w:r>
      <w:proofErr w:type="spellEnd"/>
      <w:r w:rsidRPr="00783F46">
        <w:rPr>
          <w:rFonts w:ascii="Segoe UI" w:eastAsia="Times New Roman" w:hAnsi="Segoe UI" w:cs="Segoe UI"/>
          <w:color w:val="000000"/>
          <w:kern w:val="0"/>
          <w:szCs w:val="24"/>
          <w:lang w:eastAsia="es-CO"/>
          <w14:ligatures w14:val="none"/>
        </w:rPr>
        <w:t xml:space="preserve"> industrialmente y/o con alto contenido de azúcares añadidos, sodio o grasas saturadas (ICUI en adelante) -no sin antes anotar que los mismos regirán a partir del 1° de noviembre de 2023 (cfr. artículo 96 de la Ley 2277 de 2022)- con la adición al Concepto General de la referencia (Concepto 003744 - interno 383 del 28 de marzo de 2023).</w:t>
      </w:r>
    </w:p>
    <w:p w14:paraId="1EAA72D7" w14:textId="77777777" w:rsidR="00783F46" w:rsidRPr="00783F46" w:rsidRDefault="00783F46" w:rsidP="00783F46">
      <w:pPr>
        <w:spacing w:after="0" w:line="360" w:lineRule="auto"/>
        <w:jc w:val="both"/>
        <w:rPr>
          <w:rFonts w:ascii="Segoe UI" w:eastAsia="Times New Roman" w:hAnsi="Segoe UI" w:cs="Segoe UI"/>
          <w:color w:val="000000"/>
          <w:kern w:val="0"/>
          <w:szCs w:val="24"/>
          <w:lang w:eastAsia="es-CO"/>
          <w14:ligatures w14:val="none"/>
        </w:rPr>
      </w:pPr>
      <w:r w:rsidRPr="00783F46">
        <w:rPr>
          <w:rFonts w:ascii="Segoe UI" w:eastAsia="Times New Roman" w:hAnsi="Segoe UI" w:cs="Segoe UI"/>
          <w:color w:val="000000"/>
          <w:kern w:val="0"/>
          <w:szCs w:val="24"/>
          <w:lang w:eastAsia="es-CO"/>
          <w14:ligatures w14:val="none"/>
        </w:rPr>
        <w:t> </w:t>
      </w:r>
    </w:p>
    <w:p w14:paraId="0C047235" w14:textId="77777777" w:rsidR="00783F46" w:rsidRPr="00783F46" w:rsidRDefault="00783F46" w:rsidP="00783F46">
      <w:pPr>
        <w:spacing w:after="0" w:line="360" w:lineRule="auto"/>
        <w:jc w:val="both"/>
        <w:rPr>
          <w:rFonts w:ascii="Segoe UI" w:eastAsia="Times New Roman" w:hAnsi="Segoe UI" w:cs="Segoe UI"/>
          <w:color w:val="000000"/>
          <w:kern w:val="0"/>
          <w:szCs w:val="24"/>
          <w:highlight w:val="yellow"/>
          <w:lang w:eastAsia="es-CO"/>
          <w14:ligatures w14:val="none"/>
        </w:rPr>
      </w:pPr>
      <w:r w:rsidRPr="00783F46">
        <w:rPr>
          <w:rFonts w:ascii="Segoe UI" w:eastAsia="Times New Roman" w:hAnsi="Segoe UI" w:cs="Segoe UI"/>
          <w:b/>
          <w:bCs/>
          <w:color w:val="000000"/>
          <w:kern w:val="0"/>
          <w:szCs w:val="24"/>
          <w:highlight w:val="yellow"/>
          <w:lang w:eastAsia="es-CO"/>
          <w14:ligatures w14:val="none"/>
        </w:rPr>
        <w:t>4.2.</w:t>
      </w:r>
      <w:r w:rsidRPr="00783F46">
        <w:rPr>
          <w:rFonts w:ascii="Segoe UI" w:eastAsia="Times New Roman" w:hAnsi="Segoe UI" w:cs="Segoe UI"/>
          <w:color w:val="000000"/>
          <w:kern w:val="0"/>
          <w:szCs w:val="24"/>
          <w:highlight w:val="yellow"/>
          <w:lang w:eastAsia="es-CO"/>
          <w14:ligatures w14:val="none"/>
        </w:rPr>
        <w:t> </w:t>
      </w:r>
      <w:r w:rsidRPr="00783F46">
        <w:rPr>
          <w:rFonts w:ascii="Segoe UI" w:eastAsia="Times New Roman" w:hAnsi="Segoe UI" w:cs="Segoe UI"/>
          <w:b/>
          <w:bCs/>
          <w:color w:val="000000"/>
          <w:kern w:val="0"/>
          <w:szCs w:val="24"/>
          <w:highlight w:val="yellow"/>
          <w:lang w:eastAsia="es-CO"/>
          <w14:ligatures w14:val="none"/>
        </w:rPr>
        <w:t>¿Cómo deben discriminarse en la factura de venta los impuestos saludables?</w:t>
      </w:r>
    </w:p>
    <w:p w14:paraId="219E1567" w14:textId="77777777" w:rsidR="00783F46" w:rsidRPr="00783F46" w:rsidRDefault="00783F46" w:rsidP="00783F46">
      <w:pPr>
        <w:spacing w:after="0" w:line="360" w:lineRule="auto"/>
        <w:jc w:val="both"/>
        <w:rPr>
          <w:rFonts w:ascii="Segoe UI" w:eastAsia="Times New Roman" w:hAnsi="Segoe UI" w:cs="Segoe UI"/>
          <w:color w:val="000000"/>
          <w:kern w:val="0"/>
          <w:szCs w:val="24"/>
          <w:highlight w:val="yellow"/>
          <w:lang w:eastAsia="es-CO"/>
          <w14:ligatures w14:val="none"/>
        </w:rPr>
      </w:pPr>
      <w:r w:rsidRPr="00783F46">
        <w:rPr>
          <w:rFonts w:ascii="Segoe UI" w:eastAsia="Times New Roman" w:hAnsi="Segoe UI" w:cs="Segoe UI"/>
          <w:color w:val="000000"/>
          <w:kern w:val="0"/>
          <w:szCs w:val="24"/>
          <w:highlight w:val="yellow"/>
          <w:lang w:eastAsia="es-CO"/>
          <w14:ligatures w14:val="none"/>
        </w:rPr>
        <w:t> </w:t>
      </w:r>
    </w:p>
    <w:p w14:paraId="48A7C218" w14:textId="77777777" w:rsidR="00783F46" w:rsidRPr="00783F46" w:rsidRDefault="00783F46" w:rsidP="00783F46">
      <w:pPr>
        <w:spacing w:after="0" w:line="360" w:lineRule="auto"/>
        <w:jc w:val="both"/>
        <w:rPr>
          <w:rFonts w:ascii="Segoe UI" w:eastAsia="Times New Roman" w:hAnsi="Segoe UI" w:cs="Segoe UI"/>
          <w:b/>
          <w:bCs/>
          <w:color w:val="000000"/>
          <w:kern w:val="0"/>
          <w:szCs w:val="24"/>
          <w:highlight w:val="yellow"/>
          <w:lang w:eastAsia="es-CO"/>
          <w14:ligatures w14:val="none"/>
        </w:rPr>
      </w:pPr>
      <w:r w:rsidRPr="00783F46">
        <w:rPr>
          <w:rFonts w:ascii="Segoe UI" w:eastAsia="Times New Roman" w:hAnsi="Segoe UI" w:cs="Segoe UI"/>
          <w:b/>
          <w:bCs/>
          <w:color w:val="000000"/>
          <w:kern w:val="0"/>
          <w:szCs w:val="24"/>
          <w:highlight w:val="yellow"/>
          <w:lang w:eastAsia="es-CO"/>
          <w14:ligatures w14:val="none"/>
        </w:rPr>
        <w:t>De acuerdo con información suministrada por la Subdirección de Factura Electrónica y Soluciones Operativas de la Dirección de Gestión de Impuestos de esta Entidad, la información relacionada con los impuestos saludables se debe incluir en el XML de la factura electrónica, así:</w:t>
      </w:r>
    </w:p>
    <w:p w14:paraId="66CDFCF7" w14:textId="77777777" w:rsidR="00783F46" w:rsidRPr="00783F46" w:rsidRDefault="00783F46" w:rsidP="00783F46">
      <w:pPr>
        <w:spacing w:after="0" w:line="360" w:lineRule="auto"/>
        <w:jc w:val="both"/>
        <w:rPr>
          <w:rFonts w:ascii="Segoe UI" w:eastAsia="Times New Roman" w:hAnsi="Segoe UI" w:cs="Segoe UI"/>
          <w:b/>
          <w:bCs/>
          <w:color w:val="000000"/>
          <w:kern w:val="0"/>
          <w:szCs w:val="24"/>
          <w:highlight w:val="yellow"/>
          <w:lang w:eastAsia="es-CO"/>
          <w14:ligatures w14:val="none"/>
        </w:rPr>
      </w:pPr>
      <w:r w:rsidRPr="00783F46">
        <w:rPr>
          <w:rFonts w:ascii="Segoe UI" w:eastAsia="Times New Roman" w:hAnsi="Segoe UI" w:cs="Segoe UI"/>
          <w:b/>
          <w:bCs/>
          <w:color w:val="000000"/>
          <w:kern w:val="0"/>
          <w:szCs w:val="24"/>
          <w:highlight w:val="yellow"/>
          <w:lang w:eastAsia="es-CO"/>
          <w14:ligatures w14:val="none"/>
        </w:rPr>
        <w:t> </w:t>
      </w:r>
    </w:p>
    <w:p w14:paraId="076E7F4D" w14:textId="77777777" w:rsidR="00783F46" w:rsidRPr="00783F46" w:rsidRDefault="00783F46" w:rsidP="00783F46">
      <w:pPr>
        <w:spacing w:after="0" w:line="360" w:lineRule="auto"/>
        <w:ind w:left="284"/>
        <w:jc w:val="both"/>
        <w:rPr>
          <w:rFonts w:ascii="Segoe UI" w:eastAsia="Times New Roman" w:hAnsi="Segoe UI" w:cs="Segoe UI"/>
          <w:b/>
          <w:bCs/>
          <w:color w:val="000000"/>
          <w:kern w:val="0"/>
          <w:szCs w:val="24"/>
          <w:highlight w:val="yellow"/>
          <w:lang w:eastAsia="es-CO"/>
          <w14:ligatures w14:val="none"/>
        </w:rPr>
      </w:pPr>
      <w:r w:rsidRPr="00783F46">
        <w:rPr>
          <w:rFonts w:ascii="Segoe UI" w:eastAsia="Times New Roman" w:hAnsi="Segoe UI" w:cs="Segoe UI"/>
          <w:b/>
          <w:bCs/>
          <w:color w:val="000000"/>
          <w:kern w:val="0"/>
          <w:szCs w:val="24"/>
          <w:highlight w:val="yellow"/>
          <w:lang w:eastAsia="es-CO"/>
          <w14:ligatures w14:val="none"/>
        </w:rPr>
        <w:t>i) IBUA: Código 34</w:t>
      </w:r>
    </w:p>
    <w:p w14:paraId="35167235" w14:textId="77777777" w:rsidR="00783F46" w:rsidRPr="00783F46" w:rsidRDefault="00783F46" w:rsidP="00783F46">
      <w:pPr>
        <w:spacing w:after="0" w:line="360" w:lineRule="auto"/>
        <w:ind w:left="284"/>
        <w:jc w:val="both"/>
        <w:rPr>
          <w:rFonts w:ascii="Segoe UI" w:eastAsia="Times New Roman" w:hAnsi="Segoe UI" w:cs="Segoe UI"/>
          <w:b/>
          <w:bCs/>
          <w:color w:val="000000"/>
          <w:kern w:val="0"/>
          <w:szCs w:val="24"/>
          <w:highlight w:val="yellow"/>
          <w:lang w:eastAsia="es-CO"/>
          <w14:ligatures w14:val="none"/>
        </w:rPr>
      </w:pPr>
      <w:r w:rsidRPr="00783F46">
        <w:rPr>
          <w:rFonts w:ascii="Segoe UI" w:eastAsia="Times New Roman" w:hAnsi="Segoe UI" w:cs="Segoe UI"/>
          <w:b/>
          <w:bCs/>
          <w:color w:val="000000"/>
          <w:kern w:val="0"/>
          <w:szCs w:val="24"/>
          <w:highlight w:val="yellow"/>
          <w:lang w:eastAsia="es-CO"/>
          <w14:ligatures w14:val="none"/>
        </w:rPr>
        <w:t> </w:t>
      </w:r>
    </w:p>
    <w:p w14:paraId="39282ECD" w14:textId="77777777" w:rsidR="00783F46" w:rsidRPr="00783F46" w:rsidRDefault="00783F46" w:rsidP="00783F46">
      <w:pPr>
        <w:spacing w:after="0" w:line="360" w:lineRule="auto"/>
        <w:ind w:left="284"/>
        <w:jc w:val="both"/>
        <w:rPr>
          <w:rFonts w:ascii="Segoe UI" w:eastAsia="Times New Roman" w:hAnsi="Segoe UI" w:cs="Segoe UI"/>
          <w:b/>
          <w:bCs/>
          <w:color w:val="000000"/>
          <w:kern w:val="0"/>
          <w:szCs w:val="24"/>
          <w:highlight w:val="yellow"/>
          <w:lang w:eastAsia="es-CO"/>
          <w14:ligatures w14:val="none"/>
        </w:rPr>
      </w:pPr>
      <w:proofErr w:type="spellStart"/>
      <w:r w:rsidRPr="00783F46">
        <w:rPr>
          <w:rFonts w:ascii="Segoe UI" w:eastAsia="Times New Roman" w:hAnsi="Segoe UI" w:cs="Segoe UI"/>
          <w:b/>
          <w:bCs/>
          <w:color w:val="000000"/>
          <w:kern w:val="0"/>
          <w:szCs w:val="24"/>
          <w:highlight w:val="yellow"/>
          <w:lang w:eastAsia="es-CO"/>
          <w14:ligatures w14:val="none"/>
        </w:rPr>
        <w:t>ii</w:t>
      </w:r>
      <w:proofErr w:type="spellEnd"/>
      <w:r w:rsidRPr="00783F46">
        <w:rPr>
          <w:rFonts w:ascii="Segoe UI" w:eastAsia="Times New Roman" w:hAnsi="Segoe UI" w:cs="Segoe UI"/>
          <w:b/>
          <w:bCs/>
          <w:color w:val="000000"/>
          <w:kern w:val="0"/>
          <w:szCs w:val="24"/>
          <w:highlight w:val="yellow"/>
          <w:lang w:eastAsia="es-CO"/>
          <w14:ligatures w14:val="none"/>
        </w:rPr>
        <w:t>) ICUI: Código 35</w:t>
      </w:r>
    </w:p>
    <w:p w14:paraId="55983641" w14:textId="77777777" w:rsidR="00783F46" w:rsidRPr="00783F46" w:rsidRDefault="00783F46" w:rsidP="00783F46">
      <w:pPr>
        <w:spacing w:after="0" w:line="360" w:lineRule="auto"/>
        <w:jc w:val="both"/>
        <w:rPr>
          <w:rFonts w:ascii="Segoe UI" w:eastAsia="Times New Roman" w:hAnsi="Segoe UI" w:cs="Segoe UI"/>
          <w:b/>
          <w:bCs/>
          <w:color w:val="000000"/>
          <w:kern w:val="0"/>
          <w:szCs w:val="24"/>
          <w:highlight w:val="yellow"/>
          <w:lang w:eastAsia="es-CO"/>
          <w14:ligatures w14:val="none"/>
        </w:rPr>
      </w:pPr>
      <w:r w:rsidRPr="00783F46">
        <w:rPr>
          <w:rFonts w:ascii="Segoe UI" w:eastAsia="Times New Roman" w:hAnsi="Segoe UI" w:cs="Segoe UI"/>
          <w:b/>
          <w:bCs/>
          <w:color w:val="000000"/>
          <w:kern w:val="0"/>
          <w:szCs w:val="24"/>
          <w:highlight w:val="yellow"/>
          <w:lang w:eastAsia="es-CO"/>
          <w14:ligatures w14:val="none"/>
        </w:rPr>
        <w:t> </w:t>
      </w:r>
    </w:p>
    <w:p w14:paraId="4B6635E7" w14:textId="77777777" w:rsidR="00783F46" w:rsidRPr="00783F46" w:rsidRDefault="00783F46" w:rsidP="00783F46">
      <w:pPr>
        <w:spacing w:after="0" w:line="360" w:lineRule="auto"/>
        <w:jc w:val="both"/>
        <w:rPr>
          <w:rFonts w:ascii="Segoe UI" w:eastAsia="Times New Roman" w:hAnsi="Segoe UI" w:cs="Segoe UI"/>
          <w:b/>
          <w:bCs/>
          <w:color w:val="000000"/>
          <w:kern w:val="0"/>
          <w:szCs w:val="24"/>
          <w:lang w:eastAsia="es-CO"/>
          <w14:ligatures w14:val="none"/>
        </w:rPr>
      </w:pPr>
      <w:r w:rsidRPr="00783F46">
        <w:rPr>
          <w:rFonts w:ascii="Segoe UI" w:eastAsia="Times New Roman" w:hAnsi="Segoe UI" w:cs="Segoe UI"/>
          <w:b/>
          <w:bCs/>
          <w:color w:val="000000"/>
          <w:kern w:val="0"/>
          <w:szCs w:val="24"/>
          <w:highlight w:val="yellow"/>
          <w:lang w:eastAsia="es-CO"/>
          <w14:ligatures w14:val="none"/>
        </w:rPr>
        <w:t>No sobra tener en cuenta que:</w:t>
      </w:r>
    </w:p>
    <w:p w14:paraId="2B2EB40A" w14:textId="77777777" w:rsidR="00783F46" w:rsidRPr="00783F46" w:rsidRDefault="00783F46" w:rsidP="00783F46">
      <w:pPr>
        <w:spacing w:after="0" w:line="360" w:lineRule="auto"/>
        <w:jc w:val="both"/>
        <w:rPr>
          <w:rFonts w:ascii="Segoe UI" w:eastAsia="Times New Roman" w:hAnsi="Segoe UI" w:cs="Segoe UI"/>
          <w:b/>
          <w:bCs/>
          <w:color w:val="000000"/>
          <w:kern w:val="0"/>
          <w:szCs w:val="24"/>
          <w:lang w:eastAsia="es-CO"/>
          <w14:ligatures w14:val="none"/>
        </w:rPr>
      </w:pPr>
      <w:r w:rsidRPr="00783F46">
        <w:rPr>
          <w:rFonts w:ascii="Segoe UI" w:eastAsia="Times New Roman" w:hAnsi="Segoe UI" w:cs="Segoe UI"/>
          <w:b/>
          <w:bCs/>
          <w:color w:val="000000"/>
          <w:kern w:val="0"/>
          <w:szCs w:val="24"/>
          <w:lang w:eastAsia="es-CO"/>
          <w14:ligatures w14:val="none"/>
        </w:rPr>
        <w:t> </w:t>
      </w:r>
    </w:p>
    <w:p w14:paraId="39BDA44C" w14:textId="77777777" w:rsidR="00783F46" w:rsidRPr="00783F46" w:rsidRDefault="00783F46" w:rsidP="00783F46">
      <w:pPr>
        <w:spacing w:after="0" w:line="360" w:lineRule="auto"/>
        <w:ind w:left="284"/>
        <w:jc w:val="both"/>
        <w:rPr>
          <w:rFonts w:ascii="Segoe UI" w:eastAsia="Times New Roman" w:hAnsi="Segoe UI" w:cs="Segoe UI"/>
          <w:color w:val="000000"/>
          <w:kern w:val="0"/>
          <w:szCs w:val="24"/>
          <w:highlight w:val="yellow"/>
          <w:lang w:eastAsia="es-CO"/>
          <w14:ligatures w14:val="none"/>
        </w:rPr>
      </w:pPr>
      <w:r w:rsidRPr="00783F46">
        <w:rPr>
          <w:rFonts w:ascii="Segoe UI" w:eastAsia="Times New Roman" w:hAnsi="Segoe UI" w:cs="Segoe UI"/>
          <w:color w:val="000000"/>
          <w:kern w:val="0"/>
          <w:szCs w:val="24"/>
          <w:highlight w:val="yellow"/>
          <w:lang w:eastAsia="es-CO"/>
          <w14:ligatures w14:val="none"/>
        </w:rPr>
        <w:t>i) Desde la misma promulgación de la Ley 2277 de 2022 (diciembre 13 de 2022) se había advertido sobre la obligación de discriminar los impuestos saludables en la factura de venta; obligación a cargo de los responsables de estos impuestos.</w:t>
      </w:r>
    </w:p>
    <w:p w14:paraId="3B54C815" w14:textId="77777777" w:rsidR="00783F46" w:rsidRPr="00783F46" w:rsidRDefault="00783F46" w:rsidP="00783F46">
      <w:pPr>
        <w:spacing w:after="0" w:line="360" w:lineRule="auto"/>
        <w:ind w:left="284"/>
        <w:jc w:val="both"/>
        <w:rPr>
          <w:rFonts w:ascii="Segoe UI" w:eastAsia="Times New Roman" w:hAnsi="Segoe UI" w:cs="Segoe UI"/>
          <w:color w:val="000000"/>
          <w:kern w:val="0"/>
          <w:szCs w:val="24"/>
          <w:highlight w:val="yellow"/>
          <w:lang w:eastAsia="es-CO"/>
          <w14:ligatures w14:val="none"/>
        </w:rPr>
      </w:pPr>
      <w:r w:rsidRPr="00783F46">
        <w:rPr>
          <w:rFonts w:ascii="Segoe UI" w:eastAsia="Times New Roman" w:hAnsi="Segoe UI" w:cs="Segoe UI"/>
          <w:color w:val="000000"/>
          <w:kern w:val="0"/>
          <w:szCs w:val="24"/>
          <w:highlight w:val="yellow"/>
          <w:lang w:eastAsia="es-CO"/>
          <w14:ligatures w14:val="none"/>
        </w:rPr>
        <w:t> </w:t>
      </w:r>
    </w:p>
    <w:p w14:paraId="3E8CAA9E" w14:textId="77777777" w:rsidR="00783F46" w:rsidRPr="00783F46" w:rsidRDefault="00783F46" w:rsidP="00783F46">
      <w:pPr>
        <w:spacing w:after="0" w:line="360" w:lineRule="auto"/>
        <w:ind w:left="284"/>
        <w:jc w:val="both"/>
        <w:rPr>
          <w:rFonts w:ascii="Segoe UI" w:eastAsia="Times New Roman" w:hAnsi="Segoe UI" w:cs="Segoe UI"/>
          <w:color w:val="000000"/>
          <w:kern w:val="0"/>
          <w:szCs w:val="24"/>
          <w:highlight w:val="yellow"/>
          <w:lang w:eastAsia="es-CO"/>
          <w14:ligatures w14:val="none"/>
        </w:rPr>
      </w:pPr>
      <w:proofErr w:type="spellStart"/>
      <w:r w:rsidRPr="00783F46">
        <w:rPr>
          <w:rFonts w:ascii="Segoe UI" w:eastAsia="Times New Roman" w:hAnsi="Segoe UI" w:cs="Segoe UI"/>
          <w:color w:val="000000"/>
          <w:kern w:val="0"/>
          <w:szCs w:val="24"/>
          <w:highlight w:val="yellow"/>
          <w:lang w:eastAsia="es-CO"/>
          <w14:ligatures w14:val="none"/>
        </w:rPr>
        <w:t>ii</w:t>
      </w:r>
      <w:proofErr w:type="spellEnd"/>
      <w:r w:rsidRPr="00783F46">
        <w:rPr>
          <w:rFonts w:ascii="Segoe UI" w:eastAsia="Times New Roman" w:hAnsi="Segoe UI" w:cs="Segoe UI"/>
          <w:color w:val="000000"/>
          <w:kern w:val="0"/>
          <w:szCs w:val="24"/>
          <w:highlight w:val="yellow"/>
          <w:lang w:eastAsia="es-CO"/>
          <w14:ligatures w14:val="none"/>
        </w:rPr>
        <w:t>) Fue voluntad del legislador que los impuestos saludables rigieran a partir del 1° de noviembre de 2023, sin que su cumplimiento hubiese quedado sometido a su reglamentación ni mucho menos a aspectos que debe precisar la DIAN en materia de facturación electrónica (cfr. </w:t>
      </w:r>
      <w:hyperlink r:id="rId8" w:tooltip="Estatuto Tributario CETA" w:history="1">
        <w:r w:rsidRPr="00783F46">
          <w:rPr>
            <w:rFonts w:ascii="Segoe UI" w:eastAsia="Times New Roman" w:hAnsi="Segoe UI" w:cs="Segoe UI"/>
            <w:color w:val="0645AD"/>
            <w:kern w:val="0"/>
            <w:szCs w:val="24"/>
            <w:highlight w:val="yellow"/>
            <w:u w:val="single"/>
            <w:lang w:eastAsia="es-CO"/>
            <w14:ligatures w14:val="none"/>
          </w:rPr>
          <w:t>artículo 616-1</w:t>
        </w:r>
      </w:hyperlink>
      <w:r w:rsidRPr="00783F46">
        <w:rPr>
          <w:rFonts w:ascii="Segoe UI" w:eastAsia="Times New Roman" w:hAnsi="Segoe UI" w:cs="Segoe UI"/>
          <w:color w:val="000000"/>
          <w:kern w:val="0"/>
          <w:szCs w:val="24"/>
          <w:highlight w:val="yellow"/>
          <w:lang w:eastAsia="es-CO"/>
          <w14:ligatures w14:val="none"/>
        </w:rPr>
        <w:t> del Estatuto Tributario).</w:t>
      </w:r>
    </w:p>
    <w:p w14:paraId="357A32D6" w14:textId="77777777" w:rsidR="00783F46" w:rsidRPr="00783F46" w:rsidRDefault="00783F46" w:rsidP="00783F46">
      <w:pPr>
        <w:spacing w:after="0" w:line="360" w:lineRule="auto"/>
        <w:jc w:val="both"/>
        <w:rPr>
          <w:rFonts w:ascii="Segoe UI" w:eastAsia="Times New Roman" w:hAnsi="Segoe UI" w:cs="Segoe UI"/>
          <w:color w:val="000000"/>
          <w:kern w:val="0"/>
          <w:szCs w:val="24"/>
          <w:highlight w:val="yellow"/>
          <w:lang w:eastAsia="es-CO"/>
          <w14:ligatures w14:val="none"/>
        </w:rPr>
      </w:pPr>
      <w:r w:rsidRPr="00783F46">
        <w:rPr>
          <w:rFonts w:ascii="Segoe UI" w:eastAsia="Times New Roman" w:hAnsi="Segoe UI" w:cs="Segoe UI"/>
          <w:color w:val="000000"/>
          <w:kern w:val="0"/>
          <w:szCs w:val="24"/>
          <w:highlight w:val="yellow"/>
          <w:lang w:eastAsia="es-CO"/>
          <w14:ligatures w14:val="none"/>
        </w:rPr>
        <w:t> </w:t>
      </w:r>
    </w:p>
    <w:p w14:paraId="2BFD0181" w14:textId="77777777" w:rsidR="00783F46" w:rsidRPr="00783F46" w:rsidRDefault="00783F46" w:rsidP="00783F46">
      <w:pPr>
        <w:spacing w:after="0" w:line="360" w:lineRule="auto"/>
        <w:jc w:val="both"/>
        <w:rPr>
          <w:rFonts w:ascii="Segoe UI" w:eastAsia="Times New Roman" w:hAnsi="Segoe UI" w:cs="Segoe UI"/>
          <w:color w:val="000000"/>
          <w:kern w:val="0"/>
          <w:szCs w:val="24"/>
          <w:lang w:eastAsia="es-CO"/>
          <w14:ligatures w14:val="none"/>
        </w:rPr>
      </w:pPr>
      <w:r w:rsidRPr="00783F46">
        <w:rPr>
          <w:rFonts w:ascii="Segoe UI" w:eastAsia="Times New Roman" w:hAnsi="Segoe UI" w:cs="Segoe UI"/>
          <w:color w:val="000000"/>
          <w:kern w:val="0"/>
          <w:szCs w:val="24"/>
          <w:highlight w:val="yellow"/>
          <w:lang w:eastAsia="es-CO"/>
          <w14:ligatures w14:val="none"/>
        </w:rPr>
        <w:t>Precisamente, sobre el ejercicio de la potestad reglamentaria y la exigibilidad de la Ley, en Sentencia C-1005/08 la Corte Constitucional precisó:</w:t>
      </w:r>
    </w:p>
    <w:p w14:paraId="242F6976" w14:textId="77777777" w:rsidR="00783F46" w:rsidRPr="00783F46" w:rsidRDefault="00783F46" w:rsidP="00783F46">
      <w:pPr>
        <w:spacing w:after="0" w:line="360" w:lineRule="auto"/>
        <w:jc w:val="both"/>
        <w:rPr>
          <w:rFonts w:ascii="Segoe UI" w:eastAsia="Times New Roman" w:hAnsi="Segoe UI" w:cs="Segoe UI"/>
          <w:color w:val="000000"/>
          <w:kern w:val="0"/>
          <w:szCs w:val="24"/>
          <w:lang w:eastAsia="es-CO"/>
          <w14:ligatures w14:val="none"/>
        </w:rPr>
      </w:pPr>
      <w:r w:rsidRPr="00783F46">
        <w:rPr>
          <w:rFonts w:ascii="Segoe UI" w:eastAsia="Times New Roman" w:hAnsi="Segoe UI" w:cs="Segoe UI"/>
          <w:color w:val="000000"/>
          <w:kern w:val="0"/>
          <w:szCs w:val="24"/>
          <w:lang w:eastAsia="es-CO"/>
          <w14:ligatures w14:val="none"/>
        </w:rPr>
        <w:t> </w:t>
      </w:r>
    </w:p>
    <w:p w14:paraId="49EDA52A" w14:textId="77777777" w:rsidR="00783F46" w:rsidRPr="00783F46" w:rsidRDefault="00783F46" w:rsidP="00783F46">
      <w:pPr>
        <w:spacing w:after="0" w:line="360" w:lineRule="auto"/>
        <w:ind w:left="284"/>
        <w:jc w:val="both"/>
        <w:rPr>
          <w:rFonts w:ascii="Segoe UI" w:eastAsia="Times New Roman" w:hAnsi="Segoe UI" w:cs="Segoe UI"/>
          <w:color w:val="000000"/>
          <w:kern w:val="0"/>
          <w:szCs w:val="24"/>
          <w:lang w:eastAsia="es-CO"/>
          <w14:ligatures w14:val="none"/>
        </w:rPr>
      </w:pPr>
      <w:r w:rsidRPr="00783F46">
        <w:rPr>
          <w:rFonts w:ascii="Segoe UI" w:eastAsia="Times New Roman" w:hAnsi="Segoe UI" w:cs="Segoe UI"/>
          <w:i/>
          <w:iCs/>
          <w:color w:val="000000"/>
          <w:kern w:val="0"/>
          <w:szCs w:val="24"/>
          <w:lang w:eastAsia="es-CO"/>
          <w14:ligatures w14:val="none"/>
        </w:rPr>
        <w:lastRenderedPageBreak/>
        <w:t>«(...) a extensión de la potestad radicada en cabeza del Ejecutivo por el artículo 189 numeral 11, depende de la forma, así como del detalle, con que la Ley reguló los temas correspondientes. Precisamente aquí se acentúa que la facultad reglamentaria no es absoluta y </w:t>
      </w:r>
      <w:r w:rsidRPr="00783F46">
        <w:rPr>
          <w:rFonts w:ascii="Segoe UI" w:eastAsia="Times New Roman" w:hAnsi="Segoe UI" w:cs="Segoe UI"/>
          <w:i/>
          <w:iCs/>
          <w:color w:val="000000"/>
          <w:kern w:val="0"/>
          <w:szCs w:val="24"/>
          <w:u w:val="single"/>
          <w:lang w:eastAsia="es-CO"/>
          <w14:ligatures w14:val="none"/>
        </w:rPr>
        <w:t>debe ejercerse dentro de las fronteras que marcan la Constitución y la Ley</w:t>
      </w:r>
      <w:r w:rsidRPr="00783F46">
        <w:rPr>
          <w:rFonts w:ascii="Segoe UI" w:eastAsia="Times New Roman" w:hAnsi="Segoe UI" w:cs="Segoe UI"/>
          <w:i/>
          <w:iCs/>
          <w:color w:val="000000"/>
          <w:kern w:val="0"/>
          <w:szCs w:val="24"/>
          <w:lang w:eastAsia="es-CO"/>
          <w14:ligatures w14:val="none"/>
        </w:rPr>
        <w:t>. El objeto de la potestad reglamentaria consiste, entonces, en contribuir a la concreción de la ley y se encuentra, por consiguiente, </w:t>
      </w:r>
      <w:r w:rsidRPr="00783F46">
        <w:rPr>
          <w:rFonts w:ascii="Segoe UI" w:eastAsia="Times New Roman" w:hAnsi="Segoe UI" w:cs="Segoe UI"/>
          <w:i/>
          <w:iCs/>
          <w:color w:val="000000"/>
          <w:kern w:val="0"/>
          <w:szCs w:val="24"/>
          <w:u w:val="single"/>
          <w:lang w:eastAsia="es-CO"/>
          <w14:ligatures w14:val="none"/>
        </w:rPr>
        <w:t>subordinada a lo dispuesto por ella sin que sea factible alterar o suprimir su contenido ni tampoco reglamentar materias cuyo contenido esté reservado al Legislador</w:t>
      </w:r>
      <w:r w:rsidRPr="00783F46">
        <w:rPr>
          <w:rFonts w:ascii="Segoe UI" w:eastAsia="Times New Roman" w:hAnsi="Segoe UI" w:cs="Segoe UI"/>
          <w:i/>
          <w:iCs/>
          <w:color w:val="000000"/>
          <w:kern w:val="0"/>
          <w:szCs w:val="24"/>
          <w:lang w:eastAsia="es-CO"/>
          <w14:ligatures w14:val="none"/>
        </w:rPr>
        <w:t>.»</w:t>
      </w:r>
      <w:r w:rsidRPr="00783F46">
        <w:rPr>
          <w:rFonts w:ascii="Segoe UI" w:eastAsia="Times New Roman" w:hAnsi="Segoe UI" w:cs="Segoe UI"/>
          <w:color w:val="000000"/>
          <w:kern w:val="0"/>
          <w:szCs w:val="24"/>
          <w:lang w:eastAsia="es-CO"/>
          <w14:ligatures w14:val="none"/>
        </w:rPr>
        <w:t> (énfasis propio).</w:t>
      </w:r>
    </w:p>
    <w:p w14:paraId="7799EF71" w14:textId="77777777" w:rsidR="00783F46" w:rsidRPr="00783F46" w:rsidRDefault="00783F46" w:rsidP="00783F46">
      <w:pPr>
        <w:spacing w:line="360" w:lineRule="auto"/>
        <w:rPr>
          <w:szCs w:val="24"/>
        </w:rPr>
      </w:pPr>
    </w:p>
    <w:p w14:paraId="63BE996C" w14:textId="35E15303" w:rsidR="00783F46" w:rsidRPr="00783F46" w:rsidRDefault="00783F46" w:rsidP="00783F46">
      <w:pPr>
        <w:pStyle w:val="NormalWeb"/>
        <w:spacing w:before="0" w:beforeAutospacing="0" w:after="0" w:afterAutospacing="0" w:line="360" w:lineRule="auto"/>
        <w:jc w:val="both"/>
        <w:rPr>
          <w:rFonts w:ascii="Segoe UI" w:hAnsi="Segoe UI" w:cs="Segoe UI"/>
          <w:color w:val="000000"/>
        </w:rPr>
      </w:pPr>
      <w:r w:rsidRPr="00783F46">
        <w:rPr>
          <w:rFonts w:ascii="Segoe UI" w:hAnsi="Segoe UI" w:cs="Segoe UI"/>
          <w:color w:val="000000"/>
        </w:rPr>
        <w:t>Asimismo, en Sentencia de abril 6 de 2011, Radicación No. 11001-03-25-000-2004-00198-01(3819- 04), el Consejo de Estado, Sala de lo Contencioso Administrativo, Sección Segunda, reiteró que </w:t>
      </w:r>
      <w:r w:rsidRPr="00783F46">
        <w:rPr>
          <w:rFonts w:ascii="Segoe UI" w:hAnsi="Segoe UI" w:cs="Segoe UI"/>
          <w:i/>
          <w:iCs/>
          <w:color w:val="000000"/>
        </w:rPr>
        <w:t>«la potestad reglamentaria es instrumental. Su ejercicio tiene como finalidad agregar los procedimientos, órdenes o circunstancias que permitan la cumplida ejecución de las leyes, con el fin de dar vida práctica a la ley, pero si ésta en sí misma contiene todos los pormenores necesarios para su ejecución, no nace para el ejecutivo el imperativo del reglamento. Por lo anterior, </w:t>
      </w:r>
      <w:r w:rsidRPr="00783F46">
        <w:rPr>
          <w:rFonts w:ascii="Segoe UI" w:hAnsi="Segoe UI" w:cs="Segoe UI"/>
          <w:i/>
          <w:iCs/>
          <w:color w:val="000000"/>
          <w:u w:val="single"/>
        </w:rPr>
        <w:t>no siempre la falta de reglamentación impide el desarrollo o práctica de un mandato legal</w:t>
      </w:r>
      <w:r w:rsidRPr="00783F46">
        <w:rPr>
          <w:rFonts w:ascii="Segoe UI" w:hAnsi="Segoe UI" w:cs="Segoe UI"/>
          <w:i/>
          <w:iCs/>
          <w:color w:val="000000"/>
        </w:rPr>
        <w:t>»</w:t>
      </w:r>
      <w:r w:rsidRPr="00783F46">
        <w:rPr>
          <w:rFonts w:ascii="Segoe UI" w:hAnsi="Segoe UI" w:cs="Segoe UI"/>
          <w:color w:val="000000"/>
        </w:rPr>
        <w:t> (énfasis propio).</w:t>
      </w:r>
    </w:p>
    <w:p w14:paraId="2210A9C4" w14:textId="77777777" w:rsidR="00783F46" w:rsidRPr="00783F46" w:rsidRDefault="00783F46" w:rsidP="00783F46">
      <w:pPr>
        <w:pStyle w:val="NormalWeb"/>
        <w:spacing w:before="0" w:beforeAutospacing="0" w:after="0" w:afterAutospacing="0" w:line="360" w:lineRule="auto"/>
        <w:jc w:val="both"/>
        <w:rPr>
          <w:rFonts w:ascii="Segoe UI" w:hAnsi="Segoe UI" w:cs="Segoe UI"/>
          <w:color w:val="000000"/>
        </w:rPr>
      </w:pPr>
      <w:r w:rsidRPr="00783F46">
        <w:rPr>
          <w:rFonts w:ascii="Segoe UI" w:hAnsi="Segoe UI" w:cs="Segoe UI"/>
          <w:color w:val="000000"/>
        </w:rPr>
        <w:t> </w:t>
      </w:r>
    </w:p>
    <w:p w14:paraId="744D7C65" w14:textId="77777777" w:rsidR="00783F46" w:rsidRPr="00783F46" w:rsidRDefault="00783F46" w:rsidP="00783F46">
      <w:pPr>
        <w:pStyle w:val="NormalWeb"/>
        <w:spacing w:before="0" w:beforeAutospacing="0" w:after="0" w:afterAutospacing="0" w:line="360" w:lineRule="auto"/>
        <w:jc w:val="both"/>
        <w:rPr>
          <w:rFonts w:ascii="Segoe UI" w:hAnsi="Segoe UI" w:cs="Segoe UI"/>
          <w:color w:val="000000"/>
        </w:rPr>
      </w:pPr>
      <w:r w:rsidRPr="00783F46">
        <w:rPr>
          <w:rFonts w:ascii="Segoe UI" w:hAnsi="Segoe UI" w:cs="Segoe UI"/>
          <w:color w:val="000000"/>
        </w:rPr>
        <w:t>En los anteriores términos se absuelve su petición y se recuerda que la normativa, jurisprudencia y doctrina en materia tributaria, aduanera y de fiscalización cambiaria, en lo de competencia de esta Entidad, puede consultarse en el normograma DIAN: </w:t>
      </w:r>
      <w:hyperlink r:id="rId9" w:tgtFrame="_blank" w:history="1">
        <w:r w:rsidRPr="00783F46">
          <w:rPr>
            <w:rStyle w:val="Hipervnculo"/>
            <w:rFonts w:ascii="Segoe UI" w:hAnsi="Segoe UI" w:cs="Segoe UI"/>
            <w:color w:val="0645AD"/>
          </w:rPr>
          <w:t>https://normograma.dian.gov.co/dian/</w:t>
        </w:r>
      </w:hyperlink>
      <w:r w:rsidRPr="00783F46">
        <w:rPr>
          <w:rFonts w:ascii="Segoe UI" w:hAnsi="Segoe UI" w:cs="Segoe UI"/>
          <w:color w:val="000000"/>
        </w:rPr>
        <w:t>.</w:t>
      </w:r>
    </w:p>
    <w:p w14:paraId="44EB277F" w14:textId="77777777" w:rsidR="00783F46" w:rsidRPr="00783F46" w:rsidRDefault="00783F46" w:rsidP="00783F46">
      <w:pPr>
        <w:spacing w:line="360" w:lineRule="auto"/>
        <w:rPr>
          <w:szCs w:val="24"/>
        </w:rPr>
      </w:pPr>
    </w:p>
    <w:p w14:paraId="3A66B71A" w14:textId="55D25FCA" w:rsidR="00783F46" w:rsidRPr="00783F46" w:rsidRDefault="00783F46" w:rsidP="00783F46">
      <w:pPr>
        <w:spacing w:after="0" w:line="360" w:lineRule="auto"/>
        <w:jc w:val="both"/>
        <w:rPr>
          <w:rFonts w:ascii="Segoe UI" w:eastAsia="Times New Roman" w:hAnsi="Segoe UI" w:cs="Segoe UI"/>
          <w:color w:val="000000"/>
          <w:kern w:val="0"/>
          <w:szCs w:val="24"/>
          <w:lang w:eastAsia="es-CO"/>
          <w14:ligatures w14:val="none"/>
        </w:rPr>
      </w:pPr>
      <w:r w:rsidRPr="00783F46">
        <w:rPr>
          <w:rFonts w:ascii="Segoe UI" w:eastAsia="Times New Roman" w:hAnsi="Segoe UI" w:cs="Segoe UI"/>
          <w:color w:val="000000"/>
          <w:kern w:val="0"/>
          <w:szCs w:val="24"/>
          <w:lang w:eastAsia="es-CO"/>
          <w14:ligatures w14:val="none"/>
        </w:rPr>
        <w:t>Atentamente,</w:t>
      </w:r>
    </w:p>
    <w:p w14:paraId="118B2529" w14:textId="77777777" w:rsidR="00783F46" w:rsidRPr="00783F46" w:rsidRDefault="00783F46" w:rsidP="00783F46">
      <w:pPr>
        <w:spacing w:after="0" w:line="360" w:lineRule="auto"/>
        <w:jc w:val="both"/>
        <w:rPr>
          <w:rFonts w:ascii="Segoe UI" w:eastAsia="Times New Roman" w:hAnsi="Segoe UI" w:cs="Segoe UI"/>
          <w:color w:val="000000"/>
          <w:kern w:val="0"/>
          <w:szCs w:val="24"/>
          <w:lang w:eastAsia="es-CO"/>
          <w14:ligatures w14:val="none"/>
        </w:rPr>
      </w:pPr>
      <w:r w:rsidRPr="00783F46">
        <w:rPr>
          <w:rFonts w:ascii="Segoe UI" w:eastAsia="Times New Roman" w:hAnsi="Segoe UI" w:cs="Segoe UI"/>
          <w:color w:val="000000"/>
          <w:kern w:val="0"/>
          <w:szCs w:val="24"/>
          <w:lang w:eastAsia="es-CO"/>
          <w14:ligatures w14:val="none"/>
        </w:rPr>
        <w:t> </w:t>
      </w:r>
    </w:p>
    <w:p w14:paraId="59860852" w14:textId="62D18672" w:rsidR="00783F46" w:rsidRPr="00783F46" w:rsidRDefault="00783F46" w:rsidP="00783F46">
      <w:pPr>
        <w:spacing w:after="0" w:line="360" w:lineRule="auto"/>
        <w:jc w:val="both"/>
        <w:rPr>
          <w:rFonts w:ascii="Segoe UI" w:eastAsia="Times New Roman" w:hAnsi="Segoe UI" w:cs="Segoe UI"/>
          <w:color w:val="000000"/>
          <w:kern w:val="0"/>
          <w:szCs w:val="24"/>
          <w:lang w:eastAsia="es-CO"/>
          <w14:ligatures w14:val="none"/>
        </w:rPr>
      </w:pPr>
      <w:r w:rsidRPr="00783F46">
        <w:rPr>
          <w:rFonts w:ascii="Segoe UI" w:eastAsia="Times New Roman" w:hAnsi="Segoe UI" w:cs="Segoe UI"/>
          <w:color w:val="000000"/>
          <w:kern w:val="0"/>
          <w:szCs w:val="24"/>
          <w:lang w:eastAsia="es-CO"/>
          <w14:ligatures w14:val="none"/>
        </w:rPr>
        <w:t> </w:t>
      </w:r>
      <w:r w:rsidRPr="00783F46">
        <w:rPr>
          <w:rFonts w:ascii="Segoe UI" w:eastAsia="Times New Roman" w:hAnsi="Segoe UI" w:cs="Segoe UI"/>
          <w:b/>
          <w:bCs/>
          <w:color w:val="000000"/>
          <w:kern w:val="0"/>
          <w:szCs w:val="24"/>
          <w:lang w:eastAsia="es-CO"/>
          <w14:ligatures w14:val="none"/>
        </w:rPr>
        <w:t>ALFREDO RAMÍREZ CASTAÑEDA</w:t>
      </w:r>
    </w:p>
    <w:p w14:paraId="05FA0A49" w14:textId="77777777" w:rsidR="00783F46" w:rsidRPr="00783F46" w:rsidRDefault="00783F46" w:rsidP="00783F46">
      <w:pPr>
        <w:spacing w:after="0" w:line="360" w:lineRule="auto"/>
        <w:jc w:val="both"/>
        <w:rPr>
          <w:rFonts w:ascii="Segoe UI" w:eastAsia="Times New Roman" w:hAnsi="Segoe UI" w:cs="Segoe UI"/>
          <w:color w:val="000000"/>
          <w:kern w:val="0"/>
          <w:szCs w:val="24"/>
          <w:lang w:eastAsia="es-CO"/>
          <w14:ligatures w14:val="none"/>
        </w:rPr>
      </w:pPr>
      <w:r w:rsidRPr="00783F46">
        <w:rPr>
          <w:rFonts w:ascii="Segoe UI" w:eastAsia="Times New Roman" w:hAnsi="Segoe UI" w:cs="Segoe UI"/>
          <w:color w:val="000000"/>
          <w:kern w:val="0"/>
          <w:szCs w:val="24"/>
          <w:lang w:eastAsia="es-CO"/>
          <w14:ligatures w14:val="none"/>
        </w:rPr>
        <w:t>Subdirector de Normativa y Doctrina</w:t>
      </w:r>
    </w:p>
    <w:p w14:paraId="6469337C" w14:textId="77777777" w:rsidR="00783F46" w:rsidRPr="00783F46" w:rsidRDefault="00783F46" w:rsidP="00783F46">
      <w:pPr>
        <w:spacing w:after="0" w:line="360" w:lineRule="auto"/>
        <w:jc w:val="both"/>
        <w:rPr>
          <w:rFonts w:ascii="Segoe UI" w:eastAsia="Times New Roman" w:hAnsi="Segoe UI" w:cs="Segoe UI"/>
          <w:color w:val="000000"/>
          <w:kern w:val="0"/>
          <w:szCs w:val="24"/>
          <w:lang w:eastAsia="es-CO"/>
          <w14:ligatures w14:val="none"/>
        </w:rPr>
      </w:pPr>
      <w:r w:rsidRPr="00783F46">
        <w:rPr>
          <w:rFonts w:ascii="Segoe UI" w:eastAsia="Times New Roman" w:hAnsi="Segoe UI" w:cs="Segoe UI"/>
          <w:color w:val="000000"/>
          <w:kern w:val="0"/>
          <w:szCs w:val="24"/>
          <w:lang w:eastAsia="es-CO"/>
          <w14:ligatures w14:val="none"/>
        </w:rPr>
        <w:t>Dirección de Gestión Jurídica</w:t>
      </w:r>
    </w:p>
    <w:p w14:paraId="32E91941" w14:textId="77777777" w:rsidR="00783F46" w:rsidRPr="00783F46" w:rsidRDefault="00783F46" w:rsidP="00783F46">
      <w:pPr>
        <w:spacing w:after="0" w:line="360" w:lineRule="auto"/>
        <w:jc w:val="both"/>
        <w:rPr>
          <w:rFonts w:ascii="Segoe UI" w:eastAsia="Times New Roman" w:hAnsi="Segoe UI" w:cs="Segoe UI"/>
          <w:color w:val="000000"/>
          <w:kern w:val="0"/>
          <w:szCs w:val="24"/>
          <w:lang w:eastAsia="es-CO"/>
          <w14:ligatures w14:val="none"/>
        </w:rPr>
      </w:pPr>
      <w:r w:rsidRPr="00783F46">
        <w:rPr>
          <w:rFonts w:ascii="Segoe UI" w:eastAsia="Times New Roman" w:hAnsi="Segoe UI" w:cs="Segoe UI"/>
          <w:color w:val="000000"/>
          <w:kern w:val="0"/>
          <w:szCs w:val="24"/>
          <w:lang w:eastAsia="es-CO"/>
          <w14:ligatures w14:val="none"/>
        </w:rPr>
        <w:t>U.A.E. Dirección de Impuestos y Aduanas Nacionales – DIAN</w:t>
      </w:r>
    </w:p>
    <w:p w14:paraId="337A9A19" w14:textId="77777777" w:rsidR="00783F46" w:rsidRPr="00783F46" w:rsidRDefault="00783F46" w:rsidP="00783F46">
      <w:pPr>
        <w:spacing w:after="285" w:line="360" w:lineRule="auto"/>
        <w:jc w:val="both"/>
        <w:outlineLvl w:val="2"/>
        <w:rPr>
          <w:rFonts w:ascii="Segoe UI" w:eastAsia="Times New Roman" w:hAnsi="Segoe UI" w:cs="Segoe UI"/>
          <w:b/>
          <w:bCs/>
          <w:color w:val="000000"/>
          <w:kern w:val="0"/>
          <w:szCs w:val="24"/>
          <w:lang w:eastAsia="es-CO"/>
          <w14:ligatures w14:val="none"/>
        </w:rPr>
      </w:pPr>
      <w:r w:rsidRPr="00783F46">
        <w:rPr>
          <w:rFonts w:ascii="Segoe UI" w:eastAsia="Times New Roman" w:hAnsi="Segoe UI" w:cs="Segoe UI"/>
          <w:b/>
          <w:bCs/>
          <w:color w:val="000000"/>
          <w:kern w:val="0"/>
          <w:szCs w:val="24"/>
          <w:lang w:eastAsia="es-CO"/>
          <w14:ligatures w14:val="none"/>
        </w:rPr>
        <w:t>Notas al pie</w:t>
      </w:r>
    </w:p>
    <w:p w14:paraId="011B55B2" w14:textId="32F3B432" w:rsidR="00783F46" w:rsidRPr="00783F46" w:rsidRDefault="00783F46" w:rsidP="00783F46">
      <w:pPr>
        <w:spacing w:line="360" w:lineRule="auto"/>
        <w:rPr>
          <w:szCs w:val="24"/>
        </w:rPr>
      </w:pPr>
      <w:r w:rsidRPr="00783F46">
        <w:rPr>
          <w:szCs w:val="24"/>
        </w:rPr>
        <w:t>___________________________________________________________________________</w:t>
      </w:r>
    </w:p>
    <w:p w14:paraId="3118E1E3" w14:textId="77777777" w:rsidR="00783F46" w:rsidRPr="00783F46" w:rsidRDefault="00783F46" w:rsidP="00783F46">
      <w:pPr>
        <w:numPr>
          <w:ilvl w:val="0"/>
          <w:numId w:val="2"/>
        </w:numPr>
        <w:shd w:val="clear" w:color="auto" w:fill="FFFFFF"/>
        <w:spacing w:before="100" w:beforeAutospacing="1" w:after="100" w:afterAutospacing="1" w:line="360" w:lineRule="auto"/>
        <w:jc w:val="both"/>
        <w:rPr>
          <w:rFonts w:ascii="Segoe UI" w:eastAsia="Times New Roman" w:hAnsi="Segoe UI" w:cs="Segoe UI"/>
          <w:color w:val="000000"/>
          <w:kern w:val="0"/>
          <w:szCs w:val="24"/>
          <w:lang w:eastAsia="es-CO"/>
          <w14:ligatures w14:val="none"/>
        </w:rPr>
      </w:pPr>
      <w:hyperlink r:id="rId10" w:anchor="cite_ref-1" w:tooltip="Volver arriba" w:history="1">
        <w:r w:rsidRPr="00783F46">
          <w:rPr>
            <w:rFonts w:ascii="Segoe UI" w:eastAsia="Times New Roman" w:hAnsi="Segoe UI" w:cs="Segoe UI"/>
            <w:color w:val="0645AD"/>
            <w:kern w:val="0"/>
            <w:szCs w:val="24"/>
            <w:u w:val="single"/>
            <w:lang w:eastAsia="es-CO"/>
            <w14:ligatures w14:val="none"/>
          </w:rPr>
          <w:t>↑</w:t>
        </w:r>
      </w:hyperlink>
      <w:r w:rsidRPr="00783F46">
        <w:rPr>
          <w:rFonts w:ascii="Segoe UI" w:eastAsia="Times New Roman" w:hAnsi="Segoe UI" w:cs="Segoe UI"/>
          <w:color w:val="000000"/>
          <w:kern w:val="0"/>
          <w:szCs w:val="24"/>
          <w:lang w:eastAsia="es-CO"/>
          <w14:ligatures w14:val="none"/>
        </w:rPr>
        <w:t> De conformidad con el numeral 4 del artículo 56 del Decreto 1742 de 2020 y el artículo 7 de la Resolución DIAN 91 de 2021.</w:t>
      </w:r>
    </w:p>
    <w:p w14:paraId="229E94F0" w14:textId="77777777" w:rsidR="00783F46" w:rsidRPr="00783F46" w:rsidRDefault="00783F46" w:rsidP="00783F46">
      <w:pPr>
        <w:numPr>
          <w:ilvl w:val="0"/>
          <w:numId w:val="2"/>
        </w:numPr>
        <w:shd w:val="clear" w:color="auto" w:fill="FFFFFF"/>
        <w:spacing w:before="100" w:beforeAutospacing="1" w:after="100" w:afterAutospacing="1" w:line="360" w:lineRule="auto"/>
        <w:jc w:val="both"/>
        <w:rPr>
          <w:rFonts w:ascii="Segoe UI" w:eastAsia="Times New Roman" w:hAnsi="Segoe UI" w:cs="Segoe UI"/>
          <w:color w:val="000000"/>
          <w:kern w:val="0"/>
          <w:szCs w:val="24"/>
          <w:lang w:eastAsia="es-CO"/>
          <w14:ligatures w14:val="none"/>
        </w:rPr>
      </w:pPr>
      <w:hyperlink r:id="rId11" w:anchor="cite_ref-2" w:tooltip="Volver arriba" w:history="1">
        <w:r w:rsidRPr="00783F46">
          <w:rPr>
            <w:rFonts w:ascii="Segoe UI" w:eastAsia="Times New Roman" w:hAnsi="Segoe UI" w:cs="Segoe UI"/>
            <w:color w:val="0645AD"/>
            <w:kern w:val="0"/>
            <w:szCs w:val="24"/>
            <w:u w:val="single"/>
            <w:lang w:eastAsia="es-CO"/>
            <w14:ligatures w14:val="none"/>
          </w:rPr>
          <w:t>↑</w:t>
        </w:r>
      </w:hyperlink>
      <w:r w:rsidRPr="00783F46">
        <w:rPr>
          <w:rFonts w:ascii="Segoe UI" w:eastAsia="Times New Roman" w:hAnsi="Segoe UI" w:cs="Segoe UI"/>
          <w:color w:val="000000"/>
          <w:kern w:val="0"/>
          <w:szCs w:val="24"/>
          <w:lang w:eastAsia="es-CO"/>
          <w14:ligatures w14:val="none"/>
        </w:rPr>
        <w:t> De conformidad con el numeral 1 del artículo 56 del Decreto 1742 de 2020 y el artículo 7-1 de la Resolución DIAN 91 de 2021.</w:t>
      </w:r>
    </w:p>
    <w:p w14:paraId="496C2184" w14:textId="77777777" w:rsidR="00783F46" w:rsidRPr="00783F46" w:rsidRDefault="00783F46" w:rsidP="00783F46">
      <w:pPr>
        <w:spacing w:line="360" w:lineRule="auto"/>
        <w:rPr>
          <w:szCs w:val="24"/>
        </w:rPr>
      </w:pPr>
    </w:p>
    <w:sectPr w:rsidR="00783F46" w:rsidRPr="00783F46"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D77DE"/>
    <w:multiLevelType w:val="multilevel"/>
    <w:tmpl w:val="BE0205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2F450E"/>
    <w:multiLevelType w:val="multilevel"/>
    <w:tmpl w:val="F85A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5006246">
    <w:abstractNumId w:val="0"/>
  </w:num>
  <w:num w:numId="2" w16cid:durableId="1126773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F46"/>
    <w:rsid w:val="000F3837"/>
    <w:rsid w:val="001E311E"/>
    <w:rsid w:val="00434AE6"/>
    <w:rsid w:val="005D25EE"/>
    <w:rsid w:val="00783F46"/>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E3BB4"/>
  <w15:chartTrackingRefBased/>
  <w15:docId w15:val="{6A8991BE-F55F-42C1-A1D2-DA0505342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83F46"/>
    <w:pPr>
      <w:spacing w:before="100" w:beforeAutospacing="1" w:after="100" w:afterAutospacing="1" w:line="240" w:lineRule="auto"/>
    </w:pPr>
    <w:rPr>
      <w:rFonts w:eastAsia="Times New Roman" w:cs="Times New Roman"/>
      <w:kern w:val="0"/>
      <w:szCs w:val="24"/>
      <w:lang w:eastAsia="es-CO"/>
      <w14:ligatures w14:val="none"/>
    </w:rPr>
  </w:style>
  <w:style w:type="character" w:styleId="Hipervnculo">
    <w:name w:val="Hyperlink"/>
    <w:basedOn w:val="Fuentedeprrafopredeter"/>
    <w:uiPriority w:val="99"/>
    <w:semiHidden/>
    <w:unhideWhenUsed/>
    <w:rsid w:val="00783F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529749">
      <w:bodyDiv w:val="1"/>
      <w:marLeft w:val="0"/>
      <w:marRight w:val="0"/>
      <w:marTop w:val="0"/>
      <w:marBottom w:val="0"/>
      <w:divBdr>
        <w:top w:val="none" w:sz="0" w:space="0" w:color="auto"/>
        <w:left w:val="none" w:sz="0" w:space="0" w:color="auto"/>
        <w:bottom w:val="none" w:sz="0" w:space="0" w:color="auto"/>
        <w:right w:val="none" w:sz="0" w:space="0" w:color="auto"/>
      </w:divBdr>
    </w:div>
    <w:div w:id="456796501">
      <w:bodyDiv w:val="1"/>
      <w:marLeft w:val="0"/>
      <w:marRight w:val="0"/>
      <w:marTop w:val="0"/>
      <w:marBottom w:val="0"/>
      <w:divBdr>
        <w:top w:val="none" w:sz="0" w:space="0" w:color="auto"/>
        <w:left w:val="none" w:sz="0" w:space="0" w:color="auto"/>
        <w:bottom w:val="none" w:sz="0" w:space="0" w:color="auto"/>
        <w:right w:val="none" w:sz="0" w:space="0" w:color="auto"/>
      </w:divBdr>
    </w:div>
    <w:div w:id="1289119262">
      <w:bodyDiv w:val="1"/>
      <w:marLeft w:val="0"/>
      <w:marRight w:val="0"/>
      <w:marTop w:val="0"/>
      <w:marBottom w:val="0"/>
      <w:divBdr>
        <w:top w:val="none" w:sz="0" w:space="0" w:color="auto"/>
        <w:left w:val="none" w:sz="0" w:space="0" w:color="auto"/>
        <w:bottom w:val="none" w:sz="0" w:space="0" w:color="auto"/>
        <w:right w:val="none" w:sz="0" w:space="0" w:color="auto"/>
      </w:divBdr>
    </w:div>
    <w:div w:id="1388526530">
      <w:bodyDiv w:val="1"/>
      <w:marLeft w:val="0"/>
      <w:marRight w:val="0"/>
      <w:marTop w:val="0"/>
      <w:marBottom w:val="0"/>
      <w:divBdr>
        <w:top w:val="none" w:sz="0" w:space="0" w:color="auto"/>
        <w:left w:val="none" w:sz="0" w:space="0" w:color="auto"/>
        <w:bottom w:val="none" w:sz="0" w:space="0" w:color="auto"/>
        <w:right w:val="none" w:sz="0" w:space="0" w:color="auto"/>
      </w:divBdr>
    </w:div>
    <w:div w:id="175388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75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eta.org.co/html/vista_de_un_documento.asp?DocumentoID=5033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eta.org.co/html/vista_de_un_documento.asp?DocumentoID=50331" TargetMode="External"/><Relationship Id="rId11" Type="http://schemas.openxmlformats.org/officeDocument/2006/relationships/hyperlink" Target="https://www.ceta.org.co/html/vista_de_un_documento.asp?DocumentoID=50331" TargetMode="External"/><Relationship Id="rId5" Type="http://schemas.openxmlformats.org/officeDocument/2006/relationships/hyperlink" Target="https://www.ceta.org.co/html/vista_de_un_articulo.asp?Norma=76002" TargetMode="External"/><Relationship Id="rId10" Type="http://schemas.openxmlformats.org/officeDocument/2006/relationships/hyperlink" Target="https://www.ceta.org.co/html/vista_de_un_documento.asp?DocumentoID=50331" TargetMode="External"/><Relationship Id="rId4" Type="http://schemas.openxmlformats.org/officeDocument/2006/relationships/webSettings" Target="webSettings.xml"/><Relationship Id="rId9" Type="http://schemas.openxmlformats.org/officeDocument/2006/relationships/hyperlink" Target="https://normograma.dian.gov.co/dia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871</Words>
  <Characters>4794</Characters>
  <Application>Microsoft Office Word</Application>
  <DocSecurity>0</DocSecurity>
  <Lines>39</Lines>
  <Paragraphs>11</Paragraphs>
  <ScaleCrop>false</ScaleCrop>
  <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2023-11-03T16:16:00Z</dcterms:created>
  <dcterms:modified xsi:type="dcterms:W3CDTF">2023-11-03T16:21:00Z</dcterms:modified>
</cp:coreProperties>
</file>